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144A2">
      <w:pPr>
        <w:rPr>
          <w:rFonts w:hint="eastAsia" w:ascii="黑体" w:hAnsi="黑体" w:eastAsia="黑体"/>
          <w:szCs w:val="20"/>
        </w:rPr>
      </w:pPr>
      <w:r>
        <w:rPr>
          <w:rFonts w:ascii="黑体" w:hAnsi="黑体" w:eastAsia="黑体"/>
          <w:szCs w:val="20"/>
        </w:rPr>
        <w:t>附件</w:t>
      </w:r>
      <w:r>
        <w:rPr>
          <w:rFonts w:hint="eastAsia" w:ascii="黑体" w:hAnsi="黑体" w:eastAsia="黑体"/>
          <w:szCs w:val="20"/>
        </w:rPr>
        <w:t>4</w:t>
      </w:r>
    </w:p>
    <w:p w14:paraId="485C49B9">
      <w:pPr>
        <w:adjustRightInd w:val="0"/>
        <w:snapToGrid w:val="0"/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专项审计报告相关要求</w:t>
      </w:r>
    </w:p>
    <w:p w14:paraId="04178AED">
      <w:pPr>
        <w:ind w:firstLine="640" w:firstLineChars="200"/>
        <w:rPr>
          <w:rFonts w:eastAsia="仿宋_GB2312"/>
          <w:szCs w:val="20"/>
        </w:rPr>
      </w:pPr>
    </w:p>
    <w:p w14:paraId="1DD43F5C">
      <w:pPr>
        <w:ind w:firstLine="640" w:firstLineChars="200"/>
      </w:pPr>
      <w:bookmarkStart w:id="0" w:name="_GoBack"/>
      <w:bookmarkEnd w:id="0"/>
      <w:r>
        <w:rPr>
          <w:rFonts w:eastAsia="仿宋_GB2312"/>
          <w:szCs w:val="20"/>
        </w:rPr>
        <w:t>人才培训专项审计报告须体现2025年度开展中小企业人才培训过程中服务中小企业的数量、培训中小企业总人数（人次）、开展中小企业人才培训方面的支出，其中为中小企业开展公益性培训服务中小企业的数量、培训中小企业总人数（人次）、开展中小企业人才培训方面的支出。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E5DC9"/>
    <w:rsid w:val="29477D78"/>
    <w:rsid w:val="4C04246E"/>
    <w:rsid w:val="70EE5DC9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2026-10-28T08:26:00Z</dcterms:created>
  <dc:creator>WPS_1508635159</dc:creator>
  <cp:lastModifiedBy>WPS_1508635159</cp:lastModifiedBy>
  <dcterms:modified xsi:type="dcterms:W3CDTF">2026-10-28T08:26:49Z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71F49CE907F64C2082E210FDBAA3CFF6_11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