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6CC66">
      <w:pPr>
        <w:adjustRightInd w:val="0"/>
        <w:snapToGrid w:val="0"/>
        <w:spacing w:line="570" w:lineRule="exact"/>
        <w:jc w:val="left"/>
        <w:rPr>
          <w:rFonts w:hint="eastAsia" w:ascii="黑体" w:hAnsi="黑体" w:eastAsia="黑体" w:cs="Times New Roman"/>
          <w:sz w:val="32"/>
          <w:szCs w:val="36"/>
          <w:lang w:val="en-US" w:eastAsia="zh-CN"/>
        </w:rPr>
      </w:pPr>
      <w:r>
        <w:rPr>
          <w:rFonts w:hint="eastAsia" w:ascii="黑体" w:hAnsi="黑体" w:eastAsia="黑体" w:cs="Times New Roman"/>
          <w:sz w:val="32"/>
          <w:szCs w:val="36"/>
          <w:lang w:eastAsia="zh-CN"/>
        </w:rPr>
        <w:t>附件</w:t>
      </w:r>
      <w:r>
        <w:rPr>
          <w:rFonts w:hint="eastAsia" w:ascii="黑体" w:hAnsi="黑体" w:eastAsia="黑体" w:cs="Times New Roman"/>
          <w:sz w:val="32"/>
          <w:szCs w:val="36"/>
          <w:lang w:val="en-US" w:eastAsia="zh-CN"/>
        </w:rPr>
        <w:t>4</w:t>
      </w:r>
    </w:p>
    <w:p w14:paraId="5993BA20">
      <w:pPr>
        <w:adjustRightInd w:val="0"/>
        <w:snapToGrid w:val="0"/>
        <w:spacing w:line="570" w:lineRule="exact"/>
        <w:jc w:val="left"/>
        <w:rPr>
          <w:rFonts w:hint="eastAsia" w:ascii="黑体" w:hAnsi="黑体" w:eastAsia="黑体" w:cs="Times New Roman"/>
          <w:sz w:val="32"/>
          <w:szCs w:val="36"/>
          <w:lang w:val="en-US" w:eastAsia="zh-CN"/>
        </w:rPr>
      </w:pPr>
    </w:p>
    <w:p w14:paraId="33AD367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2027年</w:t>
      </w:r>
      <w:r>
        <w:rPr>
          <w:rFonts w:hint="eastAsia" w:ascii="方正小标宋简体" w:hAnsi="方正小标宋简体" w:eastAsia="方正小标宋简体" w:cs="方正小标宋简体"/>
          <w:sz w:val="44"/>
          <w:szCs w:val="44"/>
        </w:rPr>
        <w:t>陕西省涉外知识产权保护能力提升</w:t>
      </w:r>
    </w:p>
    <w:p w14:paraId="2E619B5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eastAsia="方正小标宋简体"/>
          <w:lang w:eastAsia="zh-CN"/>
        </w:rPr>
      </w:pP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eastAsia="zh-CN"/>
        </w:rPr>
        <w:t>申报指南</w:t>
      </w:r>
    </w:p>
    <w:p w14:paraId="2717A5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51D305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深入贯彻党中央、国务院及省委、省政府关于涉外知识产权保护工作部署，深化“三个年”活动，助力打好“八场硬仗”，支持出海企业建立健全海外知识产权风险防控机制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培育壮大涉外知识产权专业服务力量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提升仲裁、调解、公证机构涉外知识产权多元化纠纷解决能力，</w:t>
      </w:r>
      <w:r>
        <w:rPr>
          <w:rFonts w:hint="eastAsia" w:ascii="仿宋_GB2312" w:hAnsi="仿宋_GB2312" w:eastAsia="仿宋_GB2312" w:cs="仿宋_GB2312"/>
          <w:sz w:val="32"/>
          <w:szCs w:val="32"/>
          <w:lang w:eastAsia="zh-CN"/>
        </w:rPr>
        <w:t>提升</w:t>
      </w:r>
      <w:r>
        <w:rPr>
          <w:rFonts w:hint="eastAsia" w:ascii="仿宋_GB2312" w:hAnsi="仿宋_GB2312" w:eastAsia="仿宋_GB2312" w:cs="仿宋_GB2312"/>
          <w:sz w:val="32"/>
          <w:szCs w:val="32"/>
        </w:rPr>
        <w:t>我省企业参与国际市场竞争的知识产权保障能力</w:t>
      </w:r>
      <w:r>
        <w:rPr>
          <w:rFonts w:hint="eastAsia" w:ascii="仿宋_GB2312" w:hAnsi="仿宋_GB2312" w:eastAsia="仿宋_GB2312" w:cs="仿宋_GB2312"/>
          <w:sz w:val="32"/>
          <w:szCs w:val="32"/>
          <w:lang w:eastAsia="zh-CN"/>
        </w:rPr>
        <w:t>。</w:t>
      </w:r>
    </w:p>
    <w:p w14:paraId="6F18D7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一、申报主体</w:t>
      </w:r>
      <w:r>
        <w:rPr>
          <w:rFonts w:hint="eastAsia" w:ascii="黑体" w:hAnsi="黑体" w:eastAsia="黑体" w:cs="黑体"/>
          <w:sz w:val="32"/>
          <w:szCs w:val="32"/>
          <w:lang w:val="en-US" w:eastAsia="zh-CN"/>
        </w:rPr>
        <w:t>及条件</w:t>
      </w:r>
    </w:p>
    <w:p w14:paraId="5CB6F2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本项目设置三类申报方向：海外知识产权风险防控体系建设方向、海外知识产权纠纷应对指导方向、</w:t>
      </w:r>
      <w:r>
        <w:rPr>
          <w:rFonts w:hint="eastAsia" w:ascii="仿宋_GB2312" w:hAnsi="仿宋_GB2312" w:eastAsia="仿宋_GB2312" w:cs="仿宋_GB2312"/>
          <w:sz w:val="32"/>
          <w:szCs w:val="32"/>
          <w:lang w:eastAsia="zh-CN"/>
        </w:rPr>
        <w:t>涉外知识产权</w:t>
      </w:r>
      <w:r>
        <w:rPr>
          <w:rFonts w:hint="eastAsia" w:ascii="仿宋_GB2312" w:hAnsi="仿宋_GB2312" w:eastAsia="仿宋_GB2312" w:cs="仿宋_GB2312"/>
          <w:sz w:val="32"/>
          <w:szCs w:val="32"/>
        </w:rPr>
        <w:t>纠纷多元化解能力提升方向。</w:t>
      </w:r>
    </w:p>
    <w:p w14:paraId="0D77546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类别一：</w:t>
      </w:r>
      <w:r>
        <w:rPr>
          <w:rFonts w:hint="eastAsia" w:ascii="楷体_GB2312" w:hAnsi="楷体_GB2312" w:eastAsia="楷体_GB2312" w:cs="楷体_GB2312"/>
          <w:b/>
          <w:bCs/>
          <w:sz w:val="32"/>
          <w:szCs w:val="32"/>
        </w:rPr>
        <w:t>海外知识产权风险防控体系建设方向</w:t>
      </w:r>
    </w:p>
    <w:p w14:paraId="51A09FB1">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申报主体</w:t>
      </w:r>
    </w:p>
    <w:p w14:paraId="39B70566">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陕西省内重点产业链、战略性新兴产业相关企业，有产品出口、海外投资、海外参展等出海业务需求。优先支持链主企业、国家专精特新“小巨人”、制造业单项冠军、知识产权示范企业、有海外实际经营业务企业。重点支持拟出海或已遭遇海外知识产权风险、海外纠纷的企业。</w:t>
      </w:r>
    </w:p>
    <w:p w14:paraId="66B283A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申报条件</w:t>
      </w:r>
    </w:p>
    <w:p w14:paraId="1121B39A">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具有出海业务基础，拥有海外市场布局计划或已有海外销售收入；具备一定知识产权基础，</w:t>
      </w:r>
      <w:r>
        <w:rPr>
          <w:rFonts w:hint="eastAsia" w:ascii="仿宋_GB2312" w:hAnsi="仿宋_GB2312" w:eastAsia="仿宋_GB2312" w:cs="仿宋_GB2312"/>
          <w:b w:val="0"/>
          <w:bCs w:val="0"/>
          <w:color w:val="000000"/>
          <w:sz w:val="32"/>
          <w:szCs w:val="32"/>
          <w:lang w:eastAsia="zh-CN"/>
        </w:rPr>
        <w:t>如</w:t>
      </w:r>
      <w:r>
        <w:rPr>
          <w:rFonts w:hint="eastAsia" w:ascii="仿宋_GB2312" w:hAnsi="仿宋_GB2312" w:eastAsia="仿宋_GB2312" w:cs="仿宋_GB2312"/>
          <w:b w:val="0"/>
          <w:bCs w:val="0"/>
          <w:color w:val="000000"/>
          <w:sz w:val="32"/>
          <w:szCs w:val="32"/>
        </w:rPr>
        <w:t>拥有PCT</w:t>
      </w:r>
      <w:r>
        <w:rPr>
          <w:rFonts w:hint="eastAsia" w:ascii="仿宋_GB2312" w:hAnsi="仿宋_GB2312" w:eastAsia="仿宋_GB2312" w:cs="仿宋_GB2312"/>
          <w:b w:val="0"/>
          <w:bCs w:val="0"/>
          <w:color w:val="000000"/>
          <w:sz w:val="32"/>
          <w:szCs w:val="32"/>
          <w:lang w:eastAsia="zh-CN"/>
        </w:rPr>
        <w:t>专利</w:t>
      </w:r>
      <w:r>
        <w:rPr>
          <w:rFonts w:hint="eastAsia" w:ascii="仿宋_GB2312" w:hAnsi="仿宋_GB2312" w:eastAsia="仿宋_GB2312" w:cs="仿宋_GB2312"/>
          <w:b w:val="0"/>
          <w:bCs w:val="0"/>
          <w:color w:val="000000"/>
          <w:sz w:val="32"/>
          <w:szCs w:val="32"/>
        </w:rPr>
        <w:t>、马德里商标等海外知识产权布局或明确海外布局规划。</w:t>
      </w:r>
    </w:p>
    <w:p w14:paraId="08F16BF9">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具备基本知识产权管理</w:t>
      </w:r>
      <w:r>
        <w:rPr>
          <w:rFonts w:hint="eastAsia" w:ascii="仿宋_GB2312" w:hAnsi="仿宋_GB2312" w:eastAsia="仿宋_GB2312" w:cs="仿宋_GB2312"/>
          <w:b w:val="0"/>
          <w:bCs w:val="0"/>
          <w:color w:val="000000"/>
          <w:sz w:val="32"/>
          <w:szCs w:val="32"/>
          <w:lang w:eastAsia="zh-CN"/>
        </w:rPr>
        <w:t>工作</w:t>
      </w:r>
      <w:r>
        <w:rPr>
          <w:rFonts w:hint="eastAsia" w:ascii="仿宋_GB2312" w:hAnsi="仿宋_GB2312" w:eastAsia="仿宋_GB2312" w:cs="仿宋_GB2312"/>
          <w:b w:val="0"/>
          <w:bCs w:val="0"/>
          <w:color w:val="000000"/>
          <w:sz w:val="32"/>
          <w:szCs w:val="32"/>
        </w:rPr>
        <w:t>基础，设立知识产权管理岗位，知识产权专兼职人员不少于2人；具备开展海外知识产权风险识别、风险研判工作基础，有稳定项目经费投入</w:t>
      </w:r>
      <w:r>
        <w:rPr>
          <w:rFonts w:hint="eastAsia" w:ascii="仿宋_GB2312" w:hAnsi="仿宋_GB2312" w:eastAsia="仿宋_GB2312" w:cs="仿宋_GB2312"/>
          <w:b w:val="0"/>
          <w:bCs w:val="0"/>
          <w:color w:val="000000"/>
          <w:sz w:val="32"/>
          <w:szCs w:val="32"/>
          <w:lang w:eastAsia="zh-CN"/>
        </w:rPr>
        <w:t>计划</w:t>
      </w:r>
      <w:r>
        <w:rPr>
          <w:rFonts w:hint="eastAsia" w:ascii="仿宋_GB2312" w:hAnsi="仿宋_GB2312" w:eastAsia="仿宋_GB2312" w:cs="仿宋_GB2312"/>
          <w:b w:val="0"/>
          <w:bCs w:val="0"/>
          <w:color w:val="000000"/>
          <w:sz w:val="32"/>
          <w:szCs w:val="32"/>
        </w:rPr>
        <w:t>。</w:t>
      </w:r>
    </w:p>
    <w:p w14:paraId="16E7E519">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有明确项目需求或计划建立健全企业海外知识产权风险防控体系；或正在处置、曾经处置海外知识产权纠纷，需要完善内部纠纷应对机制。</w:t>
      </w:r>
    </w:p>
    <w:p w14:paraId="09796A87">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（4）经营状况良好，财务制度健全；无未整改非正常专利申请，恶意商标注册，有履行能力但拒不履行、逃避执行已经生效的行政裁决或行政处罚决定等失信行为。</w:t>
      </w:r>
    </w:p>
    <w:p w14:paraId="602D184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类别二：</w:t>
      </w:r>
      <w:r>
        <w:rPr>
          <w:rFonts w:hint="eastAsia" w:ascii="楷体_GB2312" w:hAnsi="楷体_GB2312" w:eastAsia="楷体_GB2312" w:cs="楷体_GB2312"/>
          <w:b/>
          <w:bCs/>
          <w:sz w:val="32"/>
          <w:szCs w:val="32"/>
        </w:rPr>
        <w:t>海外知识产权纠纷应对指导方向</w:t>
      </w:r>
    </w:p>
    <w:p w14:paraId="2D410F1D">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申报主体</w:t>
      </w:r>
    </w:p>
    <w:p w14:paraId="2485ECB2">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具备</w:t>
      </w:r>
      <w:r>
        <w:rPr>
          <w:rFonts w:hint="eastAsia" w:ascii="仿宋_GB2312" w:hAnsi="仿宋_GB2312" w:eastAsia="仿宋_GB2312" w:cs="仿宋_GB2312"/>
          <w:color w:val="000000"/>
          <w:sz w:val="32"/>
          <w:szCs w:val="32"/>
          <w:lang w:eastAsia="zh-CN"/>
        </w:rPr>
        <w:t>海外</w:t>
      </w:r>
      <w:r>
        <w:rPr>
          <w:rFonts w:hint="eastAsia" w:ascii="仿宋_GB2312" w:hAnsi="仿宋_GB2312" w:eastAsia="仿宋_GB2312" w:cs="仿宋_GB2312"/>
          <w:color w:val="000000"/>
          <w:sz w:val="32"/>
          <w:szCs w:val="32"/>
        </w:rPr>
        <w:t>知识产权服务能力</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lang w:val="en-US" w:eastAsia="zh-CN"/>
        </w:rPr>
        <w:t>知识产权代理机构、律师事务所、高校、科研院所、行业组织以及其他相关</w:t>
      </w:r>
      <w:r>
        <w:rPr>
          <w:rFonts w:hint="eastAsia" w:ascii="仿宋_GB2312" w:hAnsi="仿宋_GB2312" w:eastAsia="仿宋_GB2312" w:cs="仿宋_GB2312"/>
          <w:color w:val="000000"/>
          <w:sz w:val="32"/>
          <w:szCs w:val="32"/>
        </w:rPr>
        <w:t>知识产权服务机构</w:t>
      </w:r>
      <w:r>
        <w:rPr>
          <w:rFonts w:hint="eastAsia" w:ascii="仿宋_GB2312" w:hAnsi="仿宋_GB2312" w:eastAsia="仿宋_GB2312" w:cs="仿宋_GB2312"/>
          <w:color w:val="000000"/>
          <w:sz w:val="32"/>
          <w:szCs w:val="32"/>
          <w:lang w:eastAsia="zh-CN"/>
        </w:rPr>
        <w:t>等</w:t>
      </w:r>
      <w:r>
        <w:rPr>
          <w:rFonts w:hint="eastAsia" w:ascii="仿宋_GB2312" w:hAnsi="仿宋_GB2312" w:eastAsia="仿宋_GB2312" w:cs="仿宋_GB2312"/>
          <w:color w:val="000000"/>
          <w:sz w:val="32"/>
          <w:szCs w:val="32"/>
        </w:rPr>
        <w:t>，具备海外知识产权纠纷应对、风险预警分析专业团队，拥有海外维权、FTO自由实施分析、海外风险排</w:t>
      </w:r>
      <w:r>
        <w:rPr>
          <w:rFonts w:hint="eastAsia" w:ascii="仿宋_GB2312" w:hAnsi="仿宋_GB2312" w:eastAsia="仿宋_GB2312" w:cs="仿宋_GB2312"/>
          <w:color w:val="000000"/>
          <w:sz w:val="32"/>
          <w:szCs w:val="32"/>
          <w:lang w:eastAsia="zh-CN"/>
        </w:rPr>
        <w:t>查等</w:t>
      </w:r>
      <w:r>
        <w:rPr>
          <w:rFonts w:hint="eastAsia" w:ascii="仿宋_GB2312" w:hAnsi="仿宋_GB2312" w:eastAsia="仿宋_GB2312" w:cs="仿宋_GB2312"/>
          <w:color w:val="000000"/>
          <w:sz w:val="32"/>
          <w:szCs w:val="32"/>
        </w:rPr>
        <w:t>相关项目案例，面向陕西省企业提供海外知识产权纠纷应对、风险防控专业服务。</w:t>
      </w:r>
    </w:p>
    <w:p w14:paraId="278AC2B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申报条件</w:t>
      </w:r>
    </w:p>
    <w:p w14:paraId="4F42EFD1">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拥有稳定</w:t>
      </w:r>
      <w:r>
        <w:rPr>
          <w:rFonts w:hint="eastAsia" w:ascii="仿宋_GB2312" w:hAnsi="仿宋_GB2312" w:eastAsia="仿宋_GB2312" w:cs="仿宋_GB2312"/>
          <w:b w:val="0"/>
          <w:bCs w:val="0"/>
          <w:color w:val="000000"/>
          <w:sz w:val="32"/>
          <w:szCs w:val="32"/>
          <w:lang w:eastAsia="zh-CN"/>
        </w:rPr>
        <w:t>海外</w:t>
      </w:r>
      <w:r>
        <w:rPr>
          <w:rFonts w:hint="eastAsia" w:ascii="仿宋_GB2312" w:hAnsi="仿宋_GB2312" w:eastAsia="仿宋_GB2312" w:cs="仿宋_GB2312"/>
          <w:b w:val="0"/>
          <w:bCs w:val="0"/>
          <w:color w:val="000000"/>
          <w:sz w:val="32"/>
          <w:szCs w:val="32"/>
        </w:rPr>
        <w:t>知识产权服务团队，团队具备涉外专利、商标法律实务能力，熟悉主要贸易国家</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地区</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知识产权法律制度，拥有不少于3名具备涉外知识产权服务经验专职人员。</w:t>
      </w:r>
    </w:p>
    <w:p w14:paraId="3B4BB217">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近</w:t>
      </w: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年拥有服务国内企业开展海外知识产权风险预警、FT</w:t>
      </w:r>
      <w:r>
        <w:rPr>
          <w:rFonts w:hint="eastAsia" w:ascii="仿宋_GB2312" w:hAnsi="仿宋_GB2312" w:eastAsia="仿宋_GB2312" w:cs="仿宋_GB2312"/>
          <w:b w:val="0"/>
          <w:bCs w:val="0"/>
          <w:color w:val="000000"/>
          <w:sz w:val="32"/>
          <w:szCs w:val="32"/>
          <w:lang w:val="en-US" w:eastAsia="zh-CN"/>
        </w:rPr>
        <w:t>O</w:t>
      </w:r>
      <w:r>
        <w:rPr>
          <w:rFonts w:hint="eastAsia" w:ascii="仿宋_GB2312" w:hAnsi="仿宋_GB2312" w:eastAsia="仿宋_GB2312" w:cs="仿宋_GB2312"/>
          <w:b w:val="0"/>
          <w:bCs w:val="0"/>
          <w:color w:val="000000"/>
          <w:sz w:val="32"/>
          <w:szCs w:val="32"/>
        </w:rPr>
        <w:t>分析、海外纠纷应对、海外维权相关服务案例，能够面向陕西省</w:t>
      </w:r>
      <w:r>
        <w:rPr>
          <w:rFonts w:hint="eastAsia" w:ascii="仿宋_GB2312" w:hAnsi="仿宋_GB2312" w:eastAsia="仿宋_GB2312" w:cs="仿宋_GB2312"/>
          <w:b w:val="0"/>
          <w:bCs w:val="0"/>
          <w:color w:val="000000"/>
          <w:sz w:val="32"/>
          <w:szCs w:val="32"/>
          <w:lang w:eastAsia="zh-CN"/>
        </w:rPr>
        <w:t>内</w:t>
      </w:r>
      <w:r>
        <w:rPr>
          <w:rFonts w:hint="eastAsia" w:ascii="仿宋_GB2312" w:hAnsi="仿宋_GB2312" w:eastAsia="仿宋_GB2312" w:cs="仿宋_GB2312"/>
          <w:b w:val="0"/>
          <w:bCs w:val="0"/>
          <w:color w:val="000000"/>
          <w:sz w:val="32"/>
          <w:szCs w:val="32"/>
        </w:rPr>
        <w:t>企业提供海外知识产权纠纷应对相关专业服务。</w:t>
      </w:r>
    </w:p>
    <w:p w14:paraId="7FDB3C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机构信用状况良好，无行业惩戒、严重失信</w:t>
      </w:r>
      <w:r>
        <w:rPr>
          <w:rFonts w:hint="eastAsia" w:ascii="仿宋_GB2312" w:hAnsi="仿宋_GB2312" w:eastAsia="仿宋_GB2312" w:cs="仿宋_GB2312"/>
          <w:b w:val="0"/>
          <w:bCs w:val="0"/>
          <w:color w:val="000000"/>
          <w:sz w:val="32"/>
          <w:szCs w:val="32"/>
          <w:lang w:eastAsia="zh-CN"/>
        </w:rPr>
        <w:t>行为</w:t>
      </w:r>
      <w:r>
        <w:rPr>
          <w:rFonts w:hint="eastAsia" w:ascii="仿宋_GB2312" w:hAnsi="仿宋_GB2312" w:eastAsia="仿宋_GB2312" w:cs="仿宋_GB2312"/>
          <w:b w:val="0"/>
          <w:bCs w:val="0"/>
          <w:color w:val="000000"/>
          <w:sz w:val="32"/>
          <w:szCs w:val="32"/>
        </w:rPr>
        <w:t>记录</w:t>
      </w:r>
      <w:r>
        <w:rPr>
          <w:rFonts w:hint="eastAsia" w:ascii="仿宋_GB2312" w:hAnsi="仿宋_GB2312" w:eastAsia="仿宋_GB2312" w:cs="仿宋_GB2312"/>
          <w:b w:val="0"/>
          <w:bCs w:val="0"/>
          <w:color w:val="000000"/>
          <w:sz w:val="32"/>
          <w:szCs w:val="32"/>
          <w:lang w:eastAsia="zh-CN"/>
        </w:rPr>
        <w:t>等</w:t>
      </w:r>
      <w:r>
        <w:rPr>
          <w:rFonts w:hint="eastAsia" w:ascii="仿宋_GB2312" w:hAnsi="仿宋_GB2312" w:eastAsia="仿宋_GB2312" w:cs="仿宋_GB2312"/>
          <w:b w:val="0"/>
          <w:bCs w:val="0"/>
          <w:color w:val="000000"/>
          <w:sz w:val="32"/>
          <w:szCs w:val="32"/>
        </w:rPr>
        <w:t>。</w:t>
      </w:r>
    </w:p>
    <w:p w14:paraId="23E76CA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类别三：涉外知识产权</w:t>
      </w:r>
      <w:r>
        <w:rPr>
          <w:rFonts w:hint="eastAsia" w:ascii="楷体_GB2312" w:hAnsi="楷体_GB2312" w:eastAsia="楷体_GB2312" w:cs="楷体_GB2312"/>
          <w:b/>
          <w:bCs/>
          <w:sz w:val="32"/>
          <w:szCs w:val="32"/>
        </w:rPr>
        <w:t>纠纷多元化解能力提升方向</w:t>
      </w:r>
    </w:p>
    <w:p w14:paraId="42F4E05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申报主体</w:t>
      </w:r>
    </w:p>
    <w:p w14:paraId="33C42B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陕西省内依法登记设立的仲裁机构，人民调解、商事调解和行业调解组织，公证机构等。鼓励多类机构之间联动，可与知识产权保护中心、律师事务所、高等院校、科研院所联合申报。优先支持具备涉外案件办理经验、建有涉外知识产权仲裁员（调解员、公证专家）库，已开展知识产权仲调对接、诉调对接、赋强公证、存证取证业务的机构。</w:t>
      </w:r>
    </w:p>
    <w:p w14:paraId="7A0136D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申报条件</w:t>
      </w:r>
    </w:p>
    <w:p w14:paraId="0C2F3F7E">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（1）申报主体依法注册设立，具备开展仲裁、商事调解、公证业务法定资质，机构运行规范，内部管理制度健全。</w:t>
      </w:r>
    </w:p>
    <w:p w14:paraId="37955CBA">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具备稳定的涉外知识产权专业工作力量，拥有熟悉知识产权法律、涉外商事规则、跨境争议处置实务的专职人员不少于3名。已建立或计划搭建涉外知识产权专家库，吸纳法律、技术、外语等复合型专业人才。</w:t>
      </w:r>
    </w:p>
    <w:p w14:paraId="4FB9E696">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（3）近3年具备知识产权案件实务基础，有办理知识产权（含涉外）仲裁、调解、证据存证、赋强公证等相关实务案例；具备面向公民、各类市场主体提供涉外知识产权纠纷服务的工作基础。</w:t>
      </w:r>
    </w:p>
    <w:p w14:paraId="71521AA1">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（4）机构信用状况良好，无行业惩戒、行政处罚以及严重失信记录，不存在违规执业行为。</w:t>
      </w:r>
    </w:p>
    <w:p w14:paraId="75B47D92">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sz w:val="32"/>
          <w:szCs w:val="32"/>
          <w:lang w:val="en-US" w:eastAsia="zh-CN"/>
        </w:rPr>
        <w:t>（5）具备明确项目实施需求，计划补齐涉外知识产权纠纷业务短板，完善业务规则流程，建强专家人才队伍，搭建多方协同工作机制。提升自身涉外知识产权保护服务供给能力，面向省内各类市场主体开展纠纷化解、存证固证等业务。为省内涉外市场主体提供公益性纠纷咨询指引服务。</w:t>
      </w:r>
    </w:p>
    <w:p w14:paraId="562594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二、主要任务</w:t>
      </w:r>
    </w:p>
    <w:p w14:paraId="2C09A80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（一）海外知识产权风险防控体系建设方向</w:t>
      </w:r>
    </w:p>
    <w:p w14:paraId="74A201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1.构建企业海外知识产权风险管理制度体系。</w:t>
      </w:r>
      <w:r>
        <w:rPr>
          <w:rFonts w:hint="eastAsia" w:ascii="仿宋_GB2312" w:hAnsi="仿宋_GB2312" w:eastAsia="仿宋_GB2312" w:cs="仿宋_GB2312"/>
          <w:color w:val="000000"/>
          <w:sz w:val="32"/>
          <w:szCs w:val="32"/>
          <w:lang w:val="en-US" w:eastAsia="zh-CN"/>
        </w:rPr>
        <w:t>建立海外知识产权合规管理制度，制定海外市场知识产权风险排查、展会风险防控、海外纠纷预警处置等工作流程；建立海外知识产权风险台账，明确海外业务知识产权风险识别、上报、处置流程。</w:t>
      </w:r>
    </w:p>
    <w:p w14:paraId="7EE756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2.开展海外知识产权风险分析研判。</w:t>
      </w:r>
      <w:r>
        <w:rPr>
          <w:rFonts w:hint="eastAsia" w:ascii="仿宋_GB2312" w:hAnsi="仿宋_GB2312" w:eastAsia="仿宋_GB2312" w:cs="仿宋_GB2312"/>
          <w:color w:val="000000"/>
          <w:sz w:val="32"/>
          <w:szCs w:val="32"/>
          <w:lang w:val="en-US" w:eastAsia="zh-CN"/>
        </w:rPr>
        <w:t>针对重点出海目标国别与核心产品开展FTO自由实施分析、海外知识产权风险预警；梳理竞争对手海外专利商标布局，形成企业海外知识产权风险分析报告；针对重点国别开展侵权风险、抢注风险、337调查、海关扣押、临时禁令等风险点排查。</w:t>
      </w:r>
    </w:p>
    <w:p w14:paraId="43442F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3.完善海外知识产权布局与风险应对预案。</w:t>
      </w:r>
      <w:r>
        <w:rPr>
          <w:rFonts w:hint="eastAsia" w:ascii="仿宋_GB2312" w:hAnsi="仿宋_GB2312" w:eastAsia="仿宋_GB2312" w:cs="仿宋_GB2312"/>
          <w:color w:val="000000"/>
          <w:sz w:val="32"/>
          <w:szCs w:val="32"/>
          <w:lang w:val="en-US" w:eastAsia="zh-CN"/>
        </w:rPr>
        <w:t>结合风险分析结果优化PCT专利、马德里商标海外布局规划；编制海外知识产权纠纷应急处置预案，明确发生海外诉讼、展会查扣等事件的内部处置流程、外部合作资源调用机制。</w:t>
      </w:r>
    </w:p>
    <w:p w14:paraId="146F16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4.加强人员队伍能力建设。</w:t>
      </w:r>
      <w:r>
        <w:rPr>
          <w:rFonts w:hint="eastAsia" w:ascii="仿宋_GB2312" w:hAnsi="仿宋_GB2312" w:eastAsia="仿宋_GB2312" w:cs="仿宋_GB2312"/>
          <w:color w:val="000000"/>
          <w:sz w:val="32"/>
          <w:szCs w:val="32"/>
          <w:lang w:val="en-US" w:eastAsia="zh-CN"/>
        </w:rPr>
        <w:t>面向企业内部的研发、法务、市场销售等岗位开展海外知识产权专题培训；建立企业海外知识产权风险人才队伍。</w:t>
      </w:r>
    </w:p>
    <w:p w14:paraId="3B8D429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z w:val="32"/>
          <w:szCs w:val="32"/>
          <w:lang w:val="en-US" w:eastAsia="zh-CN"/>
        </w:rPr>
        <w:t>5.成果固化。</w:t>
      </w:r>
      <w:r>
        <w:rPr>
          <w:rFonts w:hint="eastAsia" w:ascii="仿宋_GB2312" w:hAnsi="仿宋_GB2312" w:eastAsia="仿宋_GB2312" w:cs="仿宋_GB2312"/>
          <w:color w:val="000000"/>
          <w:sz w:val="32"/>
          <w:szCs w:val="32"/>
          <w:lang w:val="en-US" w:eastAsia="zh-CN"/>
        </w:rPr>
        <w:t>形成风险报告、内控制度、纠纷应急预案、风险台账等成套内部文件。</w:t>
      </w:r>
    </w:p>
    <w:p w14:paraId="2BA16E5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（二）海外知识产权纠纷应对指导方向</w:t>
      </w:r>
    </w:p>
    <w:p w14:paraId="291FB9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1.搭建面向省内企业的海外纠纷应对服务支撑机制。</w:t>
      </w:r>
      <w:r>
        <w:rPr>
          <w:rFonts w:hint="eastAsia" w:ascii="仿宋_GB2312" w:hAnsi="仿宋_GB2312" w:eastAsia="仿宋_GB2312" w:cs="仿宋_GB2312"/>
          <w:color w:val="000000"/>
          <w:sz w:val="32"/>
          <w:szCs w:val="32"/>
          <w:lang w:val="en-US" w:eastAsia="zh-CN"/>
        </w:rPr>
        <w:t>建立海外知识产权纠纷响应工作流程，搭建企业海外纠纷信息收集、快速响应渠道；根据服务对象需求，梳理主要贸易国法律资源库、海外律所资源库，形成海外纠纷应对服务工具箱。</w:t>
      </w:r>
    </w:p>
    <w:p w14:paraId="307C8A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2.为省内企业提供海外知识产权纠纷专业服务。</w:t>
      </w:r>
      <w:r>
        <w:rPr>
          <w:rFonts w:hint="eastAsia" w:ascii="仿宋_GB2312" w:hAnsi="仿宋_GB2312" w:eastAsia="仿宋_GB2312" w:cs="仿宋_GB2312"/>
          <w:color w:val="000000"/>
          <w:sz w:val="32"/>
          <w:szCs w:val="32"/>
          <w:lang w:val="en-US" w:eastAsia="zh-CN"/>
        </w:rPr>
        <w:t>针对企业收到海外侵权警告函、境外诉讼、337调查、展会知识产权扣押等类型纠纷，开展案情研判、证据梳理、应对策略制定；提供纠纷咨询、风险评估、应对方案输出；协助企业开展纠纷和解、应诉策略制定等支撑服务。</w:t>
      </w:r>
    </w:p>
    <w:p w14:paraId="702CFE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3.总结案例形成共性指引。</w:t>
      </w:r>
      <w:r>
        <w:rPr>
          <w:rFonts w:hint="eastAsia" w:ascii="仿宋_GB2312" w:hAnsi="仿宋_GB2312" w:eastAsia="仿宋_GB2312" w:cs="仿宋_GB2312"/>
          <w:color w:val="000000"/>
          <w:sz w:val="32"/>
          <w:szCs w:val="32"/>
          <w:lang w:val="en-US" w:eastAsia="zh-CN"/>
        </w:rPr>
        <w:t>梳理服务过程中的典型海外知识产权纠纷案例，提炼产业、国别风险应对要点，供省内行业企业参考使用。</w:t>
      </w:r>
    </w:p>
    <w:p w14:paraId="1FAE4C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sz w:val="32"/>
          <w:szCs w:val="32"/>
          <w:lang w:val="en-US" w:eastAsia="zh-CN"/>
        </w:rPr>
        <w:t>4.开展面向省内企业公益培训宣介。</w:t>
      </w:r>
      <w:r>
        <w:rPr>
          <w:rFonts w:hint="eastAsia" w:ascii="仿宋_GB2312" w:hAnsi="仿宋_GB2312" w:eastAsia="仿宋_GB2312" w:cs="仿宋_GB2312"/>
          <w:color w:val="000000"/>
          <w:sz w:val="32"/>
          <w:szCs w:val="32"/>
          <w:lang w:val="en-US" w:eastAsia="zh-CN"/>
        </w:rPr>
        <w:t>围绕海外知识产权风险、纠纷处置实务开展专题培训宣讲，提升陕西企业整体海外知识产权风险防范意识。</w:t>
      </w:r>
    </w:p>
    <w:p w14:paraId="2265614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w:t>
      </w:r>
      <w:r>
        <w:rPr>
          <w:rFonts w:hint="eastAsia" w:ascii="楷体_GB2312" w:hAnsi="楷体_GB2312" w:eastAsia="楷体_GB2312" w:cs="楷体_GB2312"/>
          <w:b/>
          <w:bCs/>
          <w:sz w:val="32"/>
          <w:szCs w:val="32"/>
          <w:lang w:eastAsia="zh-CN"/>
        </w:rPr>
        <w:t>涉外知识产权</w:t>
      </w:r>
      <w:r>
        <w:rPr>
          <w:rFonts w:hint="eastAsia" w:ascii="楷体_GB2312" w:hAnsi="楷体_GB2312" w:eastAsia="楷体_GB2312" w:cs="楷体_GB2312"/>
          <w:b/>
          <w:bCs/>
          <w:sz w:val="32"/>
          <w:szCs w:val="32"/>
        </w:rPr>
        <w:t>纠纷多元化解能力提升方向</w:t>
      </w:r>
    </w:p>
    <w:p w14:paraId="5441617E">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kern w:val="0"/>
          <w:sz w:val="32"/>
          <w:szCs w:val="32"/>
          <w:lang w:val="en-US" w:eastAsia="zh-CN" w:bidi="ar"/>
        </w:rPr>
        <w:t>1.健全涉外知识产权纠纷化解业务规则与操作流程。</w:t>
      </w:r>
      <w:r>
        <w:rPr>
          <w:rFonts w:hint="eastAsia" w:ascii="仿宋_GB2312" w:hAnsi="仿宋_GB2312" w:eastAsia="仿宋_GB2312" w:cs="仿宋_GB2312"/>
          <w:color w:val="000000"/>
          <w:sz w:val="32"/>
          <w:szCs w:val="32"/>
          <w:lang w:val="en-US" w:eastAsia="zh-CN"/>
        </w:rPr>
        <w:t>立足仲裁、调解、公证机构职能定位，梳理修订适配涉外知识产权争议的仲裁审理规范、调解工作规程、公证存证及调解协议赋强公证操作指引等业务规范。完善涉外知识产权案件受理、审理、调解、证据固证、赋强公证等工作规程；规范跨境证据认定、域外送达、线上办理、保密管理、档案管理标准化流程，为市场主体提供规范化、可预期的涉外知识产权非诉解纷服务路径。</w:t>
      </w:r>
    </w:p>
    <w:p w14:paraId="4F1FBD62">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kern w:val="0"/>
          <w:sz w:val="32"/>
          <w:szCs w:val="32"/>
          <w:lang w:val="en-US" w:eastAsia="zh-CN" w:bidi="ar"/>
        </w:rPr>
        <w:t>2.开展涉外知识产权纠纷实务服务与案例研究。</w:t>
      </w:r>
      <w:r>
        <w:rPr>
          <w:rFonts w:hint="eastAsia" w:ascii="仿宋_GB2312" w:hAnsi="仿宋_GB2312" w:eastAsia="仿宋_GB2312" w:cs="仿宋_GB2312"/>
          <w:color w:val="000000"/>
          <w:sz w:val="32"/>
          <w:szCs w:val="32"/>
          <w:lang w:val="en-US" w:eastAsia="zh-CN"/>
        </w:rPr>
        <w:t>面向省内各类市场主体提供涉外知识产权纠纷咨询指引、非诉化解路径指引服务；归集整理涉外知识产权仲裁、调解、公证典型案例，编制陕西省涉外知识产权纠纷多元化解实务指引，区分不同纠纷类型、不同目标国别，提炼纠纷处理要点，形成典型案例库，为市场主体选择非诉讼途径解决涉外知识产权纠纷提供参考。</w:t>
      </w:r>
    </w:p>
    <w:p w14:paraId="3C53F923">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kern w:val="0"/>
          <w:sz w:val="32"/>
          <w:szCs w:val="32"/>
          <w:lang w:val="en-US" w:eastAsia="zh-CN" w:bidi="ar"/>
        </w:rPr>
        <w:t>3.构建多主体协同联动工作机制。</w:t>
      </w:r>
      <w:r>
        <w:rPr>
          <w:rFonts w:hint="eastAsia" w:ascii="仿宋_GB2312" w:hAnsi="仿宋_GB2312" w:eastAsia="仿宋_GB2312" w:cs="仿宋_GB2312"/>
          <w:color w:val="000000"/>
          <w:sz w:val="32"/>
          <w:szCs w:val="32"/>
          <w:lang w:val="en-US" w:eastAsia="zh-CN"/>
        </w:rPr>
        <w:t>搭建仲裁－调解－公证联动工作模式，打通案件线索移送、程序衔接、存证固证、调解协议赋强公证业务链条；加强与知识产权行政部门、法院、维权援助机构业务对接，实现诉调对接、仲调对接、司法确认、维权线索双向流转；探索线上跨境服务模式，运用公证存证、区块链存证等数字化手段，降低市场主体跨境举证维权成本，拓宽涉外知识产权纠纷解决渠道。</w:t>
      </w:r>
    </w:p>
    <w:p w14:paraId="2AB841E0">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kern w:val="0"/>
          <w:sz w:val="32"/>
          <w:szCs w:val="32"/>
          <w:lang w:val="en-US" w:eastAsia="zh-CN" w:bidi="ar"/>
        </w:rPr>
        <w:t>4.建强涉外知识产权专家人才库。</w:t>
      </w:r>
      <w:r>
        <w:rPr>
          <w:rFonts w:hint="eastAsia" w:ascii="仿宋_GB2312" w:hAnsi="仿宋_GB2312" w:eastAsia="仿宋_GB2312" w:cs="仿宋_GB2312"/>
          <w:color w:val="000000"/>
          <w:sz w:val="32"/>
          <w:szCs w:val="32"/>
          <w:lang w:val="en-US" w:eastAsia="zh-CN"/>
        </w:rPr>
        <w:t>建设涉外知识产权专家（仲裁员、调解员、公证专家）库，吸纳知识产权技术专家、涉外法律实务人才、外语专业人员、跨境商事实务顾问等。完善专家遴选、入库培训、考核、使用、退出全流程管理制度。组织机构内部业务轮训，提升仲裁员、调解员、公证人员处理涉外知识产权争议的专业能力，夯实机构涉外知识产权保护人才支撑。</w:t>
      </w:r>
    </w:p>
    <w:p w14:paraId="06E17A7D">
      <w:pPr>
        <w:keepNext w:val="0"/>
        <w:keepLines w:val="0"/>
        <w:pageBreakBefore w:val="0"/>
        <w:widowControl w:val="0"/>
        <w:kinsoku/>
        <w:wordWrap/>
        <w:overflowPunct/>
        <w:topLinePunct w:val="0"/>
        <w:autoSpaceDE/>
        <w:autoSpaceDN/>
        <w:bidi w:val="0"/>
        <w:spacing w:line="560" w:lineRule="exact"/>
        <w:ind w:firstLine="643" w:firstLineChars="200"/>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kern w:val="0"/>
          <w:sz w:val="32"/>
          <w:szCs w:val="32"/>
          <w:lang w:val="en-US" w:eastAsia="zh-CN" w:bidi="ar"/>
        </w:rPr>
        <w:t>5.开展公益宣介培训。</w:t>
      </w:r>
      <w:r>
        <w:rPr>
          <w:rFonts w:hint="eastAsia" w:ascii="仿宋_GB2312" w:hAnsi="仿宋_GB2312" w:eastAsia="仿宋_GB2312" w:cs="仿宋_GB2312"/>
          <w:color w:val="000000"/>
          <w:sz w:val="32"/>
          <w:szCs w:val="32"/>
          <w:lang w:val="en-US" w:eastAsia="zh-CN"/>
        </w:rPr>
        <w:t>面向省内市场主体以及社会公众开展公益专题培训与普法宣介。普及仲裁、调解、公证在涉外知识产权争议中的制度优势，引导市场主体、公民充分运用多元化解渠道高效处置跨境知识产权矛盾，扩大涉外知识产权非诉解纷机制社会知晓度。</w:t>
      </w:r>
    </w:p>
    <w:p w14:paraId="60251E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三、绩效目标</w:t>
      </w:r>
    </w:p>
    <w:p w14:paraId="17E714A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（一）海外知识产权风险防控体系建设方向</w:t>
      </w:r>
    </w:p>
    <w:p w14:paraId="72AB897C">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1.建立健全企业海外知识产权风险防控全套制度，形成海外知识产权风险排查机制、纠纷应急处置预案，正式纳入企业内部管理制度。</w:t>
      </w:r>
    </w:p>
    <w:p w14:paraId="29AFE515">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2.完成核心出海产品（目标国别）FTO分析或海外知识产权风险预警，输出不少于1份正式海外知识产权风险分析报告。</w:t>
      </w:r>
    </w:p>
    <w:p w14:paraId="3F34BF27">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建成企业海外知识产权风险台账，完成重点产品海外知识产权风险清单梳理；项目实施期内海外专利申请、商标国际注册等申请量实现稳步增长；能够对海外侵权、抢注、337调查、海关扣押、临时禁令等风险事件做到快速响应处置。</w:t>
      </w:r>
    </w:p>
    <w:p w14:paraId="11E6FAB3">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4.完成不少于2场企业内部海外知识产权专题培训，培养一批懂海外知识产权业务内部人员。</w:t>
      </w:r>
    </w:p>
    <w:p w14:paraId="11061851">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5.形成面向省内出海企业海外知识产权风险防控制度范本。</w:t>
      </w:r>
    </w:p>
    <w:p w14:paraId="6466DBE6">
      <w:pPr>
        <w:keepNext w:val="0"/>
        <w:keepLines w:val="0"/>
        <w:pageBreakBefore w:val="0"/>
        <w:widowControl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kern w:val="0"/>
          <w:sz w:val="32"/>
          <w:szCs w:val="32"/>
          <w:lang w:val="en-US" w:eastAsia="zh-CN" w:bidi="ar"/>
        </w:rPr>
      </w:pPr>
      <w:r>
        <w:rPr>
          <w:rFonts w:hint="eastAsia" w:ascii="楷体_GB2312" w:hAnsi="楷体_GB2312" w:eastAsia="楷体_GB2312" w:cs="楷体_GB2312"/>
          <w:b/>
          <w:bCs/>
          <w:kern w:val="0"/>
          <w:sz w:val="32"/>
          <w:szCs w:val="32"/>
          <w:lang w:val="en-US" w:eastAsia="zh-CN" w:bidi="ar"/>
        </w:rPr>
        <w:t>（二）</w:t>
      </w:r>
      <w:r>
        <w:rPr>
          <w:rFonts w:hint="eastAsia" w:ascii="楷体_GB2312" w:hAnsi="楷体_GB2312" w:eastAsia="楷体_GB2312" w:cs="楷体_GB2312"/>
          <w:b/>
          <w:bCs/>
          <w:sz w:val="32"/>
          <w:szCs w:val="32"/>
        </w:rPr>
        <w:t>海外知识产权纠纷应对指导方向</w:t>
      </w:r>
    </w:p>
    <w:p w14:paraId="794BAC78">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1.建成企业海外知识产权纠纷快速响应服务机制，形成标准化服务流程，健全海外法律资源库、纠纷应对策略等“工具包”。</w:t>
      </w:r>
    </w:p>
    <w:p w14:paraId="6B7ABA1A">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2.项目实施期内，为不少于3家陕西省企业提供海外知识产权纠纷应对指导专业服务，每家形成对应纠纷研判及应对方案。</w:t>
      </w:r>
    </w:p>
    <w:p w14:paraId="3933D461">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3.梳理形成典型纠纷案例库1份。</w:t>
      </w:r>
    </w:p>
    <w:p w14:paraId="42AE673F">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4.面向省内产业链企业开展不少于2场海外知识产权纠纷应对实务专题培训，覆盖企业不少于50家。</w:t>
      </w:r>
    </w:p>
    <w:p w14:paraId="03F70888">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5.形成面向省内知识产权服务机构的海外知识产权纠纷处置服务通用工作规范。</w:t>
      </w:r>
    </w:p>
    <w:p w14:paraId="095149E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kern w:val="0"/>
          <w:sz w:val="32"/>
          <w:szCs w:val="32"/>
          <w:lang w:val="en-US" w:eastAsia="zh-CN" w:bidi="ar"/>
        </w:rPr>
      </w:pPr>
      <w:r>
        <w:rPr>
          <w:rFonts w:hint="eastAsia" w:ascii="楷体_GB2312" w:hAnsi="楷体_GB2312" w:eastAsia="楷体_GB2312" w:cs="楷体_GB2312"/>
          <w:b/>
          <w:bCs/>
          <w:kern w:val="0"/>
          <w:sz w:val="32"/>
          <w:szCs w:val="32"/>
          <w:lang w:val="en-US" w:eastAsia="zh-CN" w:bidi="ar"/>
        </w:rPr>
        <w:t>（三）涉外知识产权纠纷多元化解能力提升方向</w:t>
      </w:r>
    </w:p>
    <w:p w14:paraId="5F61F7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1.修订完善涉外知识产权仲裁（调解、公证）业务规程、操作指引不少于1套，形成标准化涉外案件办理流程并正式纳入机构内部管理制度，畅通公民、组织涉外知识产权非诉维权路径。</w:t>
      </w:r>
    </w:p>
    <w:p w14:paraId="4E1025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2.编制陕西省涉外知识产权纠纷多元化解实务指引1份，搭建涉外知识产权典型案例库。面向省内市场主体开展不少于2场涉外知识产权多元化解公益专题培训，覆盖市场主体不少于40家。</w:t>
      </w:r>
    </w:p>
    <w:p w14:paraId="6B5CE9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3.建立</w:t>
      </w:r>
      <w:r>
        <w:rPr>
          <w:rFonts w:hint="eastAsia" w:ascii="仿宋_GB2312" w:hAnsi="仿宋_GB2312" w:eastAsia="仿宋_GB2312" w:cs="仿宋_GB2312"/>
          <w:color w:val="000000"/>
          <w:sz w:val="32"/>
          <w:szCs w:val="32"/>
          <w:lang w:val="en-US" w:eastAsia="zh-CN"/>
        </w:rPr>
        <w:t>仲裁－调解－公证</w:t>
      </w:r>
      <w:r>
        <w:rPr>
          <w:rFonts w:hint="eastAsia" w:ascii="仿宋_GB2312" w:hAnsi="仿宋_GB2312" w:eastAsia="仿宋_GB2312" w:cs="仿宋_GB2312"/>
          <w:snapToGrid w:val="0"/>
          <w:kern w:val="0"/>
          <w:sz w:val="32"/>
          <w:szCs w:val="32"/>
          <w:lang w:val="en-US" w:eastAsia="zh-CN"/>
        </w:rPr>
        <w:t>联动工作机制，形成案件线索移送、业务衔接流程文件，实现与省内知识产权保护、维权援助渠道有效对接。</w:t>
      </w:r>
    </w:p>
    <w:p w14:paraId="24B407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4.建成涉外知识产权专家库，入库专家不少于20名，配套完善专家使用管理机制，机构涉外知识产权专业服务能力显著提升。</w:t>
      </w:r>
    </w:p>
    <w:p w14:paraId="54C9DD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5.形成本领域的涉外知识产权纠纷化解操作指引。</w:t>
      </w:r>
    </w:p>
    <w:p w14:paraId="1672DE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四、相关事项</w:t>
      </w:r>
    </w:p>
    <w:p w14:paraId="56898FF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（一）申报材料</w:t>
      </w:r>
    </w:p>
    <w:p w14:paraId="56239A0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1.项目申报材料</w:t>
      </w:r>
      <w:r>
        <w:rPr>
          <w:rFonts w:hint="eastAsia" w:ascii="仿宋_GB2312" w:hAnsi="仿宋_GB2312" w:eastAsia="仿宋_GB2312" w:cs="仿宋_GB2312"/>
          <w:snapToGrid w:val="0"/>
          <w:kern w:val="0"/>
          <w:sz w:val="32"/>
          <w:szCs w:val="32"/>
          <w:lang w:eastAsia="zh-CN"/>
        </w:rPr>
        <w:t>包含项目申报书和相关证明材料，按照以下顺序进行装订：</w:t>
      </w:r>
    </w:p>
    <w:p w14:paraId="4A67AF5B">
      <w:pPr>
        <w:keepNext w:val="0"/>
        <w:keepLines w:val="0"/>
        <w:pageBreakBefore w:val="0"/>
        <w:widowControl w:val="0"/>
        <w:kinsoku/>
        <w:wordWrap/>
        <w:overflowPunct/>
        <w:topLinePunct w:val="0"/>
        <w:autoSpaceDE/>
        <w:autoSpaceDN/>
        <w:bidi w:val="0"/>
        <w:snapToGrid w:val="0"/>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w:t>
      </w:r>
      <w:r>
        <w:rPr>
          <w:rFonts w:hint="eastAsia" w:ascii="仿宋_GB2312" w:eastAsia="仿宋_GB2312"/>
          <w:color w:val="auto"/>
          <w:sz w:val="32"/>
          <w:szCs w:val="32"/>
        </w:rPr>
        <w:t>项目申报书；</w:t>
      </w:r>
    </w:p>
    <w:p w14:paraId="761837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color w:val="auto"/>
          <w:kern w:val="0"/>
          <w:sz w:val="32"/>
          <w:szCs w:val="32"/>
          <w:lang w:val="en-US" w:eastAsia="zh-CN"/>
        </w:rPr>
      </w:pPr>
      <w:r>
        <w:rPr>
          <w:rFonts w:hint="eastAsia" w:ascii="仿宋_GB2312" w:eastAsia="仿宋_GB2312"/>
          <w:color w:val="auto"/>
          <w:sz w:val="32"/>
          <w:szCs w:val="32"/>
          <w:lang w:val="en-US" w:eastAsia="zh-CN"/>
        </w:rPr>
        <w:t>（2）类别一和二：</w:t>
      </w:r>
      <w:r>
        <w:rPr>
          <w:rFonts w:hint="eastAsia" w:ascii="仿宋_GB2312" w:eastAsia="仿宋_GB2312"/>
          <w:color w:val="auto"/>
          <w:sz w:val="32"/>
          <w:szCs w:val="32"/>
        </w:rPr>
        <w:t>营业执照（或统一社会信用代码证书）副本复印件</w:t>
      </w:r>
      <w:r>
        <w:rPr>
          <w:rFonts w:hint="eastAsia" w:ascii="仿宋_GB2312" w:eastAsia="仿宋_GB2312"/>
          <w:color w:val="auto"/>
          <w:sz w:val="32"/>
          <w:szCs w:val="32"/>
          <w:lang w:eastAsia="zh-CN"/>
        </w:rPr>
        <w:t>；</w:t>
      </w:r>
      <w:r>
        <w:rPr>
          <w:rFonts w:hint="eastAsia" w:ascii="仿宋_GB2312" w:hAnsi="仿宋_GB2312" w:eastAsia="仿宋_GB2312" w:cs="仿宋_GB2312"/>
          <w:snapToGrid w:val="0"/>
          <w:color w:val="auto"/>
          <w:kern w:val="0"/>
          <w:sz w:val="32"/>
          <w:szCs w:val="32"/>
          <w:lang w:val="en-US" w:eastAsia="zh-CN"/>
        </w:rPr>
        <w:t>类别三：机构法人证书、执业资质副本复印件；</w:t>
      </w:r>
    </w:p>
    <w:p w14:paraId="5E5E946B">
      <w:pPr>
        <w:keepNext w:val="0"/>
        <w:keepLines w:val="0"/>
        <w:pageBreakBefore w:val="0"/>
        <w:widowControl w:val="0"/>
        <w:kinsoku/>
        <w:wordWrap/>
        <w:overflowPunct/>
        <w:topLinePunct w:val="0"/>
        <w:autoSpaceDE/>
        <w:autoSpaceDN/>
        <w:bidi w:val="0"/>
        <w:snapToGrid w:val="0"/>
        <w:spacing w:line="560" w:lineRule="exact"/>
        <w:ind w:firstLine="640" w:firstLineChars="200"/>
        <w:rPr>
          <w:rFonts w:ascii="仿宋_GB2312" w:eastAsia="仿宋_GB2312"/>
          <w:sz w:val="32"/>
          <w:szCs w:val="32"/>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申报主体</w:t>
      </w:r>
      <w:r>
        <w:rPr>
          <w:rFonts w:hint="eastAsia" w:ascii="仿宋_GB2312" w:eastAsia="仿宋_GB2312"/>
          <w:color w:val="auto"/>
          <w:sz w:val="32"/>
          <w:szCs w:val="32"/>
        </w:rPr>
        <w:t>基本状况</w:t>
      </w:r>
      <w:r>
        <w:rPr>
          <w:rFonts w:hint="eastAsia" w:ascii="仿宋_GB2312" w:eastAsia="仿宋_GB2312"/>
          <w:color w:val="auto"/>
          <w:sz w:val="32"/>
          <w:szCs w:val="32"/>
          <w:lang w:eastAsia="zh-CN"/>
        </w:rPr>
        <w:t>以及</w:t>
      </w:r>
      <w:r>
        <w:rPr>
          <w:rFonts w:hint="eastAsia" w:ascii="仿宋_GB2312" w:eastAsia="仿宋_GB2312"/>
          <w:color w:val="auto"/>
          <w:sz w:val="32"/>
          <w:szCs w:val="32"/>
        </w:rPr>
        <w:t>申报书中所涉及内容</w:t>
      </w:r>
      <w:r>
        <w:rPr>
          <w:rFonts w:hint="eastAsia" w:ascii="仿宋_GB2312" w:eastAsia="仿宋_GB2312"/>
          <w:color w:val="auto"/>
          <w:sz w:val="32"/>
          <w:szCs w:val="32"/>
          <w:lang w:eastAsia="zh-CN"/>
        </w:rPr>
        <w:t>的</w:t>
      </w:r>
      <w:r>
        <w:rPr>
          <w:rFonts w:hint="eastAsia" w:ascii="仿宋_GB2312" w:eastAsia="仿宋_GB2312"/>
          <w:sz w:val="32"/>
          <w:szCs w:val="32"/>
        </w:rPr>
        <w:t>相关证明材料；</w:t>
      </w:r>
    </w:p>
    <w:p w14:paraId="0507DAAF">
      <w:pPr>
        <w:keepNext w:val="0"/>
        <w:keepLines w:val="0"/>
        <w:pageBreakBefore w:val="0"/>
        <w:widowControl w:val="0"/>
        <w:kinsoku/>
        <w:wordWrap/>
        <w:overflowPunct/>
        <w:topLinePunct w:val="0"/>
        <w:autoSpaceDE/>
        <w:autoSpaceDN/>
        <w:bidi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（4）其他</w:t>
      </w:r>
      <w:r>
        <w:rPr>
          <w:rFonts w:hint="eastAsia" w:ascii="仿宋_GB2312" w:eastAsia="仿宋_GB2312"/>
          <w:sz w:val="32"/>
          <w:szCs w:val="32"/>
        </w:rPr>
        <w:t>需证明材料。</w:t>
      </w:r>
    </w:p>
    <w:p w14:paraId="13265E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2.</w:t>
      </w:r>
      <w:r>
        <w:rPr>
          <w:rFonts w:hint="eastAsia" w:ascii="仿宋_GB2312" w:hAnsi="仿宋_GB2312" w:eastAsia="仿宋_GB2312" w:cs="仿宋_GB2312"/>
          <w:snapToGrid w:val="0"/>
          <w:kern w:val="0"/>
          <w:sz w:val="32"/>
          <w:szCs w:val="32"/>
        </w:rPr>
        <w:t>内容应真实、准确、规范，如</w:t>
      </w:r>
      <w:r>
        <w:rPr>
          <w:rFonts w:ascii="仿宋_GB2312" w:hAnsi="仿宋_GB2312" w:eastAsia="仿宋_GB2312" w:cs="仿宋_GB2312"/>
          <w:snapToGrid w:val="0"/>
          <w:kern w:val="0"/>
          <w:sz w:val="32"/>
          <w:szCs w:val="32"/>
        </w:rPr>
        <w:t>发现数据资料等弄虚作假的</w:t>
      </w:r>
      <w:r>
        <w:rPr>
          <w:rFonts w:hint="eastAsia" w:ascii="仿宋_GB2312" w:hAnsi="仿宋_GB2312" w:eastAsia="仿宋_GB2312" w:cs="仿宋_GB2312"/>
          <w:snapToGrid w:val="0"/>
          <w:kern w:val="0"/>
          <w:sz w:val="32"/>
          <w:szCs w:val="32"/>
        </w:rPr>
        <w:t>一律取消立项资格。</w:t>
      </w:r>
    </w:p>
    <w:p w14:paraId="4F97E5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3.申报材料纸件要求A4纸，于左侧胶装成册，一式四份，加盖申报单位及推荐单位公章。电子版应与纸质材料内容一致（加盖公章扫描件），标题为：“单位名称+2027年陕西省涉外知识产权保护能力提升项目申报材料（类别xx）”，存于U盘或光盘中同纸件材料一同报送。</w:t>
      </w:r>
    </w:p>
    <w:p w14:paraId="09067CB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楷体_GB2312" w:hAnsi="Calibri" w:eastAsia="楷体_GB2312"/>
          <w:b/>
          <w:sz w:val="32"/>
          <w:szCs w:val="32"/>
          <w:lang w:val="en-US" w:eastAsia="zh-CN"/>
        </w:rPr>
      </w:pPr>
      <w:r>
        <w:rPr>
          <w:rFonts w:hint="eastAsia" w:ascii="楷体_GB2312" w:hAnsi="Calibri" w:eastAsia="楷体_GB2312"/>
          <w:b/>
          <w:sz w:val="32"/>
          <w:szCs w:val="32"/>
          <w:lang w:val="en-US" w:eastAsia="zh-CN"/>
        </w:rPr>
        <w:t>（二）申报程序</w:t>
      </w:r>
    </w:p>
    <w:p w14:paraId="29D0C488">
      <w:pPr>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按照属地原则逐级报送，由各市（区）知识产权局（市场监管局）对报送项目进行初审，择优出具正式推荐函并配套项目汇总表，同项目申报材料一并EMS邮寄至西安市新城区新城大院省政府前大楼3011室。</w:t>
      </w:r>
    </w:p>
    <w:p w14:paraId="2BB1B15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楷体_GB2312" w:hAnsi="Calibri" w:eastAsia="楷体_GB2312"/>
          <w:b/>
          <w:sz w:val="32"/>
          <w:szCs w:val="32"/>
          <w:lang w:val="en-US" w:eastAsia="zh-CN"/>
        </w:rPr>
      </w:pPr>
      <w:r>
        <w:rPr>
          <w:rFonts w:hint="eastAsia" w:ascii="楷体_GB2312" w:hAnsi="Calibri" w:eastAsia="楷体_GB2312"/>
          <w:b/>
          <w:sz w:val="32"/>
          <w:szCs w:val="32"/>
          <w:lang w:val="en-US" w:eastAsia="zh-CN"/>
        </w:rPr>
        <w:t>（三）</w:t>
      </w:r>
      <w:r>
        <w:rPr>
          <w:rFonts w:hint="eastAsia" w:ascii="楷体_GB2312" w:eastAsia="楷体_GB2312"/>
          <w:b/>
          <w:sz w:val="32"/>
          <w:szCs w:val="32"/>
          <w:lang w:val="en-US" w:eastAsia="zh-CN"/>
        </w:rPr>
        <w:t>项目</w:t>
      </w:r>
      <w:r>
        <w:rPr>
          <w:rFonts w:hint="eastAsia" w:ascii="楷体_GB2312" w:hAnsi="Calibri" w:eastAsia="楷体_GB2312"/>
          <w:b/>
          <w:sz w:val="32"/>
          <w:szCs w:val="32"/>
          <w:lang w:val="en-US" w:eastAsia="zh-CN"/>
        </w:rPr>
        <w:t>实施</w:t>
      </w:r>
    </w:p>
    <w:p w14:paraId="0D08F8B1">
      <w:pPr>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省知识产权局组织</w:t>
      </w:r>
      <w:r>
        <w:rPr>
          <w:rFonts w:hint="eastAsia" w:ascii="仿宋_GB2312" w:hAnsi="仿宋_GB2312" w:eastAsia="仿宋_GB2312" w:cs="仿宋_GB2312"/>
          <w:b w:val="0"/>
          <w:bCs w:val="0"/>
          <w:color w:val="auto"/>
          <w:sz w:val="32"/>
          <w:szCs w:val="32"/>
          <w:lang w:eastAsia="zh-CN"/>
        </w:rPr>
        <w:t>进行项目</w:t>
      </w:r>
      <w:r>
        <w:rPr>
          <w:rFonts w:hint="eastAsia" w:ascii="仿宋_GB2312" w:hAnsi="仿宋_GB2312" w:eastAsia="仿宋_GB2312" w:cs="仿宋_GB2312"/>
          <w:b w:val="0"/>
          <w:bCs w:val="0"/>
          <w:color w:val="auto"/>
          <w:sz w:val="32"/>
          <w:szCs w:val="32"/>
        </w:rPr>
        <w:t>评审</w:t>
      </w:r>
      <w:r>
        <w:rPr>
          <w:rFonts w:hint="eastAsia" w:ascii="仿宋_GB2312" w:hAnsi="仿宋_GB2312" w:eastAsia="仿宋_GB2312" w:cs="仿宋_GB2312"/>
          <w:color w:val="auto"/>
          <w:kern w:val="2"/>
          <w:sz w:val="32"/>
          <w:szCs w:val="32"/>
          <w:highlight w:val="none"/>
          <w:lang w:val="en-US" w:eastAsia="zh-CN" w:bidi="ar-SA"/>
        </w:rPr>
        <w:t>，研究确定立项的，会同省财政厅下达项目经费；不予立项的，申报材料不予退还。</w:t>
      </w:r>
    </w:p>
    <w:p w14:paraId="6C1D0559">
      <w:pPr>
        <w:pageBreakBefore w:val="0"/>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项目实施期为1年，自项目下达之日起计算，立项后拨付50%启动资金，省知识产权局将适时组织开展项目中期检查。项目实施期满后，由省知识产权局组织进行项目验收，验收通过的拨付剩余50%项目经费。项目支持经费最高不超过30万元。</w:t>
      </w:r>
    </w:p>
    <w:p w14:paraId="4772038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楷体_GB2312" w:hAnsi="Calibri" w:eastAsia="楷体_GB2312"/>
          <w:b/>
          <w:sz w:val="32"/>
          <w:szCs w:val="32"/>
          <w:lang w:val="en-US" w:eastAsia="zh-CN"/>
        </w:rPr>
      </w:pPr>
      <w:r>
        <w:rPr>
          <w:rFonts w:hint="eastAsia" w:ascii="楷体_GB2312" w:hAnsi="Calibri" w:eastAsia="楷体_GB2312"/>
          <w:b/>
          <w:sz w:val="32"/>
          <w:szCs w:val="32"/>
          <w:lang w:val="en-US" w:eastAsia="zh-CN"/>
        </w:rPr>
        <w:t>（四）项目联系人</w:t>
      </w:r>
    </w:p>
    <w:p w14:paraId="4B6B48C6">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eastAsia" w:ascii="仿宋_GB2312" w:hAnsi="仿宋_GB2312" w:eastAsia="仿宋_GB2312" w:cs="仿宋_GB2312"/>
          <w:sz w:val="32"/>
          <w:szCs w:val="32"/>
        </w:rPr>
        <w:sectPr>
          <w:footerReference r:id="rId3" w:type="default"/>
          <w:pgSz w:w="11906" w:h="16838"/>
          <w:pgMar w:top="2098" w:right="1474" w:bottom="1984" w:left="1587" w:header="851" w:footer="992" w:gutter="0"/>
          <w:pgNumType w:fmt="numberInDash"/>
          <w:cols w:space="720" w:num="1"/>
          <w:docGrid w:type="lines" w:linePitch="312" w:charSpace="0"/>
        </w:sectPr>
      </w:pPr>
      <w:r>
        <w:rPr>
          <w:rFonts w:hint="eastAsia" w:ascii="仿宋_GB2312" w:hAnsi="仿宋" w:eastAsia="仿宋_GB2312"/>
          <w:spacing w:val="-6"/>
          <w:sz w:val="32"/>
          <w:szCs w:val="32"/>
          <w:lang w:eastAsia="zh-CN"/>
        </w:rPr>
        <w:t>省知识产权局</w:t>
      </w:r>
      <w:r>
        <w:rPr>
          <w:rFonts w:hint="eastAsia" w:ascii="仿宋_GB2312" w:hAnsi="仿宋" w:eastAsia="仿宋_GB2312"/>
          <w:spacing w:val="-6"/>
          <w:sz w:val="32"/>
          <w:szCs w:val="32"/>
        </w:rPr>
        <w:t>保护处</w:t>
      </w:r>
      <w:r>
        <w:rPr>
          <w:rFonts w:hint="eastAsia" w:ascii="仿宋_GB2312" w:hAnsi="仿宋" w:eastAsia="仿宋_GB2312"/>
          <w:spacing w:val="-6"/>
          <w:sz w:val="32"/>
          <w:szCs w:val="32"/>
          <w:lang w:eastAsia="zh-CN"/>
        </w:rPr>
        <w:t>王</w:t>
      </w:r>
      <w:r>
        <w:rPr>
          <w:rFonts w:hint="eastAsia" w:ascii="仿宋_GB2312" w:hAnsi="仿宋" w:eastAsia="仿宋_GB2312"/>
          <w:spacing w:val="-6"/>
          <w:sz w:val="32"/>
          <w:szCs w:val="32"/>
        </w:rPr>
        <w:t>老师</w:t>
      </w:r>
      <w:r>
        <w:rPr>
          <w:rFonts w:hint="eastAsia" w:ascii="仿宋_GB2312" w:hAnsi="仿宋" w:eastAsia="仿宋_GB2312"/>
          <w:spacing w:val="-6"/>
          <w:sz w:val="32"/>
          <w:szCs w:val="32"/>
          <w:lang w:val="en-US" w:eastAsia="zh-CN"/>
        </w:rPr>
        <w:t xml:space="preserve">      </w:t>
      </w:r>
      <w:r>
        <w:rPr>
          <w:rFonts w:hint="eastAsia" w:ascii="仿宋_GB2312" w:hAnsi="仿宋" w:eastAsia="仿宋_GB2312"/>
          <w:spacing w:val="-6"/>
          <w:sz w:val="32"/>
          <w:szCs w:val="32"/>
        </w:rPr>
        <w:t>029-6391687</w:t>
      </w:r>
      <w:r>
        <w:rPr>
          <w:rFonts w:hint="eastAsia" w:ascii="仿宋_GB2312" w:hAnsi="仿宋" w:eastAsia="仿宋_GB2312"/>
          <w:spacing w:val="-6"/>
          <w:sz w:val="32"/>
          <w:szCs w:val="32"/>
          <w:lang w:val="en-US" w:eastAsia="zh-CN"/>
        </w:rPr>
        <w:t>0</w:t>
      </w:r>
    </w:p>
    <w:p w14:paraId="6A9833BA">
      <w:pPr>
        <w:adjustRightInd w:val="0"/>
        <w:spacing w:line="560" w:lineRule="exact"/>
        <w:jc w:val="both"/>
        <w:textAlignment w:val="baseline"/>
        <w:rPr>
          <w:rFonts w:hint="eastAsia" w:ascii="楷体_GB2312" w:hAnsi="宋体" w:eastAsia="楷体_GB2312" w:cs="宋体"/>
          <w:kern w:val="0"/>
          <w:sz w:val="32"/>
          <w:szCs w:val="32"/>
        </w:rPr>
      </w:pPr>
    </w:p>
    <w:p w14:paraId="1676526B">
      <w:pPr>
        <w:spacing w:line="560" w:lineRule="exact"/>
        <w:ind w:firstLine="640" w:firstLineChars="200"/>
        <w:rPr>
          <w:rFonts w:hAnsi="宋体" w:cs="宋体"/>
          <w:sz w:val="32"/>
          <w:szCs w:val="32"/>
        </w:rPr>
      </w:pPr>
    </w:p>
    <w:p w14:paraId="5123B18F">
      <w:pPr>
        <w:pStyle w:val="12"/>
        <w:ind w:firstLine="0" w:firstLineChars="0"/>
        <w:jc w:val="center"/>
        <w:rPr>
          <w:rFonts w:ascii="方正小标宋简体" w:hAnsi="方正小标宋_GBK" w:eastAsia="方正小标宋简体" w:cs="方正小标宋_GBK"/>
          <w:sz w:val="52"/>
          <w:szCs w:val="52"/>
        </w:rPr>
      </w:pPr>
      <w:r>
        <w:rPr>
          <w:rFonts w:hint="eastAsia" w:ascii="方正小标宋简体" w:hAnsi="方正小标宋_GBK" w:eastAsia="方正小标宋简体" w:cs="方正小标宋_GBK"/>
          <w:sz w:val="52"/>
          <w:szCs w:val="52"/>
          <w:lang w:val="en-US" w:eastAsia="zh-CN"/>
        </w:rPr>
        <w:t>2027年</w:t>
      </w:r>
      <w:r>
        <w:rPr>
          <w:rFonts w:hint="eastAsia" w:ascii="方正小标宋简体" w:hAnsi="方正小标宋_GBK" w:eastAsia="方正小标宋简体" w:cs="方正小标宋_GBK"/>
          <w:sz w:val="52"/>
          <w:szCs w:val="52"/>
        </w:rPr>
        <w:t>陕西省涉外知识产权保护能力提升项目申报书</w:t>
      </w:r>
    </w:p>
    <w:p w14:paraId="0745E4E9">
      <w:pPr>
        <w:spacing w:line="560" w:lineRule="exact"/>
        <w:ind w:firstLine="640" w:firstLineChars="200"/>
        <w:rPr>
          <w:rFonts w:ascii="楷体_GB2312" w:hAnsi="宋体" w:eastAsia="楷体_GB2312" w:cs="宋体"/>
          <w:sz w:val="32"/>
          <w:szCs w:val="32"/>
        </w:rPr>
      </w:pPr>
    </w:p>
    <w:p w14:paraId="5CD4F684">
      <w:pPr>
        <w:spacing w:line="560" w:lineRule="exact"/>
        <w:ind w:firstLine="640" w:firstLineChars="200"/>
        <w:rPr>
          <w:rFonts w:ascii="楷体_GB2312" w:hAnsi="宋体" w:eastAsia="楷体_GB2312" w:cs="宋体"/>
          <w:sz w:val="32"/>
          <w:szCs w:val="32"/>
        </w:rPr>
      </w:pPr>
    </w:p>
    <w:p w14:paraId="52E3234B">
      <w:pPr>
        <w:spacing w:line="560" w:lineRule="exact"/>
        <w:ind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申报项目类型：</w:t>
      </w:r>
    </w:p>
    <w:p w14:paraId="667CBA55">
      <w:pPr>
        <w:spacing w:line="560" w:lineRule="exact"/>
        <w:ind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□海外知识产权风险防控体系建设方向</w:t>
      </w:r>
    </w:p>
    <w:p w14:paraId="7E51CA20">
      <w:pPr>
        <w:spacing w:line="560" w:lineRule="exact"/>
        <w:ind w:firstLine="960" w:firstLineChars="3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海外知识产权纠纷应对指导方向</w:t>
      </w:r>
    </w:p>
    <w:p w14:paraId="66140501">
      <w:pPr>
        <w:spacing w:line="560" w:lineRule="exact"/>
        <w:ind w:firstLine="960" w:firstLineChars="3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□涉外知识产权多元化纠纷解决能力提升方向</w:t>
      </w:r>
    </w:p>
    <w:p w14:paraId="6150411F">
      <w:pPr>
        <w:spacing w:line="560" w:lineRule="exact"/>
        <w:ind w:firstLine="960" w:firstLineChars="300"/>
        <w:rPr>
          <w:rFonts w:hint="eastAsia" w:ascii="楷体_GB2312" w:hAnsi="楷体_GB2312" w:eastAsia="楷体_GB2312" w:cs="楷体_GB2312"/>
          <w:sz w:val="32"/>
          <w:szCs w:val="32"/>
        </w:rPr>
      </w:pPr>
    </w:p>
    <w:p w14:paraId="48731487">
      <w:pPr>
        <w:pStyle w:val="2"/>
        <w:rPr>
          <w:rFonts w:hint="eastAsia" w:ascii="楷体_GB2312" w:hAnsi="楷体_GB2312" w:eastAsia="楷体_GB2312" w:cs="楷体_GB2312"/>
          <w:sz w:val="32"/>
          <w:szCs w:val="32"/>
        </w:rPr>
      </w:pPr>
    </w:p>
    <w:p w14:paraId="6CF924C1"/>
    <w:p w14:paraId="6E311E57">
      <w:pPr>
        <w:spacing w:line="560" w:lineRule="exact"/>
        <w:ind w:firstLine="960" w:firstLineChars="300"/>
        <w:rPr>
          <w:rFonts w:ascii="楷体_GB2312" w:hAnsi="宋体" w:eastAsia="楷体_GB2312" w:cs="宋体"/>
          <w:sz w:val="32"/>
          <w:szCs w:val="32"/>
        </w:rPr>
      </w:pPr>
      <w:r>
        <w:rPr>
          <w:rFonts w:hint="eastAsia" w:ascii="楷体_GB2312" w:hAnsi="宋体" w:eastAsia="楷体_GB2312" w:cs="宋体"/>
          <w:sz w:val="32"/>
          <w:szCs w:val="32"/>
        </w:rPr>
        <w:t>申报单位：</w:t>
      </w:r>
      <w:r>
        <w:rPr>
          <w:rFonts w:hint="eastAsia" w:ascii="楷体_GB2312" w:hAnsi="宋体" w:eastAsia="楷体_GB2312" w:cs="宋体"/>
          <w:sz w:val="32"/>
          <w:szCs w:val="32"/>
          <w:u w:val="single"/>
        </w:rPr>
        <w:t xml:space="preserve">                               </w:t>
      </w:r>
    </w:p>
    <w:p w14:paraId="37E575F7">
      <w:pPr>
        <w:spacing w:line="560" w:lineRule="exact"/>
        <w:ind w:firstLine="640" w:firstLineChars="200"/>
        <w:rPr>
          <w:rFonts w:ascii="楷体_GB2312" w:hAnsi="宋体" w:eastAsia="楷体_GB2312" w:cs="宋体"/>
          <w:sz w:val="32"/>
          <w:szCs w:val="32"/>
        </w:rPr>
      </w:pPr>
    </w:p>
    <w:p w14:paraId="4EDECFE7">
      <w:pPr>
        <w:spacing w:line="560" w:lineRule="exact"/>
        <w:ind w:firstLine="960" w:firstLineChars="300"/>
        <w:rPr>
          <w:rFonts w:ascii="楷体_GB2312" w:hAnsi="宋体" w:eastAsia="楷体_GB2312" w:cs="宋体"/>
          <w:sz w:val="32"/>
          <w:szCs w:val="32"/>
        </w:rPr>
      </w:pPr>
      <w:r>
        <w:rPr>
          <w:rFonts w:hint="eastAsia" w:ascii="楷体_GB2312" w:hAnsi="宋体" w:eastAsia="楷体_GB2312" w:cs="宋体"/>
          <w:sz w:val="32"/>
          <w:szCs w:val="32"/>
        </w:rPr>
        <w:t>填报日期：</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年</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月</w:t>
      </w:r>
      <w:r>
        <w:rPr>
          <w:rFonts w:hint="eastAsia" w:ascii="楷体_GB2312" w:hAnsi="宋体" w:eastAsia="楷体_GB2312" w:cs="宋体"/>
          <w:sz w:val="32"/>
          <w:szCs w:val="32"/>
          <w:u w:val="single"/>
        </w:rPr>
        <w:t xml:space="preserve">      </w:t>
      </w:r>
      <w:r>
        <w:rPr>
          <w:rFonts w:hint="eastAsia" w:ascii="楷体_GB2312" w:hAnsi="宋体" w:eastAsia="楷体_GB2312" w:cs="宋体"/>
          <w:sz w:val="32"/>
          <w:szCs w:val="32"/>
        </w:rPr>
        <w:t>日</w:t>
      </w:r>
    </w:p>
    <w:p w14:paraId="659E0038">
      <w:pPr>
        <w:spacing w:line="560" w:lineRule="exact"/>
        <w:ind w:firstLine="640" w:firstLineChars="200"/>
        <w:rPr>
          <w:rFonts w:ascii="楷体_GB2312" w:hAnsi="宋体" w:eastAsia="楷体_GB2312" w:cs="宋体"/>
          <w:sz w:val="32"/>
          <w:szCs w:val="32"/>
        </w:rPr>
      </w:pPr>
    </w:p>
    <w:p w14:paraId="31B5F96E">
      <w:pPr>
        <w:spacing w:line="560" w:lineRule="exact"/>
        <w:ind w:firstLine="640" w:firstLineChars="200"/>
        <w:rPr>
          <w:rFonts w:ascii="楷体_GB2312" w:hAnsi="宋体" w:eastAsia="楷体_GB2312" w:cs="宋体"/>
          <w:sz w:val="32"/>
          <w:szCs w:val="32"/>
        </w:rPr>
      </w:pPr>
    </w:p>
    <w:p w14:paraId="7F768E7D">
      <w:pPr>
        <w:spacing w:line="560" w:lineRule="exact"/>
        <w:jc w:val="center"/>
        <w:rPr>
          <w:rFonts w:ascii="楷体_GB2312" w:hAnsi="宋体" w:eastAsia="楷体_GB2312" w:cs="宋体"/>
          <w:sz w:val="32"/>
          <w:szCs w:val="32"/>
        </w:rPr>
      </w:pPr>
      <w:r>
        <w:rPr>
          <w:rFonts w:hint="eastAsia" w:ascii="楷体_GB2312" w:hAnsi="宋体" w:eastAsia="楷体_GB2312" w:cs="宋体"/>
          <w:sz w:val="32"/>
          <w:szCs w:val="32"/>
        </w:rPr>
        <w:t>陕西省知识产权局编制</w:t>
      </w:r>
    </w:p>
    <w:p w14:paraId="69CA0D28">
      <w:pPr>
        <w:spacing w:line="560" w:lineRule="exact"/>
        <w:jc w:val="center"/>
        <w:rPr>
          <w:rFonts w:hint="eastAsia" w:ascii="楷体_GB2312" w:hAnsi="宋体" w:eastAsia="楷体_GB2312" w:cs="宋体"/>
          <w:sz w:val="32"/>
          <w:szCs w:val="32"/>
        </w:rPr>
      </w:pPr>
      <w:r>
        <w:rPr>
          <w:rFonts w:hint="eastAsia" w:ascii="楷体_GB2312" w:hAnsi="宋体" w:eastAsia="楷体_GB2312" w:cs="宋体"/>
          <w:sz w:val="32"/>
          <w:szCs w:val="32"/>
        </w:rPr>
        <w:t>二〇二</w:t>
      </w:r>
      <w:r>
        <w:rPr>
          <w:rFonts w:hint="eastAsia" w:ascii="楷体_GB2312" w:hAnsi="宋体" w:eastAsia="楷体_GB2312" w:cs="宋体"/>
          <w:sz w:val="32"/>
          <w:szCs w:val="32"/>
          <w:lang w:eastAsia="zh-CN"/>
        </w:rPr>
        <w:t>六</w:t>
      </w:r>
      <w:r>
        <w:rPr>
          <w:rFonts w:hint="eastAsia" w:ascii="楷体_GB2312" w:hAnsi="宋体" w:eastAsia="楷体_GB2312" w:cs="宋体"/>
          <w:sz w:val="32"/>
          <w:szCs w:val="32"/>
        </w:rPr>
        <w:t>年</w:t>
      </w:r>
    </w:p>
    <w:p w14:paraId="48A7BC3A">
      <w:pPr>
        <w:spacing w:line="560" w:lineRule="exact"/>
        <w:jc w:val="center"/>
        <w:rPr>
          <w:rFonts w:ascii="楷体_GB2312" w:hAnsi="宋体" w:eastAsia="楷体_GB2312" w:cs="宋体"/>
          <w:sz w:val="32"/>
          <w:szCs w:val="32"/>
        </w:rPr>
      </w:pPr>
    </w:p>
    <w:p w14:paraId="3D4C83E9">
      <w:pPr>
        <w:adjustRightInd w:val="0"/>
        <w:spacing w:line="660" w:lineRule="exact"/>
        <w:jc w:val="center"/>
        <w:textAlignment w:val="baseline"/>
        <w:rPr>
          <w:rFonts w:hint="eastAsia" w:ascii="方正小标宋简体" w:eastAsia="方正小标宋简体"/>
          <w:kern w:val="0"/>
          <w:sz w:val="44"/>
          <w:szCs w:val="44"/>
        </w:rPr>
      </w:pPr>
    </w:p>
    <w:p w14:paraId="42948F38">
      <w:pPr>
        <w:pStyle w:val="2"/>
        <w:rPr>
          <w:rFonts w:hint="eastAsia" w:ascii="方正小标宋简体" w:eastAsia="方正小标宋简体"/>
          <w:kern w:val="0"/>
          <w:sz w:val="44"/>
          <w:szCs w:val="44"/>
        </w:rPr>
      </w:pPr>
    </w:p>
    <w:p w14:paraId="21A97279">
      <w:pPr>
        <w:adjustRightInd w:val="0"/>
        <w:spacing w:line="660" w:lineRule="exact"/>
        <w:jc w:val="center"/>
        <w:textAlignment w:val="baseline"/>
        <w:rPr>
          <w:rFonts w:hint="eastAsia" w:ascii="方正小标宋简体" w:eastAsia="方正小标宋简体"/>
          <w:kern w:val="0"/>
          <w:sz w:val="44"/>
          <w:szCs w:val="44"/>
          <w:lang w:eastAsia="zh-CN"/>
        </w:rPr>
      </w:pPr>
      <w:r>
        <w:rPr>
          <w:rFonts w:hint="eastAsia" w:ascii="方正小标宋简体" w:eastAsia="方正小标宋简体"/>
          <w:kern w:val="0"/>
          <w:sz w:val="44"/>
          <w:szCs w:val="44"/>
          <w:lang w:eastAsia="zh-CN"/>
        </w:rPr>
        <w:t>填报说明</w:t>
      </w:r>
    </w:p>
    <w:p w14:paraId="77A4A76B">
      <w:pPr>
        <w:adjustRightInd w:val="0"/>
        <w:spacing w:line="660" w:lineRule="exact"/>
        <w:jc w:val="center"/>
        <w:textAlignment w:val="baseline"/>
        <w:rPr>
          <w:rFonts w:hint="eastAsia" w:ascii="方正小标宋简体" w:eastAsia="方正小标宋简体"/>
          <w:kern w:val="0"/>
          <w:sz w:val="44"/>
          <w:szCs w:val="44"/>
          <w:lang w:eastAsia="zh-CN"/>
        </w:rPr>
      </w:pPr>
    </w:p>
    <w:p w14:paraId="0C325DE1">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申报书是项目评审核心依据，申报书内容、</w:t>
      </w:r>
      <w:r>
        <w:rPr>
          <w:rFonts w:hint="eastAsia" w:ascii="仿宋_GB2312" w:hAnsi="宋体" w:eastAsia="仿宋_GB2312" w:cs="宋体"/>
          <w:kern w:val="0"/>
          <w:sz w:val="32"/>
          <w:szCs w:val="32"/>
          <w:lang w:eastAsia="zh-CN"/>
        </w:rPr>
        <w:t>相关证明</w:t>
      </w:r>
      <w:r>
        <w:rPr>
          <w:rFonts w:hint="eastAsia" w:ascii="仿宋_GB2312" w:hAnsi="宋体" w:eastAsia="仿宋_GB2312" w:cs="宋体"/>
          <w:kern w:val="0"/>
          <w:sz w:val="32"/>
          <w:szCs w:val="32"/>
        </w:rPr>
        <w:t>材料务必真实准确完整，申报单位对全部申报材料真实性、合法性负责。各市（区）知识产权主管部门履行初审职责，严格审核材料真实性。</w:t>
      </w:r>
    </w:p>
    <w:p w14:paraId="5A3F5D48">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各栏目不得空缺，无相关内容填写 “无”；栏目空间不足，可自行加页。</w:t>
      </w:r>
    </w:p>
    <w:p w14:paraId="3EEEA3E3">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统计数据（标注具体年份除外）截止时间：202</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 xml:space="preserve">年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月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 xml:space="preserve"> 日。</w:t>
      </w:r>
    </w:p>
    <w:p w14:paraId="33CBCFF4">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rPr>
        <w:t>全部填报内容均需要配套佐证材料并加盖公章；材料篇幅较长可仅提供封面、目录、关键内容页；无佐证材料视为无效填报。</w:t>
      </w:r>
    </w:p>
    <w:p w14:paraId="1BFF5748">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项目申报须经单位法人同意，完成签字或签章。</w:t>
      </w:r>
    </w:p>
    <w:p w14:paraId="028A9CFC">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项目负责人</w:t>
      </w:r>
      <w:r>
        <w:rPr>
          <w:rFonts w:hint="eastAsia" w:ascii="仿宋_GB2312" w:hAnsi="宋体" w:eastAsia="仿宋_GB2312" w:cs="宋体"/>
          <w:kern w:val="0"/>
          <w:sz w:val="32"/>
          <w:szCs w:val="32"/>
          <w:lang w:eastAsia="zh-CN"/>
        </w:rPr>
        <w:t>一般</w:t>
      </w:r>
      <w:r>
        <w:rPr>
          <w:rFonts w:hint="eastAsia" w:ascii="仿宋_GB2312" w:hAnsi="宋体" w:eastAsia="仿宋_GB2312" w:cs="宋体"/>
          <w:kern w:val="0"/>
          <w:sz w:val="32"/>
          <w:szCs w:val="32"/>
        </w:rPr>
        <w:t>为</w:t>
      </w:r>
      <w:r>
        <w:rPr>
          <w:rFonts w:hint="eastAsia" w:ascii="仿宋_GB2312" w:hAnsi="宋体" w:eastAsia="仿宋_GB2312" w:cs="宋体"/>
          <w:kern w:val="0"/>
          <w:sz w:val="32"/>
          <w:szCs w:val="32"/>
          <w:lang w:eastAsia="zh-CN"/>
        </w:rPr>
        <w:t>单位法人</w:t>
      </w:r>
      <w:r>
        <w:rPr>
          <w:rFonts w:hint="eastAsia" w:ascii="仿宋_GB2312" w:hAnsi="宋体" w:eastAsia="仿宋_GB2312" w:cs="宋体"/>
          <w:kern w:val="0"/>
          <w:sz w:val="32"/>
          <w:szCs w:val="32"/>
        </w:rPr>
        <w:t>；项目联系人一般为</w:t>
      </w:r>
      <w:r>
        <w:rPr>
          <w:rFonts w:hint="eastAsia" w:ascii="仿宋_GB2312" w:hAnsi="宋体" w:eastAsia="仿宋_GB2312" w:cs="宋体"/>
          <w:kern w:val="0"/>
          <w:sz w:val="32"/>
          <w:szCs w:val="32"/>
          <w:lang w:eastAsia="zh-CN"/>
        </w:rPr>
        <w:t>具体组织项目实施的部门负责人</w:t>
      </w:r>
      <w:r>
        <w:rPr>
          <w:rFonts w:hint="eastAsia" w:ascii="仿宋_GB2312" w:hAnsi="宋体" w:eastAsia="仿宋_GB2312" w:cs="宋体"/>
          <w:kern w:val="0"/>
          <w:sz w:val="32"/>
          <w:szCs w:val="32"/>
        </w:rPr>
        <w:t>。</w:t>
      </w:r>
    </w:p>
    <w:p w14:paraId="00FE29A5">
      <w:pPr>
        <w:adjustRightInd w:val="0"/>
        <w:snapToGrid w:val="0"/>
        <w:spacing w:line="600" w:lineRule="exact"/>
        <w:ind w:firstLine="640" w:firstLineChars="200"/>
        <w:textAlignment w:val="baseline"/>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rPr>
        <w:t>.申报书中存在的提示性内容，填写时将相应内容删除。</w:t>
      </w:r>
    </w:p>
    <w:p w14:paraId="7446180C">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eastAsia" w:ascii="方正小标宋简体" w:hAnsi="方正小标宋简体" w:eastAsia="方正小标宋简体" w:cs="方正小标宋简体"/>
          <w:bCs/>
          <w:sz w:val="44"/>
          <w:szCs w:val="44"/>
        </w:rPr>
      </w:pPr>
      <w:r>
        <w:rPr>
          <w:rFonts w:hint="eastAsia" w:ascii="方正小标宋简体" w:eastAsia="方正小标宋简体"/>
          <w:kern w:val="0"/>
          <w:sz w:val="44"/>
          <w:szCs w:val="44"/>
        </w:rPr>
        <w:br w:type="page"/>
      </w:r>
      <w:r>
        <w:rPr>
          <w:rFonts w:hint="eastAsia" w:ascii="方正小标宋简体" w:hAnsi="方正小标宋简体" w:eastAsia="方正小标宋简体" w:cs="方正小标宋简体"/>
          <w:bCs/>
          <w:sz w:val="44"/>
          <w:szCs w:val="44"/>
        </w:rPr>
        <w:t>项目申报承诺书</w:t>
      </w:r>
    </w:p>
    <w:p w14:paraId="569D897A">
      <w:pPr>
        <w:keepNext w:val="0"/>
        <w:keepLines w:val="0"/>
        <w:pageBreakBefore w:val="0"/>
        <w:widowControl/>
        <w:kinsoku/>
        <w:wordWrap/>
        <w:overflowPunct/>
        <w:topLinePunct w:val="0"/>
        <w:autoSpaceDE/>
        <w:autoSpaceDN/>
        <w:bidi w:val="0"/>
        <w:adjustRightInd/>
        <w:snapToGrid/>
        <w:spacing w:line="240" w:lineRule="auto"/>
        <w:textAlignment w:val="auto"/>
        <w:rPr>
          <w:rFonts w:ascii="仿宋" w:hAnsi="仿宋" w:eastAsia="仿宋" w:cs="宋体"/>
          <w:sz w:val="32"/>
          <w:szCs w:val="32"/>
        </w:rPr>
      </w:pPr>
    </w:p>
    <w:p w14:paraId="0AF9E204">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单位承诺目前运营正常，财务、信用状况良好，申报提交全部资料真实有效。不存在行政、司法认定的知识产权恶意侵权行为；不存在编报虚假预算、篡改财务数据等失信行为；不属于失信联合惩戒对象；过往各级知识产权项目申报、执行无不良信用记录。项目资金获批后，本单位严格按照管理规定规范使用专项资金。</w:t>
      </w:r>
    </w:p>
    <w:p w14:paraId="107F846A">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本单位承诺如有失实或失信行为，愿意根据相关规定，承担以下责任：</w:t>
      </w:r>
    </w:p>
    <w:p w14:paraId="7CFD66ED">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1.取消项目承接资格，全额收回已拨付项目经费；</w:t>
      </w:r>
    </w:p>
    <w:p w14:paraId="524D91FD">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2.失信行为记入信用黑名单，报送陕西省公共信用信息平台，纳入社会信用记录；</w:t>
      </w:r>
    </w:p>
    <w:p w14:paraId="744E809B">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3.承担相应法律责任。</w:t>
      </w:r>
    </w:p>
    <w:p w14:paraId="12997AC6">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p w14:paraId="788B4B23">
      <w:pPr>
        <w:rPr>
          <w:rFonts w:ascii="仿宋" w:hAnsi="仿宋" w:eastAsia="仿宋" w:cs="仿宋"/>
          <w:sz w:val="28"/>
          <w:szCs w:val="28"/>
        </w:rPr>
      </w:pPr>
    </w:p>
    <w:p w14:paraId="20F6E979">
      <w:pPr>
        <w:keepNext w:val="0"/>
        <w:keepLines w:val="0"/>
        <w:pageBreakBefore w:val="0"/>
        <w:widowControl/>
        <w:kinsoku/>
        <w:wordWrap/>
        <w:overflowPunct/>
        <w:topLinePunct w:val="0"/>
        <w:autoSpaceDE/>
        <w:autoSpaceDN/>
        <w:bidi w:val="0"/>
        <w:adjustRightInd/>
        <w:snapToGrid/>
        <w:ind w:firstLine="3200" w:firstLineChars="10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申报单位（盖章）：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p>
    <w:p w14:paraId="37CE6CB4">
      <w:pPr>
        <w:keepNext w:val="0"/>
        <w:keepLines w:val="0"/>
        <w:pageBreakBefore w:val="0"/>
        <w:widowControl/>
        <w:kinsoku/>
        <w:wordWrap/>
        <w:overflowPunct/>
        <w:topLinePunct w:val="0"/>
        <w:autoSpaceDE/>
        <w:autoSpaceDN/>
        <w:bidi w:val="0"/>
        <w:adjustRightInd/>
        <w:snapToGrid/>
        <w:spacing w:before="320" w:beforeLines="100" w:line="240" w:lineRule="auto"/>
        <w:ind w:right="1680" w:rightChars="800" w:firstLine="0" w:firstLineChars="0"/>
        <w:jc w:val="righ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  月  日</w:t>
      </w:r>
    </w:p>
    <w:p w14:paraId="13E251E1">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0" w:firstLineChars="0"/>
        <w:jc w:val="both"/>
        <w:textAlignment w:val="auto"/>
        <w:rPr>
          <w:rFonts w:hint="eastAsia" w:ascii="仿宋_GB2312" w:hAnsi="仿宋_GB2312" w:eastAsia="仿宋_GB2312" w:cs="仿宋_GB2312"/>
          <w:snapToGrid w:val="0"/>
          <w:color w:val="auto"/>
          <w:spacing w:val="-6"/>
          <w:kern w:val="0"/>
          <w:sz w:val="30"/>
          <w:szCs w:val="30"/>
          <w:lang w:eastAsia="zh-CN"/>
        </w:rPr>
      </w:pPr>
    </w:p>
    <w:p w14:paraId="652C64AA">
      <w:pPr>
        <w:spacing w:line="560" w:lineRule="exact"/>
        <w:ind w:firstLine="616" w:firstLineChars="200"/>
        <w:rPr>
          <w:rFonts w:hint="eastAsia" w:ascii="黑体" w:hAnsi="黑体" w:eastAsia="黑体" w:cs="宋体"/>
          <w:sz w:val="32"/>
          <w:szCs w:val="32"/>
          <w:lang w:val="en-US" w:eastAsia="zh-CN"/>
        </w:rPr>
      </w:pPr>
      <w:r>
        <w:rPr>
          <w:rFonts w:hint="eastAsia" w:ascii="仿宋_GB2312" w:hAnsi="仿宋_GB2312" w:eastAsia="仿宋_GB2312" w:cs="Times New Roman"/>
          <w:snapToGrid w:val="0"/>
          <w:color w:val="0000FF"/>
          <w:spacing w:val="-6"/>
          <w:kern w:val="0"/>
          <w:sz w:val="32"/>
          <w:szCs w:val="24"/>
          <w:lang w:val="en-US" w:eastAsia="zh-CN"/>
        </w:rPr>
        <w:br w:type="page"/>
      </w:r>
      <w:r>
        <w:rPr>
          <w:rFonts w:hint="eastAsia" w:ascii="黑体" w:hAnsi="黑体" w:eastAsia="黑体" w:cs="宋体"/>
          <w:sz w:val="32"/>
          <w:szCs w:val="32"/>
        </w:rPr>
        <w:t>一、基本信息</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1359"/>
        <w:gridCol w:w="1359"/>
        <w:gridCol w:w="1359"/>
        <w:gridCol w:w="1359"/>
        <w:gridCol w:w="2180"/>
      </w:tblGrid>
      <w:tr w14:paraId="5BD8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465BF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b w:val="0"/>
                <w:bCs w:val="0"/>
                <w:kern w:val="0"/>
                <w:sz w:val="28"/>
                <w:szCs w:val="28"/>
                <w:lang w:val="en-US" w:eastAsia="zh-CN" w:bidi="ar"/>
              </w:rPr>
              <w:t>产业领域</w:t>
            </w:r>
          </w:p>
        </w:tc>
        <w:tc>
          <w:tcPr>
            <w:tcW w:w="7616" w:type="dxa"/>
            <w:gridSpan w:val="5"/>
            <w:noWrap w:val="0"/>
            <w:vAlign w:val="top"/>
          </w:tcPr>
          <w:p w14:paraId="271676E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vertAlign w:val="baseline"/>
              </w:rPr>
            </w:pPr>
          </w:p>
        </w:tc>
      </w:tr>
      <w:tr w14:paraId="4D99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FE258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项目名称</w:t>
            </w:r>
          </w:p>
        </w:tc>
        <w:tc>
          <w:tcPr>
            <w:tcW w:w="7616" w:type="dxa"/>
            <w:gridSpan w:val="5"/>
            <w:noWrap w:val="0"/>
            <w:vAlign w:val="top"/>
          </w:tcPr>
          <w:p w14:paraId="5951BC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单位名称+陕西省涉外知识产权保护能力提升项目（类别一）</w:t>
            </w:r>
          </w:p>
        </w:tc>
      </w:tr>
      <w:tr w14:paraId="5C6E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F14B8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申报单位全称</w:t>
            </w:r>
          </w:p>
        </w:tc>
        <w:tc>
          <w:tcPr>
            <w:tcW w:w="7616" w:type="dxa"/>
            <w:gridSpan w:val="5"/>
            <w:noWrap w:val="0"/>
            <w:vAlign w:val="top"/>
          </w:tcPr>
          <w:p w14:paraId="292DA5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3E5B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19733F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统一社会</w:t>
            </w:r>
          </w:p>
          <w:p w14:paraId="68DD22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信用代码</w:t>
            </w:r>
          </w:p>
        </w:tc>
        <w:tc>
          <w:tcPr>
            <w:tcW w:w="1359" w:type="dxa"/>
            <w:noWrap w:val="0"/>
            <w:vAlign w:val="top"/>
          </w:tcPr>
          <w:p w14:paraId="2611F67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64AF28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069D1B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0F9CBA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2A8A1E9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60BB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9530C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地址及邮编</w:t>
            </w:r>
          </w:p>
        </w:tc>
        <w:tc>
          <w:tcPr>
            <w:tcW w:w="1359" w:type="dxa"/>
            <w:noWrap w:val="0"/>
            <w:vAlign w:val="top"/>
          </w:tcPr>
          <w:p w14:paraId="1593A8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77043FD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70CA96F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223CC5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2B59B76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671E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61AE8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项目负责人</w:t>
            </w:r>
          </w:p>
        </w:tc>
        <w:tc>
          <w:tcPr>
            <w:tcW w:w="1359" w:type="dxa"/>
            <w:noWrap w:val="0"/>
            <w:vAlign w:val="top"/>
          </w:tcPr>
          <w:p w14:paraId="7727945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16EFF1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职务</w:t>
            </w:r>
          </w:p>
        </w:tc>
        <w:tc>
          <w:tcPr>
            <w:tcW w:w="1359" w:type="dxa"/>
            <w:noWrap w:val="0"/>
            <w:vAlign w:val="top"/>
          </w:tcPr>
          <w:p w14:paraId="457167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450E1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联系方式</w:t>
            </w:r>
          </w:p>
        </w:tc>
        <w:tc>
          <w:tcPr>
            <w:tcW w:w="2180" w:type="dxa"/>
            <w:noWrap w:val="0"/>
            <w:vAlign w:val="top"/>
          </w:tcPr>
          <w:p w14:paraId="55C6A5B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（电话及邮箱）</w:t>
            </w:r>
          </w:p>
        </w:tc>
      </w:tr>
      <w:tr w14:paraId="2A37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23A7F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项目联系人</w:t>
            </w:r>
          </w:p>
        </w:tc>
        <w:tc>
          <w:tcPr>
            <w:tcW w:w="1359" w:type="dxa"/>
            <w:noWrap w:val="0"/>
            <w:vAlign w:val="top"/>
          </w:tcPr>
          <w:p w14:paraId="65779AF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7180F0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职务</w:t>
            </w:r>
          </w:p>
        </w:tc>
        <w:tc>
          <w:tcPr>
            <w:tcW w:w="1359" w:type="dxa"/>
            <w:noWrap w:val="0"/>
            <w:vAlign w:val="top"/>
          </w:tcPr>
          <w:p w14:paraId="3FAC4B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3C4DD2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联系方式</w:t>
            </w:r>
          </w:p>
        </w:tc>
        <w:tc>
          <w:tcPr>
            <w:tcW w:w="2180" w:type="dxa"/>
            <w:noWrap w:val="0"/>
            <w:vAlign w:val="top"/>
          </w:tcPr>
          <w:p w14:paraId="4D57D9E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（电话及邮箱）</w:t>
            </w:r>
          </w:p>
        </w:tc>
      </w:tr>
      <w:tr w14:paraId="3245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016C4B8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申报主体类型（择一填报，下同）</w:t>
            </w:r>
          </w:p>
        </w:tc>
        <w:tc>
          <w:tcPr>
            <w:tcW w:w="7616" w:type="dxa"/>
            <w:gridSpan w:val="5"/>
            <w:noWrap w:val="0"/>
            <w:vAlign w:val="top"/>
          </w:tcPr>
          <w:p w14:paraId="5B6B7C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kern w:val="0"/>
                <w:sz w:val="28"/>
                <w:szCs w:val="28"/>
                <w:lang w:val="en-US" w:eastAsia="zh-CN" w:bidi="ar"/>
              </w:rPr>
              <w:t>□重点产业链链主 □国家专精特新“小巨人” ”□ 制造业单项冠军□国家知识产权示范□有海外实际经营业务企业□其他</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w:t>
            </w:r>
          </w:p>
        </w:tc>
      </w:tr>
      <w:tr w14:paraId="2FB0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6366C21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sz w:val="28"/>
                <w:szCs w:val="28"/>
                <w:lang w:val="en-US" w:eastAsia="zh-CN"/>
              </w:rPr>
            </w:pPr>
            <w:r>
              <w:rPr>
                <w:rFonts w:hint="eastAsia" w:ascii="黑体" w:hAnsi="黑体" w:eastAsia="黑体" w:cs="黑体"/>
                <w:b w:val="0"/>
                <w:bCs w:val="0"/>
                <w:kern w:val="0"/>
                <w:sz w:val="28"/>
                <w:szCs w:val="28"/>
                <w:lang w:val="en-US" w:eastAsia="zh-CN" w:bidi="ar"/>
              </w:rPr>
              <w:t>经营情况</w:t>
            </w:r>
          </w:p>
        </w:tc>
        <w:tc>
          <w:tcPr>
            <w:tcW w:w="7616" w:type="dxa"/>
            <w:gridSpan w:val="5"/>
            <w:noWrap w:val="0"/>
            <w:vAlign w:val="top"/>
          </w:tcPr>
          <w:p w14:paraId="43077F3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kern w:val="0"/>
                <w:sz w:val="28"/>
                <w:szCs w:val="28"/>
                <w:lang w:val="en-US" w:eastAsia="zh-CN" w:bidi="ar"/>
              </w:rPr>
              <w:t>2025年度主营业务收入</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万元； 2025年度纳税：</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万元；总人数：</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人；知识产权相关专职人员：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人；涉外知识产权专职人员：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w:t>
            </w:r>
          </w:p>
        </w:tc>
      </w:tr>
      <w:tr w14:paraId="4127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500E74B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海外知识产权</w:t>
            </w:r>
          </w:p>
          <w:p w14:paraId="76CCDDAA">
            <w:pPr>
              <w:pStyle w:val="2"/>
              <w:keepNext w:val="0"/>
              <w:keepLines w:val="0"/>
              <w:pageBreakBefore w:val="0"/>
              <w:kinsoku/>
              <w:wordWrap/>
              <w:overflowPunct/>
              <w:topLinePunct w:val="0"/>
              <w:autoSpaceDE/>
              <w:autoSpaceDN/>
              <w:bidi w:val="0"/>
              <w:adjustRightInd/>
              <w:snapToGrid/>
              <w:spacing w:line="240" w:lineRule="auto"/>
              <w:jc w:val="center"/>
              <w:textAlignment w:val="auto"/>
              <w:rPr>
                <w:rFonts w:hint="eastAsia"/>
                <w:sz w:val="28"/>
                <w:szCs w:val="28"/>
                <w:lang w:val="en-US" w:eastAsia="zh-CN"/>
              </w:rPr>
            </w:pPr>
            <w:r>
              <w:rPr>
                <w:rFonts w:hint="eastAsia" w:ascii="黑体" w:hAnsi="黑体" w:eastAsia="黑体" w:cs="黑体"/>
                <w:b w:val="0"/>
                <w:bCs w:val="0"/>
                <w:kern w:val="0"/>
                <w:sz w:val="28"/>
                <w:szCs w:val="28"/>
                <w:lang w:val="en-US" w:eastAsia="zh-CN" w:bidi="ar"/>
              </w:rPr>
              <w:t>工作基础</w:t>
            </w:r>
          </w:p>
        </w:tc>
        <w:tc>
          <w:tcPr>
            <w:tcW w:w="7616" w:type="dxa"/>
            <w:gridSpan w:val="5"/>
            <w:noWrap w:val="0"/>
            <w:vAlign w:val="top"/>
          </w:tcPr>
          <w:p w14:paraId="537C2D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主要出海目标国家（地区）：</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w:t>
            </w:r>
          </w:p>
          <w:p w14:paraId="381AF4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海外销售收入：</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万元；现有PCT专利</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件，其他海外授权专利</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件；马德里商标</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件，其他海外商标</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w:t>
            </w:r>
          </w:p>
        </w:tc>
      </w:tr>
      <w:tr w14:paraId="367A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256A60E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知识产权</w:t>
            </w:r>
          </w:p>
          <w:p w14:paraId="1F1381C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管理基础</w:t>
            </w:r>
          </w:p>
        </w:tc>
        <w:tc>
          <w:tcPr>
            <w:tcW w:w="7616" w:type="dxa"/>
            <w:gridSpan w:val="5"/>
            <w:noWrap w:val="0"/>
            <w:vAlign w:val="top"/>
          </w:tcPr>
          <w:p w14:paraId="785D8A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知识产权管理机构 □独立机构 □部门下设；已建立海外知识产权相关制度：□是 □否</w:t>
            </w:r>
          </w:p>
        </w:tc>
      </w:tr>
      <w:tr w14:paraId="1D22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374C1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海外知识产权</w:t>
            </w:r>
          </w:p>
          <w:p w14:paraId="5DF7AD0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纠纷相关情况</w:t>
            </w:r>
          </w:p>
        </w:tc>
        <w:tc>
          <w:tcPr>
            <w:tcW w:w="7616" w:type="dxa"/>
            <w:gridSpan w:val="5"/>
            <w:noWrap w:val="0"/>
            <w:vAlign w:val="top"/>
          </w:tcPr>
          <w:p w14:paraId="2AF8B90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是否遭遇海外知识产权纠纷 □是 □否；</w:t>
            </w:r>
          </w:p>
          <w:p w14:paraId="532DEDB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纠纷类型：□警告函 □境外诉讼 □美国337调查 □展会查扣 □其他</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w:t>
            </w:r>
          </w:p>
          <w:p w14:paraId="09560A3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纠纷简要情况：</w:t>
            </w:r>
          </w:p>
          <w:p w14:paraId="5237CC9D">
            <w:pPr>
              <w:pStyle w:val="2"/>
              <w:rPr>
                <w:rFonts w:hint="eastAsia" w:ascii="仿宋_GB2312" w:hAnsi="仿宋_GB2312" w:eastAsia="仿宋_GB2312" w:cs="仿宋_GB2312"/>
                <w:kern w:val="0"/>
                <w:sz w:val="28"/>
                <w:szCs w:val="28"/>
                <w:lang w:val="en-US" w:eastAsia="zh-CN" w:bidi="ar"/>
              </w:rPr>
            </w:pPr>
          </w:p>
          <w:p w14:paraId="49E30345">
            <w:pPr>
              <w:rPr>
                <w:rFonts w:hint="eastAsia" w:ascii="仿宋_GB2312" w:hAnsi="仿宋_GB2312" w:eastAsia="仿宋_GB2312" w:cs="仿宋_GB2312"/>
                <w:kern w:val="0"/>
                <w:sz w:val="28"/>
                <w:szCs w:val="28"/>
                <w:lang w:val="en-US" w:eastAsia="zh-CN" w:bidi="ar"/>
              </w:rPr>
            </w:pPr>
          </w:p>
          <w:p w14:paraId="1BB5D8F3">
            <w:pPr>
              <w:pStyle w:val="2"/>
              <w:rPr>
                <w:rFonts w:hint="eastAsia" w:ascii="仿宋_GB2312" w:hAnsi="仿宋_GB2312" w:eastAsia="仿宋_GB2312" w:cs="仿宋_GB2312"/>
                <w:kern w:val="0"/>
                <w:sz w:val="28"/>
                <w:szCs w:val="28"/>
                <w:lang w:val="en-US" w:eastAsia="zh-CN" w:bidi="ar"/>
              </w:rPr>
            </w:pPr>
          </w:p>
          <w:p w14:paraId="69864474">
            <w:pPr>
              <w:rPr>
                <w:rFonts w:hint="eastAsia"/>
                <w:lang w:val="en-US" w:eastAsia="zh-CN"/>
              </w:rPr>
            </w:pPr>
          </w:p>
        </w:tc>
      </w:tr>
    </w:tbl>
    <w:p w14:paraId="3B95D8C4">
      <w:pPr>
        <w:spacing w:line="560" w:lineRule="exact"/>
        <w:ind w:firstLine="640" w:firstLineChars="200"/>
        <w:rPr>
          <w:rFonts w:hint="eastAsia" w:ascii="黑体" w:hAnsi="黑体" w:eastAsia="黑体" w:cs="宋体"/>
          <w:sz w:val="32"/>
          <w:szCs w:val="32"/>
        </w:rPr>
      </w:pPr>
    </w:p>
    <w:p w14:paraId="0F4A2555">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二、工作基础和</w:t>
      </w:r>
      <w:r>
        <w:rPr>
          <w:rFonts w:hint="eastAsia" w:ascii="黑体" w:hAnsi="黑体" w:eastAsia="黑体" w:cs="宋体"/>
          <w:sz w:val="32"/>
          <w:szCs w:val="32"/>
          <w:lang w:eastAsia="zh-CN"/>
        </w:rPr>
        <w:t>绩效</w:t>
      </w:r>
      <w:r>
        <w:rPr>
          <w:rFonts w:hint="eastAsia" w:ascii="黑体" w:hAnsi="黑体" w:eastAsia="黑体" w:cs="宋体"/>
          <w:sz w:val="32"/>
          <w:szCs w:val="32"/>
        </w:rPr>
        <w:t>目标</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5AFD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8" w:hRule="atLeast"/>
        </w:trPr>
        <w:tc>
          <w:tcPr>
            <w:tcW w:w="9512" w:type="dxa"/>
            <w:noWrap w:val="0"/>
            <w:vAlign w:val="center"/>
          </w:tcPr>
          <w:p w14:paraId="703C885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（一）工作基础</w:t>
            </w:r>
          </w:p>
          <w:p w14:paraId="7D04D7B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简述单位行业地位、本项目实施基础、已有技术或服务储备等（≤500字）。</w:t>
            </w:r>
          </w:p>
          <w:p w14:paraId="4F4AA8D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（二）绩效目标</w:t>
            </w:r>
          </w:p>
          <w:p w14:paraId="0F99CC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填写项目实施周期内可量化考核指标，如制度建设数量、风险分析报告、 纠纷应对方案产出数量、培训场次、海外知识产权布局增量、风险台账等量化指标（≤500字）。</w:t>
            </w:r>
          </w:p>
          <w:p w14:paraId="5964EFB0">
            <w:pPr>
              <w:pStyle w:val="2"/>
              <w:rPr>
                <w:rFonts w:hint="eastAsia" w:ascii="仿宋_GB2312" w:hAnsi="仿宋_GB2312" w:eastAsia="仿宋_GB2312" w:cs="仿宋_GB2312"/>
                <w:kern w:val="0"/>
                <w:sz w:val="28"/>
                <w:szCs w:val="28"/>
                <w:lang w:val="en-US" w:eastAsia="zh-CN" w:bidi="ar"/>
              </w:rPr>
            </w:pPr>
          </w:p>
          <w:p w14:paraId="330989E5">
            <w:pPr>
              <w:rPr>
                <w:rFonts w:hint="eastAsia" w:ascii="仿宋_GB2312" w:hAnsi="仿宋_GB2312" w:eastAsia="仿宋_GB2312" w:cs="仿宋_GB2312"/>
                <w:kern w:val="0"/>
                <w:sz w:val="28"/>
                <w:szCs w:val="28"/>
                <w:lang w:val="en-US" w:eastAsia="zh-CN" w:bidi="ar"/>
              </w:rPr>
            </w:pPr>
          </w:p>
          <w:p w14:paraId="5B8AE1ED">
            <w:pPr>
              <w:pStyle w:val="2"/>
              <w:rPr>
                <w:rFonts w:hint="eastAsia"/>
                <w:lang w:eastAsia="zh-CN"/>
              </w:rPr>
            </w:pPr>
          </w:p>
        </w:tc>
      </w:tr>
    </w:tbl>
    <w:p w14:paraId="6339C180">
      <w:pPr>
        <w:spacing w:line="560" w:lineRule="exact"/>
        <w:ind w:firstLine="640" w:firstLineChars="200"/>
        <w:rPr>
          <w:rFonts w:hint="eastAsia" w:ascii="黑体" w:hAnsi="黑体" w:eastAsia="黑体" w:cs="宋体"/>
          <w:sz w:val="32"/>
          <w:szCs w:val="32"/>
        </w:rPr>
      </w:pPr>
    </w:p>
    <w:p w14:paraId="0CF64E96">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三、工作方案</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1E15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9512" w:type="dxa"/>
            <w:noWrap w:val="0"/>
            <w:vAlign w:val="center"/>
          </w:tcPr>
          <w:p w14:paraId="7CB3864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参考提纲（总字数≤3000 字）</w:t>
            </w:r>
          </w:p>
          <w:p w14:paraId="2D2FFBD4">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（一）项目需求分析</w:t>
            </w:r>
          </w:p>
          <w:p w14:paraId="041D3C4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本项目拟解决企业出海业务痛点，现有海外知识产权工作存在的短板，实施本项目必要性、现实需求。</w:t>
            </w:r>
          </w:p>
          <w:p w14:paraId="2E00E6DA">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（二）主要工作内容</w:t>
            </w:r>
          </w:p>
          <w:p w14:paraId="51B2B7A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围绕“健全海外知识产权风险防控体系”，概述说明项目主要工作内容和总体目标。</w:t>
            </w:r>
          </w:p>
          <w:p w14:paraId="6B4B944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（三）工作任务及实施计划</w:t>
            </w:r>
          </w:p>
          <w:p w14:paraId="691BAF3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逐条详细列明项目任务，分阶段设置时间进度、阶段性工作内容、对应产出成果。</w:t>
            </w:r>
          </w:p>
          <w:p w14:paraId="51E96A1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（四）工作资源及保障措施</w:t>
            </w:r>
          </w:p>
          <w:p w14:paraId="0DC5E81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本项目团队配置、内部制度保障、外部合作资源（海外律所、咨询机构等）、经费筹措与保障。</w:t>
            </w:r>
          </w:p>
          <w:p w14:paraId="04164A3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（五）成果运用</w:t>
            </w:r>
          </w:p>
          <w:p w14:paraId="2438B07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项目完成后成果如何落地使用，企业如何把风险防控机制固化到经营流程；服务机构成果如何面向省内产业开放共享。</w:t>
            </w:r>
          </w:p>
          <w:p w14:paraId="31C8CB0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p w14:paraId="74A83908">
            <w:pPr>
              <w:pStyle w:val="2"/>
              <w:rPr>
                <w:rFonts w:hint="eastAsia"/>
                <w:lang w:eastAsia="zh-CN"/>
              </w:rPr>
            </w:pPr>
          </w:p>
          <w:p w14:paraId="2717D8AC">
            <w:pPr>
              <w:rPr>
                <w:rFonts w:hint="eastAsia"/>
                <w:lang w:eastAsia="zh-CN"/>
              </w:rPr>
            </w:pPr>
          </w:p>
          <w:p w14:paraId="13E6C8BE">
            <w:pPr>
              <w:pStyle w:val="2"/>
              <w:rPr>
                <w:rFonts w:hint="eastAsia"/>
                <w:lang w:eastAsia="zh-CN"/>
              </w:rPr>
            </w:pPr>
          </w:p>
        </w:tc>
      </w:tr>
    </w:tbl>
    <w:p w14:paraId="50039E68">
      <w:pPr>
        <w:spacing w:line="560" w:lineRule="exact"/>
        <w:ind w:firstLine="640" w:firstLineChars="200"/>
        <w:rPr>
          <w:rFonts w:hint="eastAsia" w:ascii="黑体" w:hAnsi="黑体" w:eastAsia="黑体" w:cs="宋体"/>
          <w:sz w:val="32"/>
          <w:szCs w:val="32"/>
          <w:lang w:eastAsia="zh-CN"/>
        </w:rPr>
      </w:pPr>
    </w:p>
    <w:p w14:paraId="1DF5B9E0">
      <w:pPr>
        <w:spacing w:line="560" w:lineRule="exact"/>
        <w:ind w:firstLine="640" w:firstLineChars="200"/>
        <w:rPr>
          <w:rFonts w:hint="eastAsia" w:ascii="黑体" w:hAnsi="黑体" w:eastAsia="黑体" w:cs="宋体"/>
          <w:sz w:val="32"/>
          <w:szCs w:val="32"/>
          <w:lang w:eastAsia="zh-CN"/>
        </w:rPr>
      </w:pPr>
      <w:r>
        <w:rPr>
          <w:rFonts w:hint="eastAsia" w:ascii="黑体" w:hAnsi="黑体" w:eastAsia="黑体" w:cs="宋体"/>
          <w:sz w:val="32"/>
          <w:szCs w:val="32"/>
          <w:lang w:eastAsia="zh-CN"/>
        </w:rPr>
        <w:t>四</w:t>
      </w:r>
      <w:r>
        <w:rPr>
          <w:rFonts w:hint="eastAsia" w:ascii="黑体" w:hAnsi="黑体" w:eastAsia="黑体" w:cs="宋体"/>
          <w:sz w:val="32"/>
          <w:szCs w:val="32"/>
        </w:rPr>
        <w:t>、</w:t>
      </w:r>
      <w:r>
        <w:rPr>
          <w:rFonts w:hint="eastAsia" w:ascii="黑体" w:hAnsi="黑体" w:eastAsia="黑体" w:cs="宋体"/>
          <w:sz w:val="32"/>
          <w:szCs w:val="32"/>
          <w:lang w:eastAsia="zh-CN"/>
        </w:rPr>
        <w:t>经费来源及预算</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0"/>
        <w:gridCol w:w="3170"/>
        <w:gridCol w:w="3172"/>
      </w:tblGrid>
      <w:tr w14:paraId="3720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170" w:type="dxa"/>
            <w:noWrap w:val="0"/>
            <w:vAlign w:val="center"/>
          </w:tcPr>
          <w:p w14:paraId="180F8EC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实施预计总经费（万元）</w:t>
            </w:r>
          </w:p>
        </w:tc>
        <w:tc>
          <w:tcPr>
            <w:tcW w:w="3170" w:type="dxa"/>
            <w:noWrap w:val="0"/>
            <w:vAlign w:val="center"/>
          </w:tcPr>
          <w:p w14:paraId="7E080E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申报专项资金</w:t>
            </w:r>
          </w:p>
        </w:tc>
        <w:tc>
          <w:tcPr>
            <w:tcW w:w="3172" w:type="dxa"/>
            <w:noWrap w:val="0"/>
            <w:vAlign w:val="center"/>
          </w:tcPr>
          <w:p w14:paraId="418A470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自筹（或其他）来源经费</w:t>
            </w:r>
          </w:p>
        </w:tc>
      </w:tr>
      <w:tr w14:paraId="1EC4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170" w:type="dxa"/>
            <w:noWrap w:val="0"/>
            <w:vAlign w:val="center"/>
          </w:tcPr>
          <w:p w14:paraId="1C67EE4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0" w:type="dxa"/>
            <w:noWrap w:val="0"/>
            <w:vAlign w:val="center"/>
          </w:tcPr>
          <w:p w14:paraId="307D062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2" w:type="dxa"/>
            <w:noWrap w:val="0"/>
            <w:vAlign w:val="center"/>
          </w:tcPr>
          <w:p w14:paraId="4E2498D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022D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512" w:type="dxa"/>
            <w:gridSpan w:val="3"/>
            <w:noWrap w:val="0"/>
            <w:vAlign w:val="center"/>
          </w:tcPr>
          <w:p w14:paraId="0C9DCF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eastAsia="zh-CN"/>
              </w:rPr>
            </w:pPr>
            <w:r>
              <w:rPr>
                <w:rFonts w:hint="eastAsia" w:ascii="黑体" w:hAnsi="黑体" w:eastAsia="黑体" w:cs="黑体"/>
                <w:sz w:val="28"/>
                <w:szCs w:val="28"/>
                <w:lang w:val="en-US" w:eastAsia="zh-CN"/>
              </w:rPr>
              <w:t>项目预算支出科目（参照模板）（万元）</w:t>
            </w:r>
          </w:p>
        </w:tc>
      </w:tr>
      <w:tr w14:paraId="277D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733F50F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专利信息检索、海外国别法律信息采集分析</w:t>
            </w:r>
          </w:p>
        </w:tc>
        <w:tc>
          <w:tcPr>
            <w:tcW w:w="3172" w:type="dxa"/>
            <w:noWrap w:val="0"/>
            <w:vAlign w:val="center"/>
          </w:tcPr>
          <w:p w14:paraId="5C74E16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1CDB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74AA338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海外知识产权风险预警、FTO 分析、纠纷研判专业服务采购</w:t>
            </w:r>
          </w:p>
        </w:tc>
        <w:tc>
          <w:tcPr>
            <w:tcW w:w="3172" w:type="dxa"/>
            <w:noWrap w:val="0"/>
            <w:vAlign w:val="center"/>
          </w:tcPr>
          <w:p w14:paraId="0633238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2EDF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5A5915A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制度体系编制、案例研究、指引报告编制</w:t>
            </w:r>
          </w:p>
        </w:tc>
        <w:tc>
          <w:tcPr>
            <w:tcW w:w="3172" w:type="dxa"/>
            <w:noWrap w:val="0"/>
            <w:vAlign w:val="center"/>
          </w:tcPr>
          <w:p w14:paraId="6EEAE33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1F18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3C9C38D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海外知识产权专题培训、宣介活动组织</w:t>
            </w:r>
          </w:p>
        </w:tc>
        <w:tc>
          <w:tcPr>
            <w:tcW w:w="3172" w:type="dxa"/>
            <w:noWrap w:val="0"/>
            <w:vAlign w:val="center"/>
          </w:tcPr>
          <w:p w14:paraId="1ACD325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59C1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67D93FF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人才能力建设、业务研讨、专家咨询费用</w:t>
            </w:r>
          </w:p>
        </w:tc>
        <w:tc>
          <w:tcPr>
            <w:tcW w:w="3172" w:type="dxa"/>
            <w:noWrap w:val="0"/>
            <w:vAlign w:val="center"/>
          </w:tcPr>
          <w:p w14:paraId="2C22586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4070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04FB99A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合计</w:t>
            </w:r>
          </w:p>
        </w:tc>
        <w:tc>
          <w:tcPr>
            <w:tcW w:w="3172" w:type="dxa"/>
            <w:noWrap w:val="0"/>
            <w:vAlign w:val="center"/>
          </w:tcPr>
          <w:p w14:paraId="39A68F9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bl>
    <w:p w14:paraId="1B689B9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注：专项资金仅限用于海外知识产权信息采集分析、风险预警研判、纠纷策略研究、制度指引编制、专题培训宣介、专家咨询、专业服务采购等。不得用于海外专利商标申请费、官费、代理费、人员工资福利、楼堂馆所建设、偿还债务等与项目无关支出。</w:t>
      </w:r>
    </w:p>
    <w:p w14:paraId="0D201BE0">
      <w:pPr>
        <w:adjustRightInd w:val="0"/>
        <w:spacing w:line="560" w:lineRule="exact"/>
        <w:ind w:firstLine="5760" w:firstLineChars="1800"/>
        <w:textAlignment w:val="baseline"/>
        <w:rPr>
          <w:rFonts w:hint="eastAsia" w:ascii="楷体_GB2312" w:hAnsi="宋体" w:eastAsia="楷体_GB2312" w:cs="宋体"/>
          <w:kern w:val="0"/>
          <w:sz w:val="32"/>
          <w:szCs w:val="32"/>
        </w:rPr>
      </w:pPr>
    </w:p>
    <w:p w14:paraId="7E489C7E">
      <w:pPr>
        <w:spacing w:line="560" w:lineRule="exact"/>
        <w:ind w:firstLine="640" w:firstLineChars="200"/>
        <w:rPr>
          <w:rFonts w:hAnsi="宋体" w:cs="宋体"/>
          <w:sz w:val="32"/>
          <w:szCs w:val="32"/>
        </w:rPr>
      </w:pPr>
    </w:p>
    <w:p w14:paraId="6013FC4B">
      <w:pPr>
        <w:keepNext w:val="0"/>
        <w:keepLines w:val="0"/>
        <w:pageBreakBefore w:val="0"/>
        <w:widowControl/>
        <w:kinsoku/>
        <w:wordWrap/>
        <w:overflowPunct/>
        <w:topLinePunct w:val="0"/>
        <w:autoSpaceDE/>
        <w:autoSpaceDN/>
        <w:bidi w:val="0"/>
        <w:adjustRightInd/>
        <w:snapToGrid/>
        <w:spacing w:before="320" w:beforeLines="100" w:line="240" w:lineRule="auto"/>
        <w:ind w:right="1680" w:rightChars="800" w:firstLine="0" w:firstLineChars="0"/>
        <w:jc w:val="both"/>
        <w:textAlignment w:val="auto"/>
        <w:rPr>
          <w:rFonts w:hint="eastAsia" w:ascii="仿宋_GB2312" w:hAnsi="仿宋_GB2312" w:eastAsia="仿宋_GB2312" w:cs="仿宋_GB2312"/>
          <w:b/>
          <w:bCs/>
          <w:sz w:val="32"/>
          <w:szCs w:val="32"/>
        </w:rPr>
      </w:pPr>
    </w:p>
    <w:p w14:paraId="166F8040">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0" w:firstLineChars="0"/>
        <w:jc w:val="both"/>
        <w:textAlignment w:val="auto"/>
        <w:rPr>
          <w:rFonts w:hint="eastAsia" w:ascii="仿宋_GB2312" w:hAnsi="仿宋_GB2312" w:eastAsia="仿宋_GB2312" w:cs="仿宋_GB2312"/>
          <w:snapToGrid w:val="0"/>
          <w:color w:val="auto"/>
          <w:spacing w:val="-6"/>
          <w:kern w:val="0"/>
          <w:sz w:val="30"/>
          <w:szCs w:val="30"/>
          <w:lang w:eastAsia="zh-CN"/>
        </w:rPr>
      </w:pPr>
    </w:p>
    <w:p w14:paraId="60A43382">
      <w:pPr>
        <w:spacing w:line="560" w:lineRule="exact"/>
        <w:ind w:firstLine="616" w:firstLineChars="200"/>
        <w:rPr>
          <w:rFonts w:hint="eastAsia" w:ascii="黑体" w:hAnsi="黑体" w:eastAsia="黑体" w:cs="宋体"/>
          <w:sz w:val="32"/>
          <w:szCs w:val="32"/>
        </w:rPr>
      </w:pPr>
      <w:r>
        <w:rPr>
          <w:rFonts w:hint="eastAsia" w:ascii="仿宋_GB2312" w:hAnsi="仿宋_GB2312" w:eastAsia="仿宋_GB2312" w:cs="Times New Roman"/>
          <w:snapToGrid w:val="0"/>
          <w:color w:val="0000FF"/>
          <w:spacing w:val="-6"/>
          <w:kern w:val="0"/>
          <w:sz w:val="32"/>
          <w:szCs w:val="24"/>
          <w:lang w:val="en-US" w:eastAsia="zh-CN"/>
        </w:rPr>
        <w:br w:type="page"/>
      </w:r>
      <w:r>
        <w:rPr>
          <w:rFonts w:hint="eastAsia" w:ascii="黑体" w:hAnsi="黑体" w:eastAsia="黑体" w:cs="宋体"/>
          <w:sz w:val="32"/>
          <w:szCs w:val="32"/>
        </w:rPr>
        <w:t>一、基本信息</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1359"/>
        <w:gridCol w:w="1359"/>
        <w:gridCol w:w="1359"/>
        <w:gridCol w:w="1359"/>
        <w:gridCol w:w="2180"/>
      </w:tblGrid>
      <w:tr w14:paraId="4455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4CDAE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项目名称</w:t>
            </w:r>
          </w:p>
        </w:tc>
        <w:tc>
          <w:tcPr>
            <w:tcW w:w="7616" w:type="dxa"/>
            <w:gridSpan w:val="5"/>
            <w:noWrap w:val="0"/>
            <w:vAlign w:val="top"/>
          </w:tcPr>
          <w:p w14:paraId="2133C5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单位名称+陕西省涉外知识产权保护能力提升项目（类别二）</w:t>
            </w:r>
          </w:p>
        </w:tc>
      </w:tr>
      <w:tr w14:paraId="4734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9415B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申报单位全称</w:t>
            </w:r>
          </w:p>
        </w:tc>
        <w:tc>
          <w:tcPr>
            <w:tcW w:w="7616" w:type="dxa"/>
            <w:gridSpan w:val="5"/>
            <w:noWrap w:val="0"/>
            <w:vAlign w:val="top"/>
          </w:tcPr>
          <w:p w14:paraId="135B06A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1C03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B0883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统一社会</w:t>
            </w:r>
          </w:p>
          <w:p w14:paraId="0E59D5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信用代码</w:t>
            </w:r>
          </w:p>
        </w:tc>
        <w:tc>
          <w:tcPr>
            <w:tcW w:w="1359" w:type="dxa"/>
            <w:noWrap w:val="0"/>
            <w:vAlign w:val="top"/>
          </w:tcPr>
          <w:p w14:paraId="2FF531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1D1876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6959DA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0C06B0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4A1FBB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4382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E5DD5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地址及邮编</w:t>
            </w:r>
          </w:p>
        </w:tc>
        <w:tc>
          <w:tcPr>
            <w:tcW w:w="1359" w:type="dxa"/>
            <w:noWrap w:val="0"/>
            <w:vAlign w:val="top"/>
          </w:tcPr>
          <w:p w14:paraId="40EE8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378FCDF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23B316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3219543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56FD911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0B69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1C3B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项目负责人</w:t>
            </w:r>
          </w:p>
        </w:tc>
        <w:tc>
          <w:tcPr>
            <w:tcW w:w="1359" w:type="dxa"/>
            <w:noWrap w:val="0"/>
            <w:vAlign w:val="top"/>
          </w:tcPr>
          <w:p w14:paraId="27CFA9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31D3A2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职务</w:t>
            </w:r>
          </w:p>
        </w:tc>
        <w:tc>
          <w:tcPr>
            <w:tcW w:w="1359" w:type="dxa"/>
            <w:noWrap w:val="0"/>
            <w:vAlign w:val="top"/>
          </w:tcPr>
          <w:p w14:paraId="37B829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05D9BD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联系方式</w:t>
            </w:r>
          </w:p>
        </w:tc>
        <w:tc>
          <w:tcPr>
            <w:tcW w:w="2180" w:type="dxa"/>
            <w:noWrap w:val="0"/>
            <w:vAlign w:val="top"/>
          </w:tcPr>
          <w:p w14:paraId="798BDA1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（电话及邮箱）</w:t>
            </w:r>
          </w:p>
        </w:tc>
      </w:tr>
      <w:tr w14:paraId="0F76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7F47E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项目联系人</w:t>
            </w:r>
          </w:p>
        </w:tc>
        <w:tc>
          <w:tcPr>
            <w:tcW w:w="1359" w:type="dxa"/>
            <w:noWrap w:val="0"/>
            <w:vAlign w:val="top"/>
          </w:tcPr>
          <w:p w14:paraId="2D5772B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1D918E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职务</w:t>
            </w:r>
          </w:p>
        </w:tc>
        <w:tc>
          <w:tcPr>
            <w:tcW w:w="1359" w:type="dxa"/>
            <w:noWrap w:val="0"/>
            <w:vAlign w:val="top"/>
          </w:tcPr>
          <w:p w14:paraId="47A4CE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24F8DC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联系方式</w:t>
            </w:r>
          </w:p>
        </w:tc>
        <w:tc>
          <w:tcPr>
            <w:tcW w:w="2180" w:type="dxa"/>
            <w:noWrap w:val="0"/>
            <w:vAlign w:val="top"/>
          </w:tcPr>
          <w:p w14:paraId="2B413D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（电话及邮箱）</w:t>
            </w:r>
          </w:p>
        </w:tc>
      </w:tr>
      <w:tr w14:paraId="035B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769069C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p>
        </w:tc>
        <w:tc>
          <w:tcPr>
            <w:tcW w:w="7616" w:type="dxa"/>
            <w:gridSpan w:val="5"/>
            <w:noWrap w:val="0"/>
            <w:vAlign w:val="top"/>
          </w:tcPr>
          <w:p w14:paraId="223F8E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□知识产权代理机构 □律师事务所 □高等院校 □科研院所□行业组织□其他）</w:t>
            </w:r>
          </w:p>
        </w:tc>
      </w:tr>
      <w:tr w14:paraId="40B0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5B448D3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p>
        </w:tc>
        <w:tc>
          <w:tcPr>
            <w:tcW w:w="7616" w:type="dxa"/>
            <w:gridSpan w:val="5"/>
            <w:noWrap w:val="0"/>
            <w:vAlign w:val="top"/>
          </w:tcPr>
          <w:p w14:paraId="2161ED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kern w:val="0"/>
                <w:sz w:val="28"/>
                <w:szCs w:val="28"/>
                <w:lang w:val="en-US" w:eastAsia="zh-CN" w:bidi="ar"/>
              </w:rPr>
              <w:t>2025年度服务营收：</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万元；2025年度纳税：</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万元；总人数：</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人；知识产权相关专职人员：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人；涉外知识产权专职人员：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w:t>
            </w:r>
          </w:p>
        </w:tc>
      </w:tr>
      <w:tr w14:paraId="533A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46FA5EE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p>
        </w:tc>
        <w:tc>
          <w:tcPr>
            <w:tcW w:w="7616" w:type="dxa"/>
            <w:gridSpan w:val="5"/>
            <w:noWrap w:val="0"/>
            <w:vAlign w:val="top"/>
          </w:tcPr>
          <w:p w14:paraId="056BBA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rPr>
            </w:pPr>
            <w:r>
              <w:rPr>
                <w:rFonts w:hint="eastAsia" w:ascii="仿宋_GB2312" w:hAnsi="仿宋_GB2312" w:eastAsia="仿宋_GB2312" w:cs="仿宋_GB2312"/>
                <w:kern w:val="0"/>
                <w:sz w:val="28"/>
                <w:szCs w:val="28"/>
                <w:lang w:val="en-US" w:eastAsia="zh-CN" w:bidi="ar"/>
              </w:rPr>
              <w:t>近3年涉外知识产权服务案例数量</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件；服务陕西企业数量</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家；过往海外风险预警、FTO分析以及核心涉外团队人员情况简述：</w:t>
            </w:r>
          </w:p>
        </w:tc>
      </w:tr>
      <w:tr w14:paraId="6A8A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6" w:type="dxa"/>
            <w:noWrap w:val="0"/>
            <w:vAlign w:val="center"/>
          </w:tcPr>
          <w:p w14:paraId="278CC73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p>
        </w:tc>
        <w:tc>
          <w:tcPr>
            <w:tcW w:w="7616" w:type="dxa"/>
            <w:gridSpan w:val="5"/>
            <w:noWrap w:val="0"/>
            <w:vAlign w:val="top"/>
          </w:tcPr>
          <w:p w14:paraId="1845176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ascii="仿宋_GB2312" w:hAnsi="仿宋_GB2312" w:eastAsia="仿宋_GB2312" w:cs="仿宋_GB2312"/>
                <w:kern w:val="0"/>
                <w:sz w:val="28"/>
                <w:szCs w:val="28"/>
                <w:lang w:val="en-US" w:eastAsia="zh-CN" w:bidi="ar"/>
              </w:rPr>
              <w:t>已建立涉外服务管理制度 □是 □否；合作海外律所 / 外部资源情况：</w:t>
            </w:r>
          </w:p>
        </w:tc>
      </w:tr>
      <w:tr w14:paraId="00B0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E7B2F5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海外知识产权</w:t>
            </w:r>
          </w:p>
          <w:p w14:paraId="2023803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纠纷相关情况</w:t>
            </w:r>
          </w:p>
        </w:tc>
        <w:tc>
          <w:tcPr>
            <w:tcW w:w="7616" w:type="dxa"/>
            <w:gridSpan w:val="5"/>
            <w:noWrap w:val="0"/>
            <w:vAlign w:val="top"/>
          </w:tcPr>
          <w:p w14:paraId="4E7F2DF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是否服务处理海外知识产权纠纷 □是 □否；</w:t>
            </w:r>
          </w:p>
          <w:p w14:paraId="42D2DE1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ascii="仿宋_GB2312" w:hAnsi="仿宋_GB2312" w:eastAsia="仿宋_GB2312" w:cs="仿宋_GB2312"/>
                <w:kern w:val="0"/>
                <w:sz w:val="28"/>
                <w:szCs w:val="28"/>
                <w:lang w:val="en-US" w:eastAsia="zh-CN" w:bidi="ar"/>
              </w:rPr>
              <w:t>纠纷类型：□警告函 □境外诉讼 □美国337调查 □展会查扣 □其他</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；纠纷简要情况：</w:t>
            </w:r>
          </w:p>
        </w:tc>
      </w:tr>
    </w:tbl>
    <w:p w14:paraId="3D7EA08B">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二、工作基础和</w:t>
      </w:r>
      <w:r>
        <w:rPr>
          <w:rFonts w:hint="eastAsia" w:ascii="黑体" w:hAnsi="黑体" w:eastAsia="黑体" w:cs="宋体"/>
          <w:sz w:val="32"/>
          <w:szCs w:val="32"/>
          <w:lang w:eastAsia="zh-CN"/>
        </w:rPr>
        <w:t>绩效</w:t>
      </w:r>
      <w:r>
        <w:rPr>
          <w:rFonts w:hint="eastAsia" w:ascii="黑体" w:hAnsi="黑体" w:eastAsia="黑体" w:cs="宋体"/>
          <w:sz w:val="32"/>
          <w:szCs w:val="32"/>
        </w:rPr>
        <w:t>目标</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5E41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9512" w:type="dxa"/>
            <w:noWrap w:val="0"/>
            <w:vAlign w:val="center"/>
          </w:tcPr>
          <w:p w14:paraId="1F6EDC8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（一）工作基础</w:t>
            </w:r>
          </w:p>
          <w:p w14:paraId="5F4E29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简述单位行业地位、本项目实施基础等（≤500字）。</w:t>
            </w:r>
          </w:p>
          <w:p w14:paraId="79D3058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（二）绩效目标</w:t>
            </w:r>
          </w:p>
          <w:p w14:paraId="72C2554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lang w:eastAsia="zh-CN"/>
              </w:rPr>
            </w:pPr>
            <w:r>
              <w:rPr>
                <w:rFonts w:hint="eastAsia" w:ascii="仿宋_GB2312" w:hAnsi="仿宋_GB2312" w:eastAsia="仿宋_GB2312" w:cs="仿宋_GB2312"/>
                <w:kern w:val="0"/>
                <w:sz w:val="28"/>
                <w:szCs w:val="28"/>
                <w:lang w:val="en-US" w:eastAsia="zh-CN" w:bidi="ar"/>
              </w:rPr>
              <w:t>填写项目实施周期内可量化考核指标，如制度建设数量、风险分析报告、 纠纷应对方案产出数量，培训场次，服务企业数量，案例指引，资源库建设等量化指标（≤500字）。</w:t>
            </w:r>
          </w:p>
        </w:tc>
      </w:tr>
    </w:tbl>
    <w:p w14:paraId="13B4525F">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三、工作方案</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3355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4" w:hRule="atLeast"/>
        </w:trPr>
        <w:tc>
          <w:tcPr>
            <w:tcW w:w="9512" w:type="dxa"/>
            <w:noWrap w:val="0"/>
            <w:vAlign w:val="center"/>
          </w:tcPr>
          <w:p w14:paraId="674EF8F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参考提纲（总字数≤3000字）</w:t>
            </w:r>
          </w:p>
          <w:p w14:paraId="37229F6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（一）项目需求分析</w:t>
            </w:r>
          </w:p>
          <w:p w14:paraId="45FF398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本项目拟解决服务陕西企业出海面临的知识产权的现实痛点，现有海外知识产权工作存在的短板，实施本项目必要性、现实需求。</w:t>
            </w:r>
          </w:p>
          <w:p w14:paraId="2FEB599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（二）主要工作内容</w:t>
            </w:r>
          </w:p>
          <w:p w14:paraId="0771179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围绕“指导企业开展海外知识产权纠纷应对”，概述说明项目主要工作内容和总体目标。</w:t>
            </w:r>
          </w:p>
          <w:p w14:paraId="21E2573E">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（三）工作任务及实施计划</w:t>
            </w:r>
          </w:p>
          <w:p w14:paraId="23F4991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逐条详细列明项目任务，分阶段设置时间进度、阶段性工作内容、对应产出成果。</w:t>
            </w:r>
          </w:p>
          <w:p w14:paraId="721405D4">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（四）工作资源及保障措施</w:t>
            </w:r>
          </w:p>
          <w:p w14:paraId="26EF40B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本项目团队配置、内部制度保障、外部合作资源（海外律所、咨询机构等）、经费筹措与保障。</w:t>
            </w:r>
          </w:p>
          <w:p w14:paraId="22264D38">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（五）成果运用</w:t>
            </w:r>
          </w:p>
          <w:p w14:paraId="3C7619E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lang w:eastAsia="zh-CN"/>
              </w:rPr>
            </w:pPr>
            <w:r>
              <w:rPr>
                <w:rFonts w:hint="eastAsia" w:ascii="仿宋_GB2312" w:hAnsi="仿宋_GB2312" w:eastAsia="仿宋_GB2312" w:cs="仿宋_GB2312"/>
                <w:kern w:val="0"/>
                <w:sz w:val="28"/>
                <w:szCs w:val="28"/>
                <w:lang w:val="en-US" w:eastAsia="zh-CN" w:bidi="ar"/>
              </w:rPr>
              <w:t>项目完成后成果如何落地使用，企业如何把风险防控机制固化到经营流程；服务机构成果如何面向省内产业开放共享。</w:t>
            </w:r>
          </w:p>
        </w:tc>
      </w:tr>
    </w:tbl>
    <w:p w14:paraId="384A5A41">
      <w:pPr>
        <w:spacing w:line="560" w:lineRule="exact"/>
        <w:ind w:firstLine="640" w:firstLineChars="200"/>
        <w:rPr>
          <w:rFonts w:hint="eastAsia" w:ascii="黑体" w:hAnsi="黑体" w:eastAsia="黑体" w:cs="宋体"/>
          <w:sz w:val="32"/>
          <w:szCs w:val="32"/>
          <w:lang w:eastAsia="zh-CN"/>
        </w:rPr>
      </w:pPr>
      <w:r>
        <w:rPr>
          <w:rFonts w:hint="eastAsia" w:ascii="黑体" w:hAnsi="黑体" w:eastAsia="黑体" w:cs="宋体"/>
          <w:sz w:val="32"/>
          <w:szCs w:val="32"/>
          <w:lang w:eastAsia="zh-CN"/>
        </w:rPr>
        <w:t>四</w:t>
      </w:r>
      <w:r>
        <w:rPr>
          <w:rFonts w:hint="eastAsia" w:ascii="黑体" w:hAnsi="黑体" w:eastAsia="黑体" w:cs="宋体"/>
          <w:sz w:val="32"/>
          <w:szCs w:val="32"/>
        </w:rPr>
        <w:t>、</w:t>
      </w:r>
      <w:r>
        <w:rPr>
          <w:rFonts w:hint="eastAsia" w:ascii="黑体" w:hAnsi="黑体" w:eastAsia="黑体" w:cs="宋体"/>
          <w:sz w:val="32"/>
          <w:szCs w:val="32"/>
          <w:lang w:eastAsia="zh-CN"/>
        </w:rPr>
        <w:t>经费来源及预算</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0"/>
        <w:gridCol w:w="3170"/>
        <w:gridCol w:w="3172"/>
      </w:tblGrid>
      <w:tr w14:paraId="6C71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170" w:type="dxa"/>
            <w:noWrap w:val="0"/>
            <w:vAlign w:val="center"/>
          </w:tcPr>
          <w:p w14:paraId="330F846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实施预计总经费（万元）</w:t>
            </w:r>
          </w:p>
        </w:tc>
        <w:tc>
          <w:tcPr>
            <w:tcW w:w="3170" w:type="dxa"/>
            <w:noWrap w:val="0"/>
            <w:vAlign w:val="center"/>
          </w:tcPr>
          <w:p w14:paraId="3D3827C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申报专项资金</w:t>
            </w:r>
          </w:p>
        </w:tc>
        <w:tc>
          <w:tcPr>
            <w:tcW w:w="3172" w:type="dxa"/>
            <w:noWrap w:val="0"/>
            <w:vAlign w:val="center"/>
          </w:tcPr>
          <w:p w14:paraId="1DE712D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自筹（或其他）来源经费</w:t>
            </w:r>
          </w:p>
        </w:tc>
      </w:tr>
      <w:tr w14:paraId="36BE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170" w:type="dxa"/>
            <w:noWrap w:val="0"/>
            <w:vAlign w:val="center"/>
          </w:tcPr>
          <w:p w14:paraId="0C24D9D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0" w:type="dxa"/>
            <w:noWrap w:val="0"/>
            <w:vAlign w:val="center"/>
          </w:tcPr>
          <w:p w14:paraId="67B3BFD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2" w:type="dxa"/>
            <w:noWrap w:val="0"/>
            <w:vAlign w:val="center"/>
          </w:tcPr>
          <w:p w14:paraId="767C4B8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290F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512" w:type="dxa"/>
            <w:gridSpan w:val="3"/>
            <w:noWrap w:val="0"/>
            <w:vAlign w:val="center"/>
          </w:tcPr>
          <w:p w14:paraId="344F11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eastAsia="zh-CN"/>
              </w:rPr>
            </w:pPr>
            <w:r>
              <w:rPr>
                <w:rFonts w:hint="eastAsia" w:ascii="黑体" w:hAnsi="黑体" w:eastAsia="黑体" w:cs="黑体"/>
                <w:sz w:val="28"/>
                <w:szCs w:val="28"/>
                <w:lang w:val="en-US" w:eastAsia="zh-CN"/>
              </w:rPr>
              <w:t>项目预算支出科目（参照模板）（万元）</w:t>
            </w:r>
          </w:p>
        </w:tc>
      </w:tr>
      <w:tr w14:paraId="5697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67E5D9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专利信息检索、海外国别法律信息采集分析</w:t>
            </w:r>
          </w:p>
        </w:tc>
        <w:tc>
          <w:tcPr>
            <w:tcW w:w="3172" w:type="dxa"/>
            <w:noWrap w:val="0"/>
            <w:vAlign w:val="center"/>
          </w:tcPr>
          <w:p w14:paraId="5A4D700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66F4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2A44A7A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海外知识产权风险预警、FTO分析、纠纷研判专业服务采购</w:t>
            </w:r>
          </w:p>
        </w:tc>
        <w:tc>
          <w:tcPr>
            <w:tcW w:w="3172" w:type="dxa"/>
            <w:noWrap w:val="0"/>
            <w:vAlign w:val="center"/>
          </w:tcPr>
          <w:p w14:paraId="2B58865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45B3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71FFA0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制度体系编制、案例研究、指引报告编制</w:t>
            </w:r>
          </w:p>
        </w:tc>
        <w:tc>
          <w:tcPr>
            <w:tcW w:w="3172" w:type="dxa"/>
            <w:noWrap w:val="0"/>
            <w:vAlign w:val="center"/>
          </w:tcPr>
          <w:p w14:paraId="003B9F6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24E8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436FD8B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海外知识产权专题培训、宣介活动组织</w:t>
            </w:r>
          </w:p>
        </w:tc>
        <w:tc>
          <w:tcPr>
            <w:tcW w:w="3172" w:type="dxa"/>
            <w:noWrap w:val="0"/>
            <w:vAlign w:val="center"/>
          </w:tcPr>
          <w:p w14:paraId="4D5FD68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71B8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45ADD7B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人才能力建设、业务研讨、专家咨询费用</w:t>
            </w:r>
          </w:p>
        </w:tc>
        <w:tc>
          <w:tcPr>
            <w:tcW w:w="3172" w:type="dxa"/>
            <w:noWrap w:val="0"/>
            <w:vAlign w:val="center"/>
          </w:tcPr>
          <w:p w14:paraId="19ACA88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4075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4D82A38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合计</w:t>
            </w:r>
          </w:p>
        </w:tc>
        <w:tc>
          <w:tcPr>
            <w:tcW w:w="3172" w:type="dxa"/>
            <w:noWrap w:val="0"/>
            <w:vAlign w:val="center"/>
          </w:tcPr>
          <w:p w14:paraId="64A2788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bl>
    <w:p w14:paraId="518D47D8">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仿宋_GB2312" w:hAnsi="仿宋_GB2312" w:eastAsia="仿宋_GB2312" w:cs="仿宋_GB2312"/>
          <w:b w:val="0"/>
          <w:bCs w:val="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bidi="ar"/>
        </w:rPr>
        <w:t>注：专项资金仅限用于海外知识产权信息采集分析、风险预警研判、纠纷策略研究、制度指引编制、专题培训宣介、专家咨询、专业服务采购等。不得用于海外专利商标申请费、官费、代理费、人员工资福利、楼堂馆所建设、偿还债务等与项目无关支出。</w:t>
      </w:r>
    </w:p>
    <w:p w14:paraId="04E93555">
      <w:pPr>
        <w:spacing w:line="560" w:lineRule="exact"/>
        <w:ind w:firstLine="640" w:firstLineChars="200"/>
        <w:rPr>
          <w:rFonts w:hint="eastAsia" w:ascii="黑体" w:hAnsi="黑体" w:eastAsia="黑体" w:cs="宋体"/>
          <w:sz w:val="32"/>
          <w:szCs w:val="32"/>
        </w:rPr>
      </w:pPr>
      <w:r>
        <w:rPr>
          <w:rFonts w:hint="eastAsia" w:ascii="楷体_GB2312" w:hAnsi="宋体" w:eastAsia="楷体_GB2312" w:cs="宋体"/>
          <w:kern w:val="0"/>
          <w:sz w:val="32"/>
          <w:szCs w:val="32"/>
        </w:rPr>
        <w:br w:type="page"/>
      </w:r>
      <w:r>
        <w:rPr>
          <w:rFonts w:hint="eastAsia" w:ascii="黑体" w:hAnsi="黑体" w:eastAsia="黑体" w:cs="宋体"/>
          <w:sz w:val="32"/>
          <w:szCs w:val="32"/>
        </w:rPr>
        <w:t>一、基本信息</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1359"/>
        <w:gridCol w:w="1359"/>
        <w:gridCol w:w="1359"/>
        <w:gridCol w:w="1359"/>
        <w:gridCol w:w="2180"/>
      </w:tblGrid>
      <w:tr w14:paraId="26B9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BFF79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项目名称</w:t>
            </w:r>
          </w:p>
        </w:tc>
        <w:tc>
          <w:tcPr>
            <w:tcW w:w="7616" w:type="dxa"/>
            <w:gridSpan w:val="5"/>
            <w:noWrap w:val="0"/>
            <w:vAlign w:val="top"/>
          </w:tcPr>
          <w:p w14:paraId="4D8B7027">
            <w:pPr>
              <w:keepNext w:val="0"/>
              <w:keepLines w:val="0"/>
              <w:widowControl/>
              <w:suppressLineNumbers w:val="0"/>
              <w:jc w:val="lef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单位名称+陕西省涉外知识产权保护能力提升项目（类别三）</w:t>
            </w:r>
          </w:p>
        </w:tc>
      </w:tr>
      <w:tr w14:paraId="007E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9BCA8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kern w:val="0"/>
                <w:sz w:val="28"/>
                <w:szCs w:val="28"/>
                <w:lang w:val="en-US" w:eastAsia="zh-CN" w:bidi="ar"/>
              </w:rPr>
              <w:t>申报单位全称</w:t>
            </w:r>
          </w:p>
        </w:tc>
        <w:tc>
          <w:tcPr>
            <w:tcW w:w="7616" w:type="dxa"/>
            <w:gridSpan w:val="5"/>
            <w:noWrap w:val="0"/>
            <w:vAlign w:val="top"/>
          </w:tcPr>
          <w:p w14:paraId="75AEE6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2E8A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6B8CED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统一社会</w:t>
            </w:r>
          </w:p>
          <w:p w14:paraId="4C8432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信用代码</w:t>
            </w:r>
          </w:p>
        </w:tc>
        <w:tc>
          <w:tcPr>
            <w:tcW w:w="1359" w:type="dxa"/>
            <w:noWrap w:val="0"/>
            <w:vAlign w:val="top"/>
          </w:tcPr>
          <w:p w14:paraId="7AAD829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0B8998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45B3D82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0034CCF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2ECFC2D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50D4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69D74E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地址及邮编</w:t>
            </w:r>
          </w:p>
        </w:tc>
        <w:tc>
          <w:tcPr>
            <w:tcW w:w="1359" w:type="dxa"/>
            <w:noWrap w:val="0"/>
            <w:vAlign w:val="top"/>
          </w:tcPr>
          <w:p w14:paraId="7034EEE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2DD4B3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221F840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7A49B2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2180" w:type="dxa"/>
            <w:noWrap w:val="0"/>
            <w:vAlign w:val="top"/>
          </w:tcPr>
          <w:p w14:paraId="7CB587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r>
      <w:tr w14:paraId="597C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9D623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项目负责人</w:t>
            </w:r>
          </w:p>
        </w:tc>
        <w:tc>
          <w:tcPr>
            <w:tcW w:w="1359" w:type="dxa"/>
            <w:noWrap w:val="0"/>
            <w:vAlign w:val="top"/>
          </w:tcPr>
          <w:p w14:paraId="72A6116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2AC3D2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职务</w:t>
            </w:r>
          </w:p>
        </w:tc>
        <w:tc>
          <w:tcPr>
            <w:tcW w:w="1359" w:type="dxa"/>
            <w:noWrap w:val="0"/>
            <w:vAlign w:val="top"/>
          </w:tcPr>
          <w:p w14:paraId="32EE57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519029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联系方式</w:t>
            </w:r>
          </w:p>
        </w:tc>
        <w:tc>
          <w:tcPr>
            <w:tcW w:w="2180" w:type="dxa"/>
            <w:noWrap w:val="0"/>
            <w:vAlign w:val="top"/>
          </w:tcPr>
          <w:p w14:paraId="5C15CE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（电话及邮箱）</w:t>
            </w:r>
          </w:p>
        </w:tc>
      </w:tr>
      <w:tr w14:paraId="466B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C47CF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项目联系人</w:t>
            </w:r>
          </w:p>
        </w:tc>
        <w:tc>
          <w:tcPr>
            <w:tcW w:w="1359" w:type="dxa"/>
            <w:noWrap w:val="0"/>
            <w:vAlign w:val="top"/>
          </w:tcPr>
          <w:p w14:paraId="6082CEA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p>
        </w:tc>
        <w:tc>
          <w:tcPr>
            <w:tcW w:w="1359" w:type="dxa"/>
            <w:noWrap w:val="0"/>
            <w:vAlign w:val="top"/>
          </w:tcPr>
          <w:p w14:paraId="7CED76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职务</w:t>
            </w:r>
          </w:p>
        </w:tc>
        <w:tc>
          <w:tcPr>
            <w:tcW w:w="1359" w:type="dxa"/>
            <w:noWrap w:val="0"/>
            <w:vAlign w:val="top"/>
          </w:tcPr>
          <w:p w14:paraId="46F780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p>
        </w:tc>
        <w:tc>
          <w:tcPr>
            <w:tcW w:w="1359" w:type="dxa"/>
            <w:noWrap w:val="0"/>
            <w:vAlign w:val="top"/>
          </w:tcPr>
          <w:p w14:paraId="03861D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8"/>
                <w:szCs w:val="28"/>
                <w:vertAlign w:val="baseline"/>
              </w:rPr>
            </w:pPr>
            <w:r>
              <w:rPr>
                <w:rFonts w:hint="eastAsia" w:ascii="黑体" w:hAnsi="黑体" w:eastAsia="黑体" w:cs="黑体"/>
                <w:sz w:val="28"/>
                <w:szCs w:val="28"/>
                <w:vertAlign w:val="baseline"/>
                <w:lang w:eastAsia="zh-CN"/>
              </w:rPr>
              <w:t>联系方式</w:t>
            </w:r>
          </w:p>
        </w:tc>
        <w:tc>
          <w:tcPr>
            <w:tcW w:w="2180" w:type="dxa"/>
            <w:noWrap w:val="0"/>
            <w:vAlign w:val="top"/>
          </w:tcPr>
          <w:p w14:paraId="3E5378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（电话及邮箱）</w:t>
            </w:r>
          </w:p>
        </w:tc>
      </w:tr>
      <w:tr w14:paraId="0EF5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6" w:type="dxa"/>
            <w:vMerge w:val="restart"/>
            <w:noWrap w:val="0"/>
            <w:vAlign w:val="center"/>
          </w:tcPr>
          <w:p w14:paraId="0CB3825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申报主体类型</w:t>
            </w:r>
          </w:p>
        </w:tc>
        <w:tc>
          <w:tcPr>
            <w:tcW w:w="7616" w:type="dxa"/>
            <w:gridSpan w:val="5"/>
            <w:noWrap w:val="0"/>
            <w:vAlign w:val="top"/>
          </w:tcPr>
          <w:p w14:paraId="31C8ADC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□仲裁机构 □人民调解组织□商事调解组织□行业调解组织 □公证机构 □多主体联合申报（联合申报列明合作单位名称：</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w:t>
            </w:r>
          </w:p>
        </w:tc>
      </w:tr>
      <w:tr w14:paraId="5712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trPr>
        <w:tc>
          <w:tcPr>
            <w:tcW w:w="1896" w:type="dxa"/>
            <w:vMerge w:val="restart"/>
            <w:noWrap w:val="0"/>
            <w:vAlign w:val="center"/>
          </w:tcPr>
          <w:p w14:paraId="1D7EAE6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涉外知识产权工作基础</w:t>
            </w:r>
          </w:p>
          <w:p w14:paraId="10B1A27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sz w:val="28"/>
                <w:szCs w:val="28"/>
                <w:lang w:val="en-US" w:eastAsia="zh-CN"/>
              </w:rPr>
            </w:pPr>
          </w:p>
        </w:tc>
        <w:tc>
          <w:tcPr>
            <w:tcW w:w="7616" w:type="dxa"/>
            <w:gridSpan w:val="5"/>
            <w:noWrap w:val="0"/>
            <w:vAlign w:val="top"/>
          </w:tcPr>
          <w:p w14:paraId="09A67E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知识产权相关专职人员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人；涉外业务专职人员</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人。</w:t>
            </w:r>
          </w:p>
          <w:p w14:paraId="6B8F45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近3年办理知识产权案件</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件；其中涉外案件</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件。</w:t>
            </w:r>
          </w:p>
          <w:p w14:paraId="4BD0CA2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是否已建立知识产权（仲裁员、调解员、公证专家）库□是□否；现有入库专家</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名。</w:t>
            </w:r>
          </w:p>
          <w:p w14:paraId="1793CB7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是否已开展仲调对接、诉调对接、赋强公证、知识产权存证业务□是□否。</w:t>
            </w:r>
          </w:p>
          <w:p w14:paraId="5C4F26B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简述过往涉外知识产权相关案例：</w:t>
            </w:r>
          </w:p>
          <w:p w14:paraId="5A462284">
            <w:pPr>
              <w:pStyle w:val="2"/>
              <w:rPr>
                <w:rFonts w:hint="eastAsia"/>
              </w:rPr>
            </w:pPr>
          </w:p>
        </w:tc>
      </w:tr>
      <w:tr w14:paraId="121F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96" w:type="dxa"/>
            <w:vMerge w:val="restart"/>
            <w:noWrap w:val="0"/>
            <w:vAlign w:val="center"/>
          </w:tcPr>
          <w:p w14:paraId="7BB46E5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sz w:val="28"/>
                <w:szCs w:val="28"/>
                <w:lang w:val="en-US" w:eastAsia="zh-CN"/>
              </w:rPr>
            </w:pPr>
            <w:r>
              <w:rPr>
                <w:rFonts w:hint="eastAsia" w:ascii="黑体" w:hAnsi="黑体" w:eastAsia="黑体" w:cs="黑体"/>
                <w:b w:val="0"/>
                <w:bCs w:val="0"/>
                <w:kern w:val="0"/>
                <w:sz w:val="28"/>
                <w:szCs w:val="28"/>
                <w:lang w:val="en-US" w:eastAsia="zh-CN" w:bidi="ar"/>
              </w:rPr>
              <w:t>内部管理基础</w:t>
            </w:r>
          </w:p>
        </w:tc>
        <w:tc>
          <w:tcPr>
            <w:tcW w:w="7616" w:type="dxa"/>
            <w:gridSpan w:val="5"/>
            <w:noWrap w:val="0"/>
            <w:vAlign w:val="top"/>
          </w:tcPr>
          <w:p w14:paraId="4FFD809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已具备涉外业务相关制度规范：□是 □否；现有涉外业务协作资源：（法院、知识产权部门、海外合作机构等）</w:t>
            </w:r>
          </w:p>
          <w:p w14:paraId="4D386C57">
            <w:pPr>
              <w:pStyle w:val="2"/>
              <w:rPr>
                <w:rFonts w:hint="eastAsia"/>
              </w:rPr>
            </w:pPr>
          </w:p>
        </w:tc>
      </w:tr>
      <w:tr w14:paraId="2BDD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1896" w:type="dxa"/>
            <w:noWrap w:val="0"/>
            <w:vAlign w:val="center"/>
          </w:tcPr>
          <w:p w14:paraId="21D49C3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kern w:val="0"/>
                <w:sz w:val="28"/>
                <w:szCs w:val="28"/>
                <w:lang w:val="en-US" w:eastAsia="zh-CN" w:bidi="ar"/>
              </w:rPr>
            </w:pPr>
            <w:r>
              <w:rPr>
                <w:rFonts w:hint="eastAsia" w:ascii="黑体" w:hAnsi="黑体" w:eastAsia="黑体" w:cs="黑体"/>
                <w:b w:val="0"/>
                <w:bCs w:val="0"/>
                <w:kern w:val="0"/>
                <w:sz w:val="28"/>
                <w:szCs w:val="28"/>
                <w:lang w:val="en-US" w:eastAsia="zh-CN" w:bidi="ar"/>
              </w:rPr>
              <w:t>涉外知识产权业务痛点情况</w:t>
            </w:r>
          </w:p>
        </w:tc>
        <w:tc>
          <w:tcPr>
            <w:tcW w:w="7616" w:type="dxa"/>
            <w:gridSpan w:val="5"/>
            <w:noWrap w:val="0"/>
            <w:vAlign w:val="top"/>
          </w:tcPr>
          <w:p w14:paraId="64C64D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是否受理 / 处理过涉外知识产权争议 □是 □否；</w:t>
            </w:r>
          </w:p>
          <w:p w14:paraId="13DEE0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业务类型：□跨境知识产权合同争议 □侵权争议 □证据存证 □调解协议赋强公证 □其他</w:t>
            </w:r>
            <w:r>
              <w:rPr>
                <w:rFonts w:hint="eastAsia" w:ascii="仿宋_GB2312" w:hAnsi="仿宋_GB2312" w:eastAsia="仿宋_GB2312" w:cs="仿宋_GB2312"/>
                <w:kern w:val="0"/>
                <w:sz w:val="28"/>
                <w:szCs w:val="28"/>
                <w:u w:val="single"/>
                <w:lang w:val="en-US" w:eastAsia="zh-CN" w:bidi="ar"/>
              </w:rPr>
              <w:t xml:space="preserve">                </w:t>
            </w:r>
            <w:r>
              <w:rPr>
                <w:rFonts w:hint="eastAsia" w:ascii="仿宋_GB2312" w:hAnsi="仿宋_GB2312" w:eastAsia="仿宋_GB2312" w:cs="仿宋_GB2312"/>
                <w:kern w:val="0"/>
                <w:sz w:val="28"/>
                <w:szCs w:val="28"/>
                <w:lang w:val="en-US" w:eastAsia="zh-CN" w:bidi="ar"/>
              </w:rPr>
              <w:t>；</w:t>
            </w:r>
          </w:p>
          <w:p w14:paraId="305BE9C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简要说明面向市场主体提供涉外知识产权纠纷服务存在哪些不足：</w:t>
            </w:r>
          </w:p>
          <w:p w14:paraId="1817D221">
            <w:pPr>
              <w:rPr>
                <w:rFonts w:hint="eastAsia"/>
                <w:lang w:val="en-US" w:eastAsia="zh-CN"/>
              </w:rPr>
            </w:pPr>
          </w:p>
        </w:tc>
      </w:tr>
    </w:tbl>
    <w:p w14:paraId="06D85078">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二、工作基础和</w:t>
      </w:r>
      <w:r>
        <w:rPr>
          <w:rFonts w:hint="eastAsia" w:ascii="黑体" w:hAnsi="黑体" w:eastAsia="黑体" w:cs="宋体"/>
          <w:sz w:val="32"/>
          <w:szCs w:val="32"/>
          <w:lang w:eastAsia="zh-CN"/>
        </w:rPr>
        <w:t>绩效</w:t>
      </w:r>
      <w:r>
        <w:rPr>
          <w:rFonts w:hint="eastAsia" w:ascii="黑体" w:hAnsi="黑体" w:eastAsia="黑体" w:cs="宋体"/>
          <w:sz w:val="32"/>
          <w:szCs w:val="32"/>
        </w:rPr>
        <w:t>目标</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76C0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9512" w:type="dxa"/>
            <w:noWrap w:val="0"/>
            <w:vAlign w:val="center"/>
          </w:tcPr>
          <w:p w14:paraId="07E0799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（一）工作基础</w:t>
            </w:r>
          </w:p>
          <w:p w14:paraId="0BEEFA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pPr>
            <w:r>
              <w:rPr>
                <w:rFonts w:hint="eastAsia" w:ascii="仿宋_GB2312" w:hAnsi="仿宋_GB2312" w:eastAsia="仿宋_GB2312" w:cs="仿宋_GB2312"/>
                <w:kern w:val="0"/>
                <w:sz w:val="28"/>
                <w:szCs w:val="28"/>
                <w:lang w:val="en-US" w:eastAsia="zh-CN" w:bidi="ar"/>
              </w:rPr>
              <w:t>简述单位行业定位、现有涉外知识产权业务储备、人才与资源基础；重点说明当前面向市场主体开展涉外知识产权纠纷化解工作存在的短板，实施本项目的必要性（≤500 字）。</w:t>
            </w:r>
          </w:p>
          <w:p w14:paraId="3BFCF0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（二）绩效目标</w:t>
            </w:r>
          </w:p>
          <w:p w14:paraId="463360D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lang w:eastAsia="zh-CN"/>
              </w:rPr>
            </w:pPr>
            <w:r>
              <w:rPr>
                <w:rFonts w:hint="eastAsia" w:ascii="仿宋_GB2312" w:hAnsi="仿宋_GB2312" w:eastAsia="仿宋_GB2312" w:cs="仿宋_GB2312"/>
                <w:kern w:val="0"/>
                <w:sz w:val="28"/>
                <w:szCs w:val="28"/>
                <w:lang w:val="en-US" w:eastAsia="zh-CN" w:bidi="ar"/>
              </w:rPr>
              <w:t>填写项目实施周期内可量化考核指标：制度规程修订数量、专家库建设规模、协同对接机制建设、指引（案例库）等产出数量、培训场次、覆盖市场主体数量、面向公民与组织开展咨询服务成效等量化指标（≤500 字）。</w:t>
            </w:r>
          </w:p>
        </w:tc>
      </w:tr>
    </w:tbl>
    <w:p w14:paraId="3890EC50">
      <w:pPr>
        <w:spacing w:line="560" w:lineRule="exact"/>
        <w:ind w:firstLine="640" w:firstLineChars="200"/>
        <w:rPr>
          <w:rFonts w:hint="eastAsia" w:ascii="黑体" w:hAnsi="黑体" w:eastAsia="黑体" w:cs="宋体"/>
          <w:sz w:val="32"/>
          <w:szCs w:val="32"/>
        </w:rPr>
      </w:pPr>
      <w:r>
        <w:rPr>
          <w:rFonts w:hint="eastAsia" w:ascii="黑体" w:hAnsi="黑体" w:eastAsia="黑体" w:cs="宋体"/>
          <w:sz w:val="32"/>
          <w:szCs w:val="32"/>
        </w:rPr>
        <w:t>三、工作方案</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14:paraId="5188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9512" w:type="dxa"/>
            <w:noWrap w:val="0"/>
            <w:vAlign w:val="center"/>
          </w:tcPr>
          <w:p w14:paraId="7E11B05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参考提纲（总字数≤3000 字）</w:t>
            </w:r>
          </w:p>
          <w:p w14:paraId="0D24CAE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（一）项目需求分析</w:t>
            </w:r>
          </w:p>
          <w:p w14:paraId="417A6BE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分析当前陕西省市场主体在解决涉外知识产权纠纷过程中的现实堵点；梳理本机构在涉外知识产权保护服务方面现存短板，说明开展本项目对于提升本机构涉外解纷服务能力、畅通社会主体维权渠道的必要性。</w:t>
            </w:r>
          </w:p>
          <w:p w14:paraId="6F901D77">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（二）主要工作内容</w:t>
            </w:r>
          </w:p>
          <w:p w14:paraId="59B3F5A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围绕涉外知识产权纠纷多元化解体系建设，概述项目主要工作内容与总体目标：通过完善业务规则、建强专家队伍、搭建协同机制、开展案例研究与公益服务，提升本机构涉外知识产权业务能力，为市场主体提供高效便捷的涉外知识产权纠纷解决途径。</w:t>
            </w:r>
          </w:p>
          <w:p w14:paraId="440BFBE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（三）工作任务及实施计划</w:t>
            </w:r>
          </w:p>
          <w:p w14:paraId="0FDBC94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逐条详细列明项目任务，分阶段设置时间进度、阶段性工作内容、对应产出成果。</w:t>
            </w:r>
          </w:p>
          <w:p w14:paraId="2D47AA2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（四）工作资源及保障措施</w:t>
            </w:r>
          </w:p>
          <w:p w14:paraId="17349C6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本项目团队配置、专家资源、内部制度保障、外部合作资源、经费筹措与保障。</w:t>
            </w:r>
          </w:p>
          <w:p w14:paraId="72B6AE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楷体_GB2312" w:hAnsi="楷体_GB2312" w:eastAsia="楷体_GB2312" w:cs="楷体_GB2312"/>
                <w:b/>
                <w:bCs/>
                <w:kern w:val="0"/>
                <w:sz w:val="28"/>
                <w:szCs w:val="28"/>
                <w:lang w:val="en-US" w:eastAsia="zh-CN" w:bidi="ar"/>
              </w:rPr>
            </w:pPr>
            <w:r>
              <w:rPr>
                <w:rFonts w:hint="eastAsia" w:ascii="楷体_GB2312" w:hAnsi="楷体_GB2312" w:eastAsia="楷体_GB2312" w:cs="楷体_GB2312"/>
                <w:b/>
                <w:bCs/>
                <w:kern w:val="0"/>
                <w:sz w:val="28"/>
                <w:szCs w:val="28"/>
                <w:lang w:val="en-US" w:eastAsia="zh-CN" w:bidi="ar"/>
              </w:rPr>
              <w:t>（五）成果运用</w:t>
            </w:r>
          </w:p>
          <w:p w14:paraId="521BFE5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lang w:eastAsia="zh-CN"/>
              </w:rPr>
            </w:pPr>
            <w:r>
              <w:rPr>
                <w:rFonts w:hint="eastAsia" w:ascii="仿宋_GB2312" w:hAnsi="仿宋_GB2312" w:eastAsia="仿宋_GB2312" w:cs="仿宋_GB2312"/>
                <w:kern w:val="0"/>
                <w:sz w:val="28"/>
                <w:szCs w:val="28"/>
                <w:lang w:val="en-US" w:eastAsia="zh-CN" w:bidi="ar"/>
              </w:rPr>
              <w:t>项目完成后成果落地方式；修订的制度、实务指引、案例库如何面向公民、市场主体开放使用；如何实现与知识产权保护、维权援助体系长效衔接，持续输出涉外知识产权纠纷化解服务。</w:t>
            </w:r>
          </w:p>
        </w:tc>
      </w:tr>
    </w:tbl>
    <w:p w14:paraId="26BD93CA">
      <w:pPr>
        <w:spacing w:line="560" w:lineRule="exact"/>
        <w:ind w:firstLine="640" w:firstLineChars="200"/>
        <w:rPr>
          <w:rFonts w:hint="eastAsia" w:ascii="黑体" w:hAnsi="黑体" w:eastAsia="黑体" w:cs="宋体"/>
          <w:sz w:val="32"/>
          <w:szCs w:val="32"/>
          <w:lang w:eastAsia="zh-CN"/>
        </w:rPr>
      </w:pPr>
      <w:r>
        <w:rPr>
          <w:rFonts w:hint="eastAsia" w:ascii="黑体" w:hAnsi="黑体" w:eastAsia="黑体" w:cs="宋体"/>
          <w:sz w:val="32"/>
          <w:szCs w:val="32"/>
          <w:lang w:eastAsia="zh-CN"/>
        </w:rPr>
        <w:t>四</w:t>
      </w:r>
      <w:r>
        <w:rPr>
          <w:rFonts w:hint="eastAsia" w:ascii="黑体" w:hAnsi="黑体" w:eastAsia="黑体" w:cs="宋体"/>
          <w:sz w:val="32"/>
          <w:szCs w:val="32"/>
        </w:rPr>
        <w:t>、</w:t>
      </w:r>
      <w:r>
        <w:rPr>
          <w:rFonts w:hint="eastAsia" w:ascii="黑体" w:hAnsi="黑体" w:eastAsia="黑体" w:cs="宋体"/>
          <w:sz w:val="32"/>
          <w:szCs w:val="32"/>
          <w:lang w:eastAsia="zh-CN"/>
        </w:rPr>
        <w:t>经费来源及预算</w:t>
      </w:r>
    </w:p>
    <w:tbl>
      <w:tblPr>
        <w:tblStyle w:val="8"/>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0"/>
        <w:gridCol w:w="3170"/>
        <w:gridCol w:w="3172"/>
      </w:tblGrid>
      <w:tr w14:paraId="6800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170" w:type="dxa"/>
            <w:noWrap w:val="0"/>
            <w:vAlign w:val="center"/>
          </w:tcPr>
          <w:p w14:paraId="146E00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实施预计总经费（万元）</w:t>
            </w:r>
          </w:p>
        </w:tc>
        <w:tc>
          <w:tcPr>
            <w:tcW w:w="3170" w:type="dxa"/>
            <w:noWrap w:val="0"/>
            <w:vAlign w:val="center"/>
          </w:tcPr>
          <w:p w14:paraId="3DCE625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申报专项资金</w:t>
            </w:r>
          </w:p>
        </w:tc>
        <w:tc>
          <w:tcPr>
            <w:tcW w:w="3172" w:type="dxa"/>
            <w:noWrap w:val="0"/>
            <w:vAlign w:val="center"/>
          </w:tcPr>
          <w:p w14:paraId="0E1D0D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自筹（或其他）来源经费</w:t>
            </w:r>
          </w:p>
        </w:tc>
      </w:tr>
      <w:tr w14:paraId="40E4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170" w:type="dxa"/>
            <w:noWrap w:val="0"/>
            <w:vAlign w:val="center"/>
          </w:tcPr>
          <w:p w14:paraId="0E5DC97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0" w:type="dxa"/>
            <w:noWrap w:val="0"/>
            <w:vAlign w:val="center"/>
          </w:tcPr>
          <w:p w14:paraId="6FD6AB6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c>
          <w:tcPr>
            <w:tcW w:w="3172" w:type="dxa"/>
            <w:noWrap w:val="0"/>
            <w:vAlign w:val="center"/>
          </w:tcPr>
          <w:p w14:paraId="2980992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0074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512" w:type="dxa"/>
            <w:gridSpan w:val="3"/>
            <w:noWrap w:val="0"/>
            <w:vAlign w:val="center"/>
          </w:tcPr>
          <w:p w14:paraId="2E7A3F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eastAsia="zh-CN"/>
              </w:rPr>
            </w:pPr>
            <w:r>
              <w:rPr>
                <w:rFonts w:hint="eastAsia" w:ascii="黑体" w:hAnsi="黑体" w:eastAsia="黑体" w:cs="黑体"/>
                <w:sz w:val="28"/>
                <w:szCs w:val="28"/>
                <w:lang w:val="en-US" w:eastAsia="zh-CN"/>
              </w:rPr>
              <w:t>项目预算支出科目（参照模板）（万元）</w:t>
            </w:r>
          </w:p>
        </w:tc>
      </w:tr>
      <w:tr w14:paraId="6915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3EBCB6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涉外知识产权法律资料搜集、国别规则研究、业务规程编制</w:t>
            </w:r>
          </w:p>
        </w:tc>
        <w:tc>
          <w:tcPr>
            <w:tcW w:w="3172" w:type="dxa"/>
            <w:noWrap w:val="0"/>
            <w:vAlign w:val="center"/>
          </w:tcPr>
          <w:p w14:paraId="37F6E55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55FD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269F45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涉外知识产权专家库建设、专家选聘、专家咨询、业务研讨</w:t>
            </w:r>
          </w:p>
        </w:tc>
        <w:tc>
          <w:tcPr>
            <w:tcW w:w="3172" w:type="dxa"/>
            <w:noWrap w:val="0"/>
            <w:vAlign w:val="center"/>
          </w:tcPr>
          <w:p w14:paraId="70A345A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1CDB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52B20CD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协同对接机制搭建、案例梳理、实务指引、典型案例库编制</w:t>
            </w:r>
          </w:p>
        </w:tc>
        <w:tc>
          <w:tcPr>
            <w:tcW w:w="3172" w:type="dxa"/>
            <w:noWrap w:val="0"/>
            <w:vAlign w:val="center"/>
          </w:tcPr>
          <w:p w14:paraId="6F28FDB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3448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2182A2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面向市场主体及社会公众涉外知识产权公益培训、宣介活动组织</w:t>
            </w:r>
          </w:p>
        </w:tc>
        <w:tc>
          <w:tcPr>
            <w:tcW w:w="3172" w:type="dxa"/>
            <w:noWrap w:val="0"/>
            <w:vAlign w:val="center"/>
          </w:tcPr>
          <w:p w14:paraId="2E3D700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58DD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6DA0DD9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机构内部人才能力建设、业务交流研讨费用</w:t>
            </w:r>
          </w:p>
        </w:tc>
        <w:tc>
          <w:tcPr>
            <w:tcW w:w="3172" w:type="dxa"/>
            <w:noWrap w:val="0"/>
            <w:vAlign w:val="center"/>
          </w:tcPr>
          <w:p w14:paraId="4980757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r w14:paraId="3011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340" w:type="dxa"/>
            <w:gridSpan w:val="2"/>
            <w:noWrap w:val="0"/>
            <w:vAlign w:val="center"/>
          </w:tcPr>
          <w:p w14:paraId="269A8F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合计</w:t>
            </w:r>
          </w:p>
        </w:tc>
        <w:tc>
          <w:tcPr>
            <w:tcW w:w="3172" w:type="dxa"/>
            <w:noWrap w:val="0"/>
            <w:vAlign w:val="center"/>
          </w:tcPr>
          <w:p w14:paraId="515909E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tc>
      </w:tr>
    </w:tbl>
    <w:p w14:paraId="33951931">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仿宋_GB2312" w:hAnsi="仿宋_GB2312" w:eastAsia="仿宋_GB2312" w:cs="仿宋_GB2312"/>
          <w:b w:val="0"/>
          <w:bCs w:val="0"/>
          <w:kern w:val="0"/>
          <w:sz w:val="28"/>
          <w:szCs w:val="28"/>
          <w:lang w:val="en-US" w:eastAsia="zh-CN" w:bidi="ar"/>
        </w:rPr>
      </w:pPr>
      <w:r>
        <w:rPr>
          <w:rFonts w:hint="eastAsia" w:ascii="仿宋_GB2312" w:hAnsi="仿宋_GB2312" w:eastAsia="仿宋_GB2312" w:cs="仿宋_GB2312"/>
          <w:b w:val="0"/>
          <w:bCs w:val="0"/>
          <w:kern w:val="0"/>
          <w:sz w:val="28"/>
          <w:szCs w:val="28"/>
          <w:lang w:val="en-US" w:eastAsia="zh-CN" w:bidi="ar"/>
        </w:rPr>
        <w:t>注：专项资金仅限用于涉外知识产权法律信息搜集、业务规程编制、专家咨询、案例研究、实务指引编制、公益培训宣介、业务研讨等项目相关支出。不得用于人员基本工资福利、案件受理费、仲裁费、调解服务费、公证收费补贴、基建、偿还债务等与项目无关支出。</w:t>
      </w:r>
    </w:p>
    <w:p w14:paraId="16B45E44">
      <w:pPr>
        <w:pStyle w:val="2"/>
        <w:rPr>
          <w:rFonts w:hint="eastAsia" w:ascii="仿宋_GB2312" w:hAnsi="仿宋_GB2312" w:eastAsia="仿宋_GB2312" w:cs="仿宋_GB2312"/>
          <w:b/>
          <w:bCs/>
          <w:kern w:val="0"/>
          <w:sz w:val="28"/>
          <w:szCs w:val="28"/>
          <w:lang w:val="en-US" w:eastAsia="zh-CN" w:bidi="ar"/>
        </w:rPr>
      </w:pPr>
    </w:p>
    <w:p w14:paraId="3406C280">
      <w:pPr>
        <w:rPr>
          <w:rFonts w:hint="eastAsia" w:ascii="仿宋_GB2312" w:hAnsi="仿宋_GB2312" w:eastAsia="仿宋_GB2312" w:cs="仿宋_GB2312"/>
          <w:b/>
          <w:bCs/>
          <w:kern w:val="0"/>
          <w:sz w:val="28"/>
          <w:szCs w:val="28"/>
          <w:lang w:val="en-US" w:eastAsia="zh-CN" w:bidi="ar"/>
        </w:rPr>
      </w:pPr>
    </w:p>
    <w:p w14:paraId="70ED8638">
      <w:pPr>
        <w:pStyle w:val="2"/>
        <w:rPr>
          <w:rFonts w:hint="eastAsia" w:ascii="仿宋_GB2312" w:hAnsi="仿宋_GB2312" w:eastAsia="仿宋_GB2312" w:cs="仿宋_GB2312"/>
          <w:b/>
          <w:bCs/>
          <w:kern w:val="0"/>
          <w:sz w:val="28"/>
          <w:szCs w:val="28"/>
          <w:lang w:val="en-US" w:eastAsia="zh-CN" w:bidi="ar"/>
        </w:rPr>
      </w:pPr>
    </w:p>
    <w:p w14:paraId="4AE66A46">
      <w:pPr>
        <w:pStyle w:val="2"/>
        <w:rPr>
          <w:rFonts w:hint="eastAsia"/>
          <w:lang w:val="en-US" w:eastAsia="zh-CN"/>
        </w:rPr>
      </w:pPr>
      <w:bookmarkStart w:id="0" w:name="_GoBack"/>
      <w:bookmarkEnd w:id="0"/>
    </w:p>
    <w:p w14:paraId="7F3F288D"/>
    <w:p w14:paraId="40311EC4">
      <w:pPr>
        <w:snapToGrid w:val="0"/>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陕西省涉外知识产权保护能力提升项目汇总表</w:t>
      </w:r>
    </w:p>
    <w:p w14:paraId="3ECA1085">
      <w:pPr>
        <w:ind w:firstLine="274" w:firstLineChars="98"/>
        <w:rPr>
          <w:rFonts w:hint="eastAsia" w:ascii="楷体" w:hAnsi="楷体" w:eastAsia="楷体"/>
          <w:bCs/>
          <w:sz w:val="28"/>
          <w:szCs w:val="28"/>
        </w:rPr>
      </w:pPr>
    </w:p>
    <w:p w14:paraId="3CFC2D09">
      <w:pPr>
        <w:ind w:firstLine="274" w:firstLineChars="98"/>
        <w:rPr>
          <w:rFonts w:hint="default" w:ascii="楷体" w:hAnsi="楷体" w:eastAsia="楷体"/>
          <w:b/>
          <w:sz w:val="28"/>
          <w:szCs w:val="28"/>
          <w:u w:val="single"/>
          <w:lang w:val="en-US" w:eastAsia="zh-CN"/>
        </w:rPr>
      </w:pPr>
      <w:r>
        <w:rPr>
          <w:rFonts w:hint="eastAsia" w:ascii="楷体" w:hAnsi="楷体" w:eastAsia="楷体"/>
          <w:bCs/>
          <w:sz w:val="28"/>
          <w:szCs w:val="28"/>
        </w:rPr>
        <w:t>填报单位：</w:t>
      </w:r>
      <w:r>
        <w:rPr>
          <w:rFonts w:hint="eastAsia" w:ascii="楷体" w:hAnsi="楷体" w:eastAsia="楷体"/>
          <w:bCs/>
          <w:sz w:val="28"/>
          <w:szCs w:val="28"/>
          <w:u w:val="single"/>
          <w:lang w:val="en-US" w:eastAsia="zh-CN"/>
        </w:rPr>
        <w:t xml:space="preserve">          </w:t>
      </w:r>
      <w:r>
        <w:rPr>
          <w:rFonts w:hint="eastAsia" w:ascii="楷体" w:hAnsi="楷体" w:eastAsia="楷体"/>
          <w:bCs/>
          <w:sz w:val="28"/>
          <w:szCs w:val="28"/>
        </w:rPr>
        <w:t>（盖章）填报日期：</w:t>
      </w:r>
      <w:r>
        <w:rPr>
          <w:rFonts w:hint="eastAsia" w:ascii="楷体" w:hAnsi="楷体" w:eastAsia="楷体"/>
          <w:bCs/>
          <w:sz w:val="28"/>
          <w:szCs w:val="28"/>
          <w:u w:val="single"/>
          <w:lang w:val="en-US" w:eastAsia="zh-CN"/>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4976"/>
        <w:gridCol w:w="1985"/>
        <w:gridCol w:w="1890"/>
      </w:tblGrid>
      <w:tr w14:paraId="44D8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924" w:type="dxa"/>
            <w:noWrap w:val="0"/>
            <w:vAlign w:val="center"/>
          </w:tcPr>
          <w:p w14:paraId="059521E1">
            <w:pPr>
              <w:jc w:val="center"/>
              <w:rPr>
                <w:rFonts w:ascii="黑体" w:hAnsi="黑体" w:eastAsia="黑体"/>
                <w:sz w:val="28"/>
                <w:szCs w:val="28"/>
              </w:rPr>
            </w:pPr>
            <w:r>
              <w:rPr>
                <w:rFonts w:hint="eastAsia" w:ascii="黑体" w:hAnsi="黑体" w:eastAsia="黑体"/>
                <w:sz w:val="28"/>
                <w:szCs w:val="28"/>
              </w:rPr>
              <w:t>序号</w:t>
            </w:r>
          </w:p>
        </w:tc>
        <w:tc>
          <w:tcPr>
            <w:tcW w:w="4976" w:type="dxa"/>
            <w:noWrap w:val="0"/>
            <w:vAlign w:val="center"/>
          </w:tcPr>
          <w:p w14:paraId="181C9920">
            <w:pPr>
              <w:jc w:val="center"/>
              <w:rPr>
                <w:rFonts w:ascii="黑体" w:hAnsi="黑体" w:eastAsia="黑体"/>
                <w:sz w:val="28"/>
                <w:szCs w:val="28"/>
              </w:rPr>
            </w:pPr>
            <w:r>
              <w:rPr>
                <w:rFonts w:hint="eastAsia" w:ascii="黑体" w:hAnsi="黑体" w:eastAsia="黑体"/>
                <w:sz w:val="28"/>
                <w:szCs w:val="28"/>
              </w:rPr>
              <w:t>项目名称</w:t>
            </w:r>
          </w:p>
        </w:tc>
        <w:tc>
          <w:tcPr>
            <w:tcW w:w="1985" w:type="dxa"/>
            <w:noWrap w:val="0"/>
            <w:vAlign w:val="center"/>
          </w:tcPr>
          <w:p w14:paraId="11EDA668">
            <w:pPr>
              <w:jc w:val="center"/>
              <w:rPr>
                <w:rFonts w:hint="eastAsia" w:ascii="黑体" w:hAnsi="黑体" w:eastAsia="黑体"/>
                <w:sz w:val="28"/>
                <w:szCs w:val="28"/>
                <w:lang w:eastAsia="zh-CN"/>
              </w:rPr>
            </w:pPr>
            <w:r>
              <w:rPr>
                <w:rFonts w:hint="eastAsia" w:ascii="黑体" w:hAnsi="黑体" w:eastAsia="黑体"/>
                <w:sz w:val="28"/>
                <w:szCs w:val="28"/>
                <w:lang w:eastAsia="zh-CN"/>
              </w:rPr>
              <w:t>初审意见</w:t>
            </w:r>
          </w:p>
        </w:tc>
        <w:tc>
          <w:tcPr>
            <w:tcW w:w="1890" w:type="dxa"/>
            <w:noWrap w:val="0"/>
            <w:vAlign w:val="center"/>
          </w:tcPr>
          <w:p w14:paraId="4830C44C">
            <w:pPr>
              <w:jc w:val="center"/>
              <w:rPr>
                <w:rFonts w:ascii="黑体" w:hAnsi="黑体" w:eastAsia="黑体"/>
                <w:sz w:val="28"/>
                <w:szCs w:val="28"/>
              </w:rPr>
            </w:pPr>
            <w:r>
              <w:rPr>
                <w:rFonts w:hint="eastAsia" w:ascii="黑体" w:hAnsi="黑体" w:eastAsia="黑体"/>
                <w:sz w:val="28"/>
                <w:szCs w:val="28"/>
              </w:rPr>
              <w:t>备注</w:t>
            </w:r>
          </w:p>
        </w:tc>
      </w:tr>
      <w:tr w14:paraId="258E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24" w:type="dxa"/>
            <w:noWrap w:val="0"/>
            <w:vAlign w:val="center"/>
          </w:tcPr>
          <w:p w14:paraId="3796233B">
            <w:pPr>
              <w:jc w:val="center"/>
              <w:rPr>
                <w:rFonts w:ascii="黑体" w:hAnsi="黑体" w:eastAsia="黑体"/>
                <w:sz w:val="24"/>
              </w:rPr>
            </w:pPr>
            <w:r>
              <w:rPr>
                <w:rFonts w:hint="eastAsia" w:ascii="黑体" w:hAnsi="黑体" w:eastAsia="黑体"/>
                <w:sz w:val="24"/>
              </w:rPr>
              <w:t>1</w:t>
            </w:r>
          </w:p>
        </w:tc>
        <w:tc>
          <w:tcPr>
            <w:tcW w:w="4976" w:type="dxa"/>
            <w:noWrap w:val="0"/>
            <w:vAlign w:val="center"/>
          </w:tcPr>
          <w:p w14:paraId="374F311B">
            <w:pPr>
              <w:rPr>
                <w:rFonts w:ascii="黑体" w:hAnsi="黑体" w:eastAsia="黑体"/>
                <w:sz w:val="24"/>
              </w:rPr>
            </w:pPr>
            <w:r>
              <w:rPr>
                <w:rFonts w:hint="eastAsia" w:ascii="仿宋_GB2312" w:hAnsi="仿宋_GB2312" w:eastAsia="仿宋_GB2312" w:cs="仿宋_GB2312"/>
                <w:sz w:val="28"/>
                <w:szCs w:val="28"/>
                <w:vertAlign w:val="baseline"/>
                <w:lang w:val="en-US" w:eastAsia="zh-CN"/>
              </w:rPr>
              <w:t>单位名称+涉外知识产权保护能力提升项目</w:t>
            </w:r>
          </w:p>
        </w:tc>
        <w:tc>
          <w:tcPr>
            <w:tcW w:w="1985" w:type="dxa"/>
            <w:noWrap w:val="0"/>
            <w:vAlign w:val="center"/>
          </w:tcPr>
          <w:p w14:paraId="253880BE">
            <w:pPr>
              <w:jc w:val="center"/>
              <w:rPr>
                <w:rFonts w:hint="default" w:ascii="黑体" w:hAnsi="黑体" w:eastAsia="黑体"/>
                <w:sz w:val="24"/>
                <w:lang w:val="en-US" w:eastAsia="zh-CN"/>
              </w:rPr>
            </w:pPr>
            <w:r>
              <w:rPr>
                <w:rFonts w:hint="eastAsia" w:ascii="仿宋_GB2312" w:hAnsi="仿宋_GB2312" w:eastAsia="仿宋_GB2312" w:cs="仿宋_GB2312"/>
                <w:sz w:val="28"/>
                <w:szCs w:val="28"/>
                <w:lang w:eastAsia="zh-CN"/>
              </w:rPr>
              <w:t>推荐</w:t>
            </w:r>
            <w:r>
              <w:rPr>
                <w:rFonts w:hint="eastAsia" w:ascii="仿宋_GB2312" w:hAnsi="仿宋_GB2312" w:eastAsia="仿宋_GB2312" w:cs="仿宋_GB2312"/>
                <w:sz w:val="28"/>
                <w:szCs w:val="28"/>
                <w:lang w:val="en-US" w:eastAsia="zh-CN"/>
              </w:rPr>
              <w:t>/不推荐</w:t>
            </w:r>
          </w:p>
        </w:tc>
        <w:tc>
          <w:tcPr>
            <w:tcW w:w="1890" w:type="dxa"/>
            <w:noWrap w:val="0"/>
            <w:vAlign w:val="center"/>
          </w:tcPr>
          <w:p w14:paraId="51B35AE1">
            <w:pPr>
              <w:rPr>
                <w:rFonts w:ascii="黑体" w:hAnsi="黑体" w:eastAsia="黑体"/>
                <w:sz w:val="24"/>
              </w:rPr>
            </w:pPr>
          </w:p>
        </w:tc>
      </w:tr>
      <w:tr w14:paraId="33B3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924" w:type="dxa"/>
            <w:noWrap w:val="0"/>
            <w:vAlign w:val="center"/>
          </w:tcPr>
          <w:p w14:paraId="34A53AAA">
            <w:pPr>
              <w:jc w:val="center"/>
              <w:rPr>
                <w:rFonts w:ascii="黑体" w:hAnsi="黑体" w:eastAsia="黑体"/>
                <w:sz w:val="24"/>
              </w:rPr>
            </w:pPr>
            <w:r>
              <w:rPr>
                <w:rFonts w:hint="eastAsia" w:ascii="黑体" w:hAnsi="黑体" w:eastAsia="黑体"/>
                <w:sz w:val="24"/>
              </w:rPr>
              <w:t>2</w:t>
            </w:r>
          </w:p>
        </w:tc>
        <w:tc>
          <w:tcPr>
            <w:tcW w:w="4976" w:type="dxa"/>
            <w:noWrap w:val="0"/>
            <w:vAlign w:val="center"/>
          </w:tcPr>
          <w:p w14:paraId="746DE214">
            <w:pPr>
              <w:rPr>
                <w:rFonts w:ascii="黑体" w:hAnsi="黑体" w:eastAsia="黑体"/>
                <w:sz w:val="24"/>
              </w:rPr>
            </w:pPr>
          </w:p>
        </w:tc>
        <w:tc>
          <w:tcPr>
            <w:tcW w:w="1985" w:type="dxa"/>
            <w:noWrap w:val="0"/>
            <w:vAlign w:val="center"/>
          </w:tcPr>
          <w:p w14:paraId="1FF4FB30">
            <w:pPr>
              <w:rPr>
                <w:rFonts w:ascii="黑体" w:hAnsi="黑体" w:eastAsia="黑体"/>
                <w:sz w:val="24"/>
              </w:rPr>
            </w:pPr>
          </w:p>
        </w:tc>
        <w:tc>
          <w:tcPr>
            <w:tcW w:w="1890" w:type="dxa"/>
            <w:noWrap w:val="0"/>
            <w:vAlign w:val="center"/>
          </w:tcPr>
          <w:p w14:paraId="67F59FA2">
            <w:pPr>
              <w:rPr>
                <w:rFonts w:ascii="黑体" w:hAnsi="黑体" w:eastAsia="黑体"/>
                <w:sz w:val="24"/>
              </w:rPr>
            </w:pPr>
          </w:p>
        </w:tc>
      </w:tr>
      <w:tr w14:paraId="2F4F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924" w:type="dxa"/>
            <w:noWrap w:val="0"/>
            <w:vAlign w:val="center"/>
          </w:tcPr>
          <w:p w14:paraId="261DF032">
            <w:pPr>
              <w:jc w:val="center"/>
              <w:rPr>
                <w:rFonts w:ascii="黑体" w:hAnsi="黑体" w:eastAsia="黑体"/>
                <w:sz w:val="24"/>
              </w:rPr>
            </w:pPr>
            <w:r>
              <w:rPr>
                <w:rFonts w:ascii="黑体" w:hAnsi="黑体" w:eastAsia="黑体"/>
                <w:sz w:val="24"/>
              </w:rPr>
              <w:t>…</w:t>
            </w:r>
          </w:p>
        </w:tc>
        <w:tc>
          <w:tcPr>
            <w:tcW w:w="4976" w:type="dxa"/>
            <w:noWrap w:val="0"/>
            <w:vAlign w:val="center"/>
          </w:tcPr>
          <w:p w14:paraId="63526E02">
            <w:pPr>
              <w:rPr>
                <w:rFonts w:ascii="黑体" w:hAnsi="黑体" w:eastAsia="黑体"/>
                <w:sz w:val="24"/>
              </w:rPr>
            </w:pPr>
          </w:p>
        </w:tc>
        <w:tc>
          <w:tcPr>
            <w:tcW w:w="1985" w:type="dxa"/>
            <w:noWrap w:val="0"/>
            <w:vAlign w:val="center"/>
          </w:tcPr>
          <w:p w14:paraId="3306E49B">
            <w:pPr>
              <w:rPr>
                <w:rFonts w:ascii="黑体" w:hAnsi="黑体" w:eastAsia="黑体"/>
                <w:sz w:val="24"/>
              </w:rPr>
            </w:pPr>
          </w:p>
        </w:tc>
        <w:tc>
          <w:tcPr>
            <w:tcW w:w="1890" w:type="dxa"/>
            <w:noWrap w:val="0"/>
            <w:vAlign w:val="center"/>
          </w:tcPr>
          <w:p w14:paraId="50FEFDA2">
            <w:pPr>
              <w:rPr>
                <w:rFonts w:ascii="黑体" w:hAnsi="黑体" w:eastAsia="黑体"/>
                <w:sz w:val="24"/>
              </w:rPr>
            </w:pPr>
          </w:p>
        </w:tc>
      </w:tr>
    </w:tbl>
    <w:p w14:paraId="246D6362">
      <w:pPr>
        <w:keepNext w:val="0"/>
        <w:keepLines w:val="0"/>
        <w:pageBreakBefore w:val="0"/>
        <w:widowControl w:val="0"/>
        <w:kinsoku/>
        <w:wordWrap/>
        <w:overflowPunct/>
        <w:topLinePunct w:val="0"/>
        <w:autoSpaceDE/>
        <w:autoSpaceDN/>
        <w:bidi w:val="0"/>
        <w:adjustRightInd/>
        <w:snapToGrid/>
        <w:textAlignment w:val="auto"/>
      </w:pPr>
    </w:p>
    <w:sectPr>
      <w:headerReference r:id="rId4" w:type="default"/>
      <w:footerReference r:id="rId5"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B61722-DCC0-4F35-BC6A-7FBBB39F0F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5710FE3-47BA-4AD6-8EE9-A494200C4211}"/>
  </w:font>
  <w:font w:name="楷体">
    <w:panose1 w:val="02010609060101010101"/>
    <w:charset w:val="86"/>
    <w:family w:val="modern"/>
    <w:pitch w:val="default"/>
    <w:sig w:usb0="800002BF" w:usb1="38CF7CFA" w:usb2="00000016" w:usb3="00000000" w:csb0="00040001" w:csb1="00000000"/>
    <w:embedRegular r:id="rId3" w:fontKey="{3DDCFEC8-1347-4B7D-8DF8-72C2631B95BA}"/>
  </w:font>
  <w:font w:name="方正小标宋简体">
    <w:panose1 w:val="03000509000000000000"/>
    <w:charset w:val="86"/>
    <w:family w:val="script"/>
    <w:pitch w:val="default"/>
    <w:sig w:usb0="00000001" w:usb1="080E0000" w:usb2="00000000" w:usb3="00000000" w:csb0="00040000" w:csb1="00000000"/>
    <w:embedRegular r:id="rId4" w:fontKey="{2041A331-39E5-49D2-930F-D295F62EE83D}"/>
  </w:font>
  <w:font w:name="仿宋_GB2312">
    <w:panose1 w:val="02010609030101010101"/>
    <w:charset w:val="86"/>
    <w:family w:val="modern"/>
    <w:pitch w:val="default"/>
    <w:sig w:usb0="00000001" w:usb1="080E0000" w:usb2="00000000" w:usb3="00000000" w:csb0="00040000" w:csb1="00000000"/>
    <w:embedRegular r:id="rId5" w:fontKey="{18031952-0AA5-4705-897F-B05DA46035E4}"/>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embedRegular r:id="rId6" w:fontKey="{97C30817-D01F-46C5-9DF7-EBED49082A74}"/>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embedRegular r:id="rId7" w:fontKey="{06CC87D9-151A-45D5-8A4E-9B66855DB38E}"/>
  </w:font>
  <w:font w:name="Nimbus Roman No9 L">
    <w:altName w:val="思源黑体"/>
    <w:panose1 w:val="020B0500000000000000"/>
    <w:charset w:val="00"/>
    <w:family w:val="auto"/>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 w:name="方正小标宋_GBK">
    <w:panose1 w:val="02000000000000000000"/>
    <w:charset w:val="86"/>
    <w:family w:val="script"/>
    <w:pitch w:val="default"/>
    <w:sig w:usb0="A00002BF" w:usb1="38CF7CFA" w:usb2="00082016" w:usb3="00000000" w:csb0="00040001" w:csb1="00000000"/>
    <w:embedRegular r:id="rId8" w:fontKey="{BF8A442E-0DD4-4F63-ACD9-9CDC918E2CA5}"/>
  </w:font>
  <w:font w:name="微软雅黑">
    <w:panose1 w:val="020B0503020204020204"/>
    <w:charset w:val="86"/>
    <w:family w:val="swiss"/>
    <w:pitch w:val="default"/>
    <w:sig w:usb0="80000287" w:usb1="2ACF3C50" w:usb2="00000016" w:usb3="00000000" w:csb0="0004001F"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219A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5"/>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1DD2E1B"/>
    <w:rsid w:val="07CB0958"/>
    <w:rsid w:val="0F6318CC"/>
    <w:rsid w:val="15155054"/>
    <w:rsid w:val="22803FBD"/>
    <w:rsid w:val="2D452C8F"/>
    <w:rsid w:val="4E5C1022"/>
    <w:rsid w:val="76EE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1">
    <w:name w:val="Table Paragraph"/>
    <w:basedOn w:val="1"/>
    <w:qFormat/>
    <w:uiPriority w:val="1"/>
    <w:rPr>
      <w:rFonts w:ascii="方正仿宋_GBK" w:hAnsi="方正仿宋_GBK" w:eastAsia="方正仿宋_GBK" w:cs="方正仿宋_GBK"/>
      <w:lang w:val="zh-CN" w:eastAsia="zh-CN" w:bidi="zh-CN"/>
    </w:rPr>
  </w:style>
  <w:style w:type="paragraph" w:customStyle="1" w:styleId="12">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856D3C90EC75420AACBC04571218FC26_13</vt:lpwstr>
  </property>
  <property fmtid="{D5CDD505-2E9C-101B-9397-08002B2CF9AE}" pid="4" name="KSOTemplateDocerSaveRecord">
    <vt:lpwstr>eyJoZGlkIjoiNzY3OGFjYjAwMjg5YTI1ZWJjYWU2OWNhY2ZiNGRjMzMiLCJ1c2VySWQiOiIyODY3OTQ1ODEifQ==</vt:lpwstr>
  </property>
</Properties>
</file>