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E26D68">
      <w:pPr>
        <w:spacing w:line="400" w:lineRule="exact"/>
        <w:jc w:val="left"/>
        <w:rPr>
          <w:rFonts w:hint="eastAsia" w:ascii="Times New Roman" w:hAnsi="Times New Roman" w:eastAsia="黑体" w:cs="黑体"/>
          <w:b w:val="0"/>
          <w:bCs/>
          <w:sz w:val="32"/>
          <w:szCs w:val="32"/>
          <w:lang w:val="en-US" w:eastAsia="zh-CN"/>
        </w:rPr>
      </w:pPr>
      <w:bookmarkStart w:id="0" w:name="_GoBack"/>
      <w:bookmarkEnd w:id="0"/>
      <w:r>
        <w:rPr>
          <w:rFonts w:hint="eastAsia" w:ascii="Times New Roman" w:hAnsi="Times New Roman" w:eastAsia="黑体" w:cs="黑体"/>
          <w:b w:val="0"/>
          <w:bCs/>
          <w:sz w:val="32"/>
          <w:szCs w:val="32"/>
          <w:lang w:val="en-US" w:eastAsia="zh-CN"/>
        </w:rPr>
        <w:t>附件2</w:t>
      </w:r>
    </w:p>
    <w:p w14:paraId="44440982">
      <w:pPr>
        <w:spacing w:line="400" w:lineRule="exact"/>
        <w:jc w:val="left"/>
        <w:rPr>
          <w:rFonts w:hint="eastAsia" w:ascii="Times New Roman" w:hAnsi="Times New Roman" w:eastAsia="黑体" w:cs="黑体"/>
          <w:b w:val="0"/>
          <w:bCs/>
          <w:sz w:val="32"/>
          <w:szCs w:val="32"/>
          <w:lang w:val="en-US" w:eastAsia="zh-CN"/>
        </w:rPr>
      </w:pPr>
    </w:p>
    <w:p w14:paraId="097D7A34">
      <w:pPr>
        <w:spacing w:afterLines="0" w:line="594" w:lineRule="exact"/>
        <w:jc w:val="center"/>
        <w:outlineLvl w:val="0"/>
        <w:rPr>
          <w:rFonts w:hint="eastAsia" w:ascii="Times New Roman Regular" w:hAnsi="Times New Roman Regular" w:eastAsia="方正小标宋简体" w:cs="Times New Roman Regular"/>
          <w:color w:val="auto"/>
          <w:sz w:val="44"/>
          <w:szCs w:val="44"/>
          <w:lang w:val="en-US" w:eastAsia="zh-CN"/>
        </w:rPr>
      </w:pPr>
      <w:r>
        <w:rPr>
          <w:rFonts w:hint="eastAsia" w:ascii="Times New Roman Regular" w:hAnsi="Times New Roman Regular" w:eastAsia="方正小标宋简体" w:cs="Times New Roman Regular"/>
          <w:color w:val="auto"/>
          <w:sz w:val="44"/>
          <w:szCs w:val="44"/>
          <w:lang w:val="en-US" w:eastAsia="zh-CN"/>
        </w:rPr>
        <w:t>关键要素数智化改革创新项目建设指南</w:t>
      </w:r>
    </w:p>
    <w:p w14:paraId="76FFFA15">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p>
    <w:p w14:paraId="4EAA21CA">
      <w:pPr>
        <w:widowControl/>
        <w:spacing w:afterLines="0" w:line="594" w:lineRule="exact"/>
        <w:ind w:firstLine="640" w:firstLineChars="200"/>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关键要素数智化改革创新</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项目</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旨在依托人工智能、大数据、知识图谱等新一代信息技术，聚焦人才培养全链条中的关键要素与核心环节，推动专业设置、课程资源、教师发展、学生实训、供需对接</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和数据治理</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等</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六大典型</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场景的</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数智</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化转型，</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构建“需求可感知、过程可追溯、效果可量化、发展可持续”的人才培养要素数智化创新载体</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。为指导</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实施</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单位高效率、高质量地开展</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项目</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建设工作，推进形成一批具有引领性和推广应用价值的人才培养创新范式，特制定本指南。</w:t>
      </w:r>
    </w:p>
    <w:p w14:paraId="5570F4EA">
      <w:pPr>
        <w:keepNext w:val="0"/>
        <w:keepLines w:val="0"/>
        <w:pageBreakBefore w:val="0"/>
        <w:widowControl w:val="0"/>
        <w:numPr>
          <w:ilvl w:val="0"/>
          <w:numId w:val="1"/>
        </w:numPr>
        <w:kinsoku/>
        <w:wordWrap/>
        <w:overflowPunct/>
        <w:topLinePunct w:val="0"/>
        <w:autoSpaceDE/>
        <w:autoSpaceDN/>
        <w:bidi w:val="0"/>
        <w:adjustRightInd/>
        <w:snapToGrid/>
        <w:spacing w:afterLines="0" w:line="594" w:lineRule="exact"/>
        <w:ind w:left="638" w:leftChars="304"/>
        <w:textAlignment w:val="auto"/>
        <w:outlineLvl w:val="1"/>
        <w:rPr>
          <w:rFonts w:hint="eastAsia" w:ascii="Times New Roman Regular" w:hAnsi="Times New Roman Regular" w:eastAsia="黑体" w:cs="Times New Roman Regular"/>
          <w:color w:val="auto"/>
          <w:sz w:val="32"/>
          <w:szCs w:val="32"/>
          <w:lang w:val="en-US" w:eastAsia="zh-CN"/>
        </w:rPr>
      </w:pPr>
      <w:r>
        <w:rPr>
          <w:rFonts w:hint="eastAsia" w:ascii="Times New Roman Regular" w:hAnsi="Times New Roman Regular" w:eastAsia="黑体" w:cs="Times New Roman Regular"/>
          <w:color w:val="auto"/>
          <w:sz w:val="32"/>
          <w:szCs w:val="32"/>
          <w:lang w:val="en-US" w:eastAsia="zh-CN"/>
        </w:rPr>
        <w:t>项目建设内容</w:t>
      </w:r>
    </w:p>
    <w:p w14:paraId="68268956">
      <w:pPr>
        <w:widowControl/>
        <w:spacing w:afterLines="0" w:line="594" w:lineRule="exact"/>
        <w:ind w:firstLine="640" w:firstLineChars="200"/>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项目建设采用“数据底座+核心应用+场景延伸”的架构逻辑，以大数据、人工智能等技术为统一技术底座，覆盖1项必选核心任务，同时支持从6项可选任务中至少选取2项开展差异化建设，所有建设任务最终以统一信息化平台为载体，实现集成落地与协同运转。</w:t>
      </w:r>
    </w:p>
    <w:p w14:paraId="12229AB0">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eastAsia" w:ascii="楷体_GB2312" w:hAnsi="楷体_GB2312" w:eastAsia="楷体_GB2312" w:cs="楷体_GB2312"/>
          <w:b/>
          <w:bCs w:val="0"/>
          <w:color w:val="auto"/>
          <w:kern w:val="0"/>
          <w:sz w:val="32"/>
          <w:szCs w:val="32"/>
          <w:highlight w:val="none"/>
          <w:shd w:val="clear" w:color="auto" w:fill="FFFFFF"/>
          <w:lang w:val="en-US" w:eastAsia="zh-CN" w:bidi="ar"/>
        </w:rPr>
      </w:pPr>
      <w:r>
        <w:rPr>
          <w:rFonts w:hint="eastAsia" w:ascii="楷体_GB2312" w:hAnsi="楷体_GB2312" w:eastAsia="楷体_GB2312" w:cs="楷体_GB2312"/>
          <w:b/>
          <w:bCs w:val="0"/>
          <w:color w:val="auto"/>
          <w:kern w:val="0"/>
          <w:sz w:val="32"/>
          <w:szCs w:val="32"/>
          <w:highlight w:val="none"/>
          <w:shd w:val="clear" w:color="auto" w:fill="FFFFFF"/>
          <w:lang w:val="en-US" w:eastAsia="zh-CN" w:bidi="ar"/>
        </w:rPr>
        <w:t>（一）必选任务：专业动态调整创新应用</w:t>
      </w:r>
    </w:p>
    <w:p w14:paraId="5D252261">
      <w:pPr>
        <w:widowControl/>
        <w:spacing w:afterLines="0" w:line="594" w:lineRule="exact"/>
        <w:ind w:firstLine="640" w:firstLineChars="200"/>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构建“产业结构图谱—岗位需求图谱—课程能力图谱”，搭建专业动态调整智能决策平台，实现专业建设全生命周期的数智化决策支撑</w:t>
      </w:r>
    </w:p>
    <w:p w14:paraId="02F55969">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1.产业需求智能识别。</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对接区域产业集群动态数据、行业龙头企业技术迭代信息，自动捕捉产业新岗位、新技能的出现趋势，实时更新产业核心技术与岗位能力要求标签库，形成动态更新的产业需求特征池。</w:t>
      </w:r>
    </w:p>
    <w:p w14:paraId="0EA8049F">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2.专业设置预警机制。</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建立专业办学质量、产业需求匹配度双维度评价体系，设置“红黄牌”分级预警规则，对连续三年匹配度低于阈值的专业自动触发黄牌预警，对连续预警且无改进措施的专业触发红牌停招提示。</w:t>
      </w:r>
    </w:p>
    <w:p w14:paraId="536AF4B2">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3.课程体系智能优化。</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自动比对现有课程体系与最新岗位技能要求的差异点，生成课程调整优化清单，支撑专业人才培养方案、课程标准等教学文件的自动化迭代更新，提升人才培养标准研制的前瞻性与实效性，推动产业需求与教育供给的无缝衔接。</w:t>
      </w:r>
    </w:p>
    <w:p w14:paraId="4DDE1583">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pP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（二）可选任务1：</w:t>
      </w:r>
      <w:r>
        <w:rPr>
          <w:rFonts w:hint="eastAsia" w:ascii="Times New Roman" w:hAnsi="Times New Roman" w:eastAsia="楷体_GB2312" w:cs="Times New Roman"/>
          <w:b/>
          <w:bCs w:val="0"/>
          <w:color w:val="auto"/>
          <w:kern w:val="0"/>
          <w:sz w:val="32"/>
          <w:szCs w:val="32"/>
          <w:highlight w:val="none"/>
          <w:shd w:val="clear" w:color="auto" w:fill="FFFFFF"/>
          <w:lang w:val="en-US" w:eastAsia="zh-CN" w:bidi="ar"/>
        </w:rPr>
        <w:t>岗位能力图谱</w:t>
      </w: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创新应用</w:t>
      </w:r>
    </w:p>
    <w:p w14:paraId="5AF9EC37">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依托重点领域产业人才岗位能力标准编制框架、技术要求，开展多领域、分教育层次类型的岗位能力图谱与人才培养方案参考指南编制，构建“产业人才标准—院校人才培养”落地实践路径。</w:t>
      </w:r>
    </w:p>
    <w:p w14:paraId="72C8318E">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1.编制岗位能力图谱。</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系统梳理对应产业的核心岗位方向与岗位职责，按照理论知识、技术技能、工程实践三个维度，构建分层级、标准化的岗位能力图谱，明确职业成长路径以及各岗位的核心能力要求。</w:t>
      </w:r>
    </w:p>
    <w:p w14:paraId="5A65721A">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2.编制人才培养参考指南。</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基于岗位能力图谱，匹配对应教育层次的人才培养方案，涵盖培养目标建议、课程体系设计等核心模块，为专业建设与人才培养改革提供可落地的依据。</w:t>
      </w:r>
    </w:p>
    <w:p w14:paraId="61B71000">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pP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（三）可选任务2：课程教学资源创新应用</w:t>
      </w:r>
    </w:p>
    <w:p w14:paraId="05788C76">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融合生成式人工智能、知识图谱与多模态交互技术，建设智能课程资源生产平台，构建“教学目标—课程设计—资源生成”全流程智能教学资源生产体系。</w:t>
      </w:r>
    </w:p>
    <w:p w14:paraId="5F61383A">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1.“四新”要求自动分解。</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实时对接产业升级动态数据库，自动拆解新技术、新工艺、新方法、新标准的核心要素，将产业需求要素转化为可融入教学的知识、技能和素养。</w:t>
      </w:r>
    </w:p>
    <w:p w14:paraId="7A85EAEB">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2.课程能力图谱智能绘制。</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以岗位要求为锚点，</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依托知识图谱技术</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拆解课程的</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分层能力</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培养层级，形成覆盖“知识集—技能集—素养集”</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三维度的结构化</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课程能力图谱。</w:t>
      </w:r>
    </w:p>
    <w:p w14:paraId="5A4B0B9A">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3.多元教学资源智能生成。</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基于能力图谱自动生成教案、教学课件、微课视频、数字教材、个性化习题等多元化优质教学资源，支持根据不同学情智能适配调整资源呈现形式。</w:t>
      </w:r>
    </w:p>
    <w:p w14:paraId="581A4BD0">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pP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（四）可选任务3：教师智能教学创新应用</w:t>
      </w:r>
    </w:p>
    <w:p w14:paraId="0FDB7E1D">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lang w:val="en-US" w:eastAsia="zh-CN"/>
        </w:rPr>
      </w:pP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聚焦教师教学能力成长与教学模式创新，</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建立能力清单与教学档案袋，</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搭建以多角色数字人导师为核心交互载体的教师智能教学空间，</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系统性</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赋能教师教学创新能力</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进阶</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w:t>
      </w:r>
    </w:p>
    <w:p w14:paraId="7E541B45">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1.教师能力数字画像。</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整合教师的教研成果、授课数据、实践经历等信息，构建动态更新的教师能力清单与教学档案袋，可视化呈现教师能力成长轨迹与能力短板。</w:t>
      </w:r>
    </w:p>
    <w:p w14:paraId="3E638BA2">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2.教学活动智能体构建。</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搭建“角色塑造—模型接入—流程定制”的教学活动智能体开发框架，支持教师根据不同教学场景快速定制专属教学智能工具。</w:t>
      </w:r>
    </w:p>
    <w:p w14:paraId="016E60DD">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3.多类型数字人导师配置。</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根据不同教学活动场景，量身定制伴学导师、答疑导师、实训导师、职业导师、企业导师等不同定位的数字人导师，实现教学场景的全覆盖。</w:t>
      </w:r>
    </w:p>
    <w:p w14:paraId="46C0FB0D">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4.交互式教学活动生成。</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支持接入各类通用大模型与行业垂直模型，快速生成适配不同场景的交互式教学活动，有效创新教学互动模式。</w:t>
      </w:r>
    </w:p>
    <w:p w14:paraId="709F0D74">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default" w:ascii="Times New Roman" w:hAnsi="Times New Roman" w:eastAsia="楷体_GB2312" w:cs="Times New Roman"/>
          <w:b w:val="0"/>
          <w:bCs/>
          <w:color w:val="auto"/>
          <w:kern w:val="0"/>
          <w:sz w:val="32"/>
          <w:szCs w:val="32"/>
          <w:highlight w:val="none"/>
          <w:shd w:val="clear" w:color="auto" w:fill="FFFFFF"/>
          <w:lang w:val="en-US" w:eastAsia="zh-CN" w:bidi="ar"/>
        </w:rPr>
      </w:pP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（五）可选任务4：学生技能训练创新应用</w:t>
      </w:r>
    </w:p>
    <w:p w14:paraId="0E65F10A">
      <w:pPr>
        <w:widowControl/>
        <w:spacing w:afterLines="0" w:line="594" w:lineRule="exact"/>
        <w:ind w:firstLine="640" w:firstLineChars="200"/>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以多模态大模型为核心技术底座，搭建专属技能训练智能体，深度融合高仿真虚拟实训场景与个性化学习路径，系统性提升学生岗位适配能力与技能培养效率。</w:t>
      </w:r>
    </w:p>
    <w:p w14:paraId="113726F7">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1.真实任务转化机制。</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对接行业企业的真实工作项目与典型工作任务，将非结构化的生产场景转化为标准化训练数据集，形成覆盖全岗位工序的训练资源库。</w:t>
      </w:r>
    </w:p>
    <w:p w14:paraId="4C73CD3F">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2.虚拟实训环境模拟。</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基于训练数据集构建高仿真岗位任务实训环境，形成“任务智能生成—实操过程训练—多维综合评价”的全链条闭环，还原真实生产场景中的操作流程、作业规范与考核标准。</w:t>
      </w:r>
    </w:p>
    <w:p w14:paraId="24EDD05B">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3.沉浸式训练体验。</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支持学生通过自然语言</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下达操作指令、查询任务要点、获取实时反馈，</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完成全流程训练操作，</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营造沉浸式训练体验，使学生在接近真实的岗位环境中完成从理论学习到实践操作的平滑过渡。</w:t>
      </w:r>
    </w:p>
    <w:p w14:paraId="2ED66224">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pP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（六）可选任务5：产教供需对接创新应用</w:t>
      </w:r>
    </w:p>
    <w:p w14:paraId="4A6F6CD6">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基于人工智能技术构建产教供需对接智能平台，形成“产业端需求智能感知—教育端人才精准供给”的长效匹配机制，打通教育链、人才链与产业链、创新链的有机衔接通道。</w:t>
      </w:r>
    </w:p>
    <w:p w14:paraId="3B72ABAD">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lang w:val="en-US" w:eastAsia="zh-CN"/>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1.供需动态实时感知。</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实时采集产业端在人才需求数量、岗位结构、能力规格等维度的动态变化数据，同步汇聚院校端在专业布局、课程设置、人才培养等方面的供给现状数据，形成动态更新的产教供需大数据库。</w:t>
      </w:r>
    </w:p>
    <w:p w14:paraId="6078B164">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2.多元供需信息汇聚。</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多维度整合岗位招聘、技能培训、技术研发、师资共享、人才共育等多类产教供需场景信息，构建</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标签统一、智能检索</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的产教供需信息资源池。</w:t>
      </w:r>
    </w:p>
    <w:p w14:paraId="4C99EF9E">
      <w:pPr>
        <w:keepNext w:val="0"/>
        <w:keepLines w:val="0"/>
        <w:pageBreakBefore w:val="0"/>
        <w:widowControl/>
        <w:numPr>
          <w:ilvl w:val="0"/>
          <w:numId w:val="0"/>
        </w:numPr>
        <w:kinsoku/>
        <w:wordWrap/>
        <w:overflowPunct/>
        <w:topLinePunct w:val="0"/>
        <w:autoSpaceDE/>
        <w:autoSpaceDN/>
        <w:bidi w:val="0"/>
        <w:adjustRightInd/>
        <w:spacing w:line="594" w:lineRule="exact"/>
        <w:ind w:firstLine="643" w:firstLineChars="200"/>
        <w:textAlignment w:val="auto"/>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bCs w:val="0"/>
          <w:color w:val="auto"/>
          <w:kern w:val="0"/>
          <w:sz w:val="32"/>
          <w:szCs w:val="32"/>
          <w:highlight w:val="none"/>
          <w:shd w:val="clear" w:color="auto" w:fill="FFFFFF"/>
          <w:lang w:val="en-US" w:eastAsia="zh-CN" w:bidi="ar"/>
        </w:rPr>
        <w:t>3.智能供需匹配算法。</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构建产教供需匹配模型，实现</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产业</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端需求与院校端供给的双向适配对接，可根据供需双方的核心特征自动推送适配的合作项目。</w:t>
      </w:r>
    </w:p>
    <w:p w14:paraId="7537E1BF">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pPr>
      <w:r>
        <w:rPr>
          <w:rFonts w:hint="default" w:ascii="Times New Roman" w:hAnsi="Times New Roman" w:eastAsia="楷体_GB2312" w:cs="Times New Roman"/>
          <w:b/>
          <w:bCs w:val="0"/>
          <w:color w:val="auto"/>
          <w:kern w:val="0"/>
          <w:sz w:val="32"/>
          <w:szCs w:val="32"/>
          <w:highlight w:val="none"/>
          <w:shd w:val="clear" w:color="auto" w:fill="FFFFFF"/>
          <w:lang w:val="en-US" w:eastAsia="zh-CN" w:bidi="ar"/>
        </w:rPr>
        <w:t>（七）可选任务6：数据中台与数据治理体系建设</w:t>
      </w:r>
    </w:p>
    <w:p w14:paraId="7DA3DCD5">
      <w:pPr>
        <w:keepNext w:val="0"/>
        <w:keepLines w:val="0"/>
        <w:widowControl/>
        <w:numPr>
          <w:ilvl w:val="0"/>
          <w:numId w:val="0"/>
        </w:numPr>
        <w:suppressLineNumbers w:val="0"/>
        <w:spacing w:line="594" w:lineRule="exact"/>
        <w:ind w:firstLine="643" w:firstLineChars="200"/>
        <w:rPr>
          <w:rFonts w:hint="eastAsia" w:ascii="Times New Roman Regular" w:hAnsi="Times New Roman Regular" w:eastAsia="仿宋_GB2312" w:cs="Times New Roman Regular"/>
          <w:b/>
          <w:color w:val="auto"/>
          <w:kern w:val="0"/>
          <w:sz w:val="32"/>
          <w:szCs w:val="32"/>
          <w:highlight w:val="none"/>
          <w:shd w:val="clear" w:color="auto" w:fill="FFFFFF"/>
          <w:lang w:bidi="ar"/>
        </w:rPr>
      </w:pPr>
      <w:r>
        <w:rPr>
          <w:rStyle w:val="21"/>
          <w:rFonts w:hint="eastAsia" w:ascii="Times New Roman Regular" w:hAnsi="Times New Roman Regular" w:eastAsia="仿宋_GB2312" w:cs="Times New Roman Regular"/>
          <w:b/>
          <w:bCs w:val="0"/>
          <w:color w:val="auto"/>
          <w:kern w:val="0"/>
          <w:sz w:val="32"/>
          <w:szCs w:val="32"/>
          <w:highlight w:val="none"/>
          <w:shd w:val="clear" w:color="auto" w:fill="FFFFFF"/>
          <w:lang w:bidi="ar"/>
        </w:rPr>
        <w:t>1.多源数据汇聚与标准化。</w:t>
      </w:r>
      <w:r>
        <w:rPr>
          <w:rFonts w:hint="eastAsia" w:ascii="Times New Roman Regular" w:hAnsi="Times New Roman Regular" w:eastAsia="仿宋_GB2312" w:cs="Times New Roman Regular"/>
          <w:b w:val="0"/>
          <w:bCs/>
          <w:color w:val="auto"/>
          <w:kern w:val="0"/>
          <w:sz w:val="32"/>
          <w:szCs w:val="32"/>
          <w:highlight w:val="none"/>
          <w:shd w:val="clear" w:color="auto" w:fill="FFFFFF"/>
          <w:lang w:bidi="ar"/>
        </w:rPr>
        <w:t>打通教务、学工、招生就业、人事、校企合作等校内业务系统数据孤岛，同步对接产业端外部数据源，建立覆盖专业、课程、教师、学生、企业合作等核心实体的数据标准体系，完成字段映射、格式清洗与语义对齐，形成统一的校级数据湖与数据资产目录。</w:t>
      </w:r>
    </w:p>
    <w:p w14:paraId="79A80D6E">
      <w:pPr>
        <w:keepNext w:val="0"/>
        <w:keepLines w:val="0"/>
        <w:widowControl/>
        <w:numPr>
          <w:ilvl w:val="0"/>
          <w:numId w:val="0"/>
        </w:numPr>
        <w:suppressLineNumbers w:val="0"/>
        <w:spacing w:line="594" w:lineRule="exact"/>
        <w:ind w:firstLine="643" w:firstLineChars="200"/>
        <w:rPr>
          <w:rFonts w:hint="eastAsia" w:ascii="Times New Roman Regular" w:hAnsi="Times New Roman Regular" w:eastAsia="仿宋_GB2312" w:cs="Times New Roman Regular"/>
          <w:b/>
          <w:color w:val="auto"/>
          <w:kern w:val="0"/>
          <w:sz w:val="32"/>
          <w:szCs w:val="32"/>
          <w:highlight w:val="none"/>
          <w:shd w:val="clear" w:color="auto" w:fill="FFFFFF"/>
          <w:lang w:bidi="ar"/>
        </w:rPr>
      </w:pPr>
      <w:r>
        <w:rPr>
          <w:rStyle w:val="21"/>
          <w:rFonts w:hint="eastAsia" w:ascii="Times New Roman Regular" w:hAnsi="Times New Roman Regular" w:eastAsia="仿宋_GB2312" w:cs="Times New Roman Regular"/>
          <w:b/>
          <w:bCs/>
          <w:color w:val="auto"/>
          <w:kern w:val="0"/>
          <w:sz w:val="32"/>
          <w:szCs w:val="32"/>
          <w:highlight w:val="none"/>
          <w:shd w:val="clear" w:color="auto" w:fill="FFFFFF"/>
          <w:lang w:bidi="ar"/>
        </w:rPr>
        <w:t>2.数据质量管理与安全保障。</w:t>
      </w:r>
      <w:r>
        <w:rPr>
          <w:rFonts w:hint="eastAsia" w:ascii="Times New Roman Regular" w:hAnsi="Times New Roman Regular" w:eastAsia="仿宋_GB2312" w:cs="Times New Roman Regular"/>
          <w:b w:val="0"/>
          <w:bCs/>
          <w:color w:val="auto"/>
          <w:kern w:val="0"/>
          <w:sz w:val="32"/>
          <w:szCs w:val="32"/>
          <w:highlight w:val="none"/>
          <w:shd w:val="clear" w:color="auto" w:fill="FFFFFF"/>
          <w:lang w:bidi="ar"/>
        </w:rPr>
        <w:t>建立数据质量监控规则库，对关键数据字段进行完整性、准确性、一致性的自动校验，定期输出数据质量报告。建立分级分类的数据权限管理体系，落实数据全生命周期安全管控，符合国家网络安全等级保护2.0三级要求。</w:t>
      </w:r>
    </w:p>
    <w:p w14:paraId="640CFA94">
      <w:pPr>
        <w:keepNext w:val="0"/>
        <w:keepLines w:val="0"/>
        <w:widowControl/>
        <w:numPr>
          <w:ilvl w:val="0"/>
          <w:numId w:val="0"/>
        </w:numPr>
        <w:suppressLineNumbers w:val="0"/>
        <w:spacing w:line="594" w:lineRule="exact"/>
        <w:ind w:firstLine="643" w:firstLineChars="200"/>
        <w:rPr>
          <w:rFonts w:hint="eastAsia" w:ascii="Times New Roman Regular" w:hAnsi="Times New Roman Regular" w:eastAsia="仿宋_GB2312" w:cs="Times New Roman Regular"/>
          <w:b w:val="0"/>
          <w:bCs/>
          <w:color w:val="auto"/>
          <w:kern w:val="0"/>
          <w:sz w:val="32"/>
          <w:szCs w:val="32"/>
          <w:highlight w:val="none"/>
          <w:shd w:val="clear" w:color="auto" w:fill="FFFFFF"/>
          <w:lang w:bidi="ar"/>
        </w:rPr>
      </w:pPr>
      <w:r>
        <w:rPr>
          <w:rStyle w:val="21"/>
          <w:rFonts w:hint="eastAsia" w:ascii="Times New Roman Regular" w:hAnsi="Times New Roman Regular" w:eastAsia="仿宋_GB2312" w:cs="Times New Roman Regular"/>
          <w:b/>
          <w:bCs/>
          <w:color w:val="auto"/>
          <w:kern w:val="0"/>
          <w:sz w:val="32"/>
          <w:szCs w:val="32"/>
          <w:highlight w:val="none"/>
          <w:shd w:val="clear" w:color="auto" w:fill="FFFFFF"/>
          <w:lang w:bidi="ar"/>
        </w:rPr>
        <w:t>3.二级学院数据底座建设。</w:t>
      </w:r>
      <w:r>
        <w:rPr>
          <w:rFonts w:hint="eastAsia" w:ascii="Times New Roman Regular" w:hAnsi="Times New Roman Regular" w:eastAsia="仿宋_GB2312" w:cs="Times New Roman Regular"/>
          <w:b w:val="0"/>
          <w:bCs/>
          <w:color w:val="auto"/>
          <w:kern w:val="0"/>
          <w:sz w:val="32"/>
          <w:szCs w:val="32"/>
          <w:highlight w:val="none"/>
          <w:shd w:val="clear" w:color="auto" w:fill="FFFFFF"/>
          <w:lang w:bidi="ar"/>
        </w:rPr>
        <w:t>在校级数据中台基础上，补充完善各业务系统未能采集的院级过程性工作数据，涵盖实训管理、毕业设计、校企合作课程、技能竞赛等特色场景，形成院级数据底座，支撑学院层面的数据治理与特色应用。</w:t>
      </w:r>
    </w:p>
    <w:p w14:paraId="0D1B0E14">
      <w:pPr>
        <w:keepNext w:val="0"/>
        <w:keepLines w:val="0"/>
        <w:widowControl/>
        <w:numPr>
          <w:ilvl w:val="0"/>
          <w:numId w:val="0"/>
        </w:numPr>
        <w:suppressLineNumbers w:val="0"/>
        <w:spacing w:line="594" w:lineRule="exact"/>
        <w:ind w:firstLine="643" w:firstLineChars="200"/>
        <w:rPr>
          <w:rFonts w:hint="eastAsia"/>
          <w:lang w:val="en-US" w:eastAsia="zh-CN"/>
        </w:rPr>
      </w:pPr>
      <w:r>
        <w:rPr>
          <w:rStyle w:val="21"/>
          <w:rFonts w:hint="eastAsia" w:ascii="Times New Roman Regular" w:hAnsi="Times New Roman Regular" w:eastAsia="仿宋_GB2312" w:cs="Times New Roman Regular"/>
          <w:b/>
          <w:bCs/>
          <w:color w:val="auto"/>
          <w:kern w:val="0"/>
          <w:sz w:val="32"/>
          <w:szCs w:val="32"/>
          <w:highlight w:val="none"/>
          <w:shd w:val="clear" w:color="auto" w:fill="FFFFFF"/>
          <w:lang w:bidi="ar"/>
        </w:rPr>
        <w:t>4.数据服务能力输出。</w:t>
      </w:r>
      <w:r>
        <w:rPr>
          <w:rFonts w:hint="eastAsia" w:ascii="Times New Roman Regular" w:hAnsi="Times New Roman Regular" w:eastAsia="仿宋_GB2312" w:cs="Times New Roman Regular"/>
          <w:b w:val="0"/>
          <w:bCs/>
          <w:color w:val="auto"/>
          <w:kern w:val="0"/>
          <w:sz w:val="32"/>
          <w:szCs w:val="32"/>
          <w:highlight w:val="none"/>
          <w:shd w:val="clear" w:color="auto" w:fill="FFFFFF"/>
          <w:lang w:bidi="ar"/>
        </w:rPr>
        <w:t>提供标准数据API接口与数据驾驶舱，为专业动态调整、课程资源生成、教师教学、学生实训等场景提供数据服务，实时展示专业建设质量、人才培养成效、产教融合进展等关键指标，辅助科学决策。</w:t>
      </w:r>
    </w:p>
    <w:p w14:paraId="6112C572">
      <w:pPr>
        <w:keepNext w:val="0"/>
        <w:keepLines w:val="0"/>
        <w:pageBreakBefore w:val="0"/>
        <w:numPr>
          <w:ilvl w:val="0"/>
          <w:numId w:val="0"/>
        </w:numPr>
        <w:kinsoku/>
        <w:wordWrap/>
        <w:overflowPunct/>
        <w:topLinePunct w:val="0"/>
        <w:autoSpaceDE/>
        <w:autoSpaceDN/>
        <w:bidi w:val="0"/>
        <w:adjustRightInd/>
        <w:spacing w:line="594" w:lineRule="exact"/>
        <w:ind w:firstLine="640" w:firstLineChars="200"/>
        <w:textAlignment w:val="auto"/>
        <w:outlineLvl w:val="1"/>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黑体" w:cs="Times New Roman Regular"/>
          <w:color w:val="auto"/>
          <w:sz w:val="32"/>
          <w:szCs w:val="32"/>
          <w:highlight w:val="none"/>
          <w:lang w:val="en-US" w:eastAsia="zh-CN"/>
        </w:rPr>
        <w:t>二、平台技术规范</w:t>
      </w:r>
    </w:p>
    <w:p w14:paraId="50B6CA1A">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为保障平台稳定、安全、可持续运行，需建立覆盖技术架构、数据标准、安全防护、迭代更新的全流程保障体系，确保平台各项功能落地见效。</w:t>
      </w:r>
    </w:p>
    <w:p w14:paraId="758A6A97">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eastAsia" w:ascii="楷体_GB2312" w:hAnsi="楷体_GB2312" w:eastAsia="楷体_GB2312" w:cs="楷体_GB2312"/>
          <w:b/>
          <w:bCs w:val="0"/>
          <w:color w:val="auto"/>
          <w:kern w:val="0"/>
          <w:sz w:val="32"/>
          <w:szCs w:val="32"/>
          <w:highlight w:val="none"/>
          <w:shd w:val="clear" w:color="auto" w:fill="FFFFFF"/>
          <w:lang w:val="en-US" w:eastAsia="zh-CN" w:bidi="ar"/>
        </w:rPr>
      </w:pPr>
      <w:r>
        <w:rPr>
          <w:rFonts w:hint="eastAsia" w:ascii="楷体_GB2312" w:hAnsi="楷体_GB2312" w:eastAsia="楷体_GB2312" w:cs="楷体_GB2312"/>
          <w:b/>
          <w:bCs w:val="0"/>
          <w:color w:val="auto"/>
          <w:kern w:val="0"/>
          <w:sz w:val="32"/>
          <w:szCs w:val="32"/>
          <w:highlight w:val="none"/>
          <w:shd w:val="clear" w:color="auto" w:fill="FFFFFF"/>
          <w:lang w:val="en-US" w:eastAsia="zh-CN" w:bidi="ar"/>
        </w:rPr>
        <w:t>（一）技术兼容性适配要求</w:t>
      </w:r>
    </w:p>
    <w:p w14:paraId="57BCE00F">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平台需采用云原生分布式架构，全面适配主流国产操作系统、数据库与中间件部署环境，预置标准化开放API接口，具备标准API对接能力，实现跨平台数据互通与能力协同。</w:t>
      </w:r>
    </w:p>
    <w:p w14:paraId="3AD9B2A5">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eastAsia" w:ascii="楷体_GB2312" w:hAnsi="楷体_GB2312" w:eastAsia="楷体_GB2312" w:cs="楷体_GB2312"/>
          <w:b/>
          <w:bCs w:val="0"/>
          <w:color w:val="auto"/>
          <w:kern w:val="0"/>
          <w:sz w:val="32"/>
          <w:szCs w:val="32"/>
          <w:highlight w:val="none"/>
          <w:shd w:val="clear" w:color="auto" w:fill="FFFFFF"/>
          <w:lang w:val="en-US" w:eastAsia="zh-CN" w:bidi="ar"/>
        </w:rPr>
      </w:pPr>
      <w:r>
        <w:rPr>
          <w:rFonts w:hint="eastAsia" w:ascii="楷体_GB2312" w:hAnsi="楷体_GB2312" w:eastAsia="楷体_GB2312" w:cs="楷体_GB2312"/>
          <w:b/>
          <w:bCs w:val="0"/>
          <w:color w:val="auto"/>
          <w:kern w:val="0"/>
          <w:sz w:val="32"/>
          <w:szCs w:val="32"/>
          <w:highlight w:val="none"/>
          <w:shd w:val="clear" w:color="auto" w:fill="FFFFFF"/>
          <w:lang w:val="en-US" w:eastAsia="zh-CN" w:bidi="ar"/>
        </w:rPr>
        <w:t>（二）数据标准化治理规范</w:t>
      </w:r>
    </w:p>
    <w:p w14:paraId="5B119D7B">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lang w:val="en-US" w:eastAsia="zh-CN"/>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所有接入平台的产业数据、教学数据、用户数据需统一遵循</w:t>
      </w:r>
      <w:r>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国家教育行业统一数据元标准</w:t>
      </w: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，完成字段映射、格式清洗与语义对齐，保障跨主体、跨场景的数据可共享、可追溯。</w:t>
      </w:r>
    </w:p>
    <w:p w14:paraId="5C90DB67">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eastAsia" w:ascii="楷体_GB2312" w:hAnsi="楷体_GB2312" w:eastAsia="楷体_GB2312" w:cs="楷体_GB2312"/>
          <w:b/>
          <w:bCs w:val="0"/>
          <w:color w:val="auto"/>
          <w:kern w:val="0"/>
          <w:sz w:val="32"/>
          <w:szCs w:val="32"/>
          <w:highlight w:val="none"/>
          <w:shd w:val="clear" w:color="auto" w:fill="FFFFFF"/>
          <w:lang w:val="en-US" w:eastAsia="zh-CN" w:bidi="ar"/>
        </w:rPr>
      </w:pPr>
      <w:r>
        <w:rPr>
          <w:rFonts w:hint="eastAsia" w:ascii="楷体_GB2312" w:hAnsi="楷体_GB2312" w:eastAsia="楷体_GB2312" w:cs="楷体_GB2312"/>
          <w:b/>
          <w:bCs w:val="0"/>
          <w:color w:val="auto"/>
          <w:kern w:val="0"/>
          <w:sz w:val="32"/>
          <w:szCs w:val="32"/>
          <w:highlight w:val="none"/>
          <w:shd w:val="clear" w:color="auto" w:fill="FFFFFF"/>
          <w:lang w:val="en-US" w:eastAsia="zh-CN" w:bidi="ar"/>
        </w:rPr>
        <w:t>（三）全链路数据安全防护</w:t>
      </w:r>
    </w:p>
    <w:p w14:paraId="3E707A8A">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eastAsia"/>
          <w:lang w:val="en-US" w:eastAsia="zh-CN"/>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建立分级分类的数据权限管理体系，对师生个人信息、企业核心需求数据进行加密存储与传输，落实数据全生命周期安全管控，符合国家网络安全等级保护2.0三级要求。</w:t>
      </w:r>
    </w:p>
    <w:p w14:paraId="5990F2EF">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3" w:firstLineChars="200"/>
        <w:textAlignment w:val="auto"/>
        <w:outlineLvl w:val="2"/>
        <w:rPr>
          <w:rFonts w:hint="eastAsia" w:ascii="楷体_GB2312" w:hAnsi="楷体_GB2312" w:eastAsia="楷体_GB2312" w:cs="楷体_GB2312"/>
          <w:b/>
          <w:bCs w:val="0"/>
          <w:color w:val="auto"/>
          <w:kern w:val="0"/>
          <w:sz w:val="32"/>
          <w:szCs w:val="32"/>
          <w:highlight w:val="none"/>
          <w:shd w:val="clear" w:color="auto" w:fill="FFFFFF"/>
          <w:lang w:val="en-US" w:eastAsia="zh-CN" w:bidi="ar"/>
        </w:rPr>
      </w:pPr>
      <w:r>
        <w:rPr>
          <w:rFonts w:hint="eastAsia" w:ascii="楷体_GB2312" w:hAnsi="楷体_GB2312" w:eastAsia="楷体_GB2312" w:cs="楷体_GB2312"/>
          <w:b/>
          <w:bCs w:val="0"/>
          <w:color w:val="auto"/>
          <w:kern w:val="0"/>
          <w:sz w:val="32"/>
          <w:szCs w:val="32"/>
          <w:highlight w:val="none"/>
          <w:shd w:val="clear" w:color="auto" w:fill="FFFFFF"/>
          <w:lang w:val="en-US" w:eastAsia="zh-CN" w:bidi="ar"/>
        </w:rPr>
        <w:t>（四）长效动态迭代更新机制</w:t>
      </w:r>
    </w:p>
    <w:p w14:paraId="18CDE092">
      <w:pPr>
        <w:keepNext w:val="0"/>
        <w:keepLines w:val="0"/>
        <w:pageBreakBefore w:val="0"/>
        <w:widowControl/>
        <w:numPr>
          <w:ilvl w:val="0"/>
          <w:numId w:val="0"/>
        </w:numPr>
        <w:kinsoku/>
        <w:wordWrap/>
        <w:overflowPunct/>
        <w:topLinePunct w:val="0"/>
        <w:autoSpaceDE/>
        <w:autoSpaceDN/>
        <w:bidi w:val="0"/>
        <w:adjustRightInd/>
        <w:spacing w:line="594" w:lineRule="exact"/>
        <w:ind w:firstLine="640" w:firstLineChars="200"/>
        <w:textAlignment w:val="auto"/>
        <w:rPr>
          <w:rFonts w:hint="default" w:ascii="Times New Roman Regular" w:hAnsi="Times New Roman Regular" w:eastAsia="仿宋_GB2312" w:cs="Times New Roman Regular"/>
          <w:b w:val="0"/>
          <w:bCs/>
          <w:color w:val="auto"/>
          <w:kern w:val="0"/>
          <w:sz w:val="32"/>
          <w:szCs w:val="32"/>
          <w:highlight w:val="none"/>
          <w:shd w:val="clear" w:color="auto" w:fill="FFFFFF"/>
          <w:lang w:val="en-US" w:eastAsia="zh-CN" w:bidi="ar"/>
        </w:rPr>
      </w:pPr>
      <w:r>
        <w:rPr>
          <w:rFonts w:hint="eastAsia" w:ascii="Times New Roman Regular" w:hAnsi="Times New Roman Regular" w:eastAsia="仿宋_GB2312" w:cs="Times New Roman Regular"/>
          <w:b w:val="0"/>
          <w:bCs/>
          <w:color w:val="auto"/>
          <w:kern w:val="0"/>
          <w:sz w:val="32"/>
          <w:szCs w:val="32"/>
          <w:highlight w:val="none"/>
          <w:shd w:val="clear" w:color="auto" w:fill="FFFFFF"/>
          <w:lang w:val="en-US" w:eastAsia="zh-CN" w:bidi="ar"/>
        </w:rPr>
        <w:t>建立平台功能常态化迭代机制，根据核心技术迭代、教学场景变化持续优化算法模型与资源库，保障平台功能始终贴合人才培养实际需求，持续释放数智化赋能价值。</w:t>
      </w: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font>
  <w:font w:name="宋体">
    <w:panose1 w:val="02030304000000000000"/>
    <w:charset w:val="7A"/>
    <w:family w:val="auto"/>
    <w:pitch w:val="default"/>
    <w:sig w:usb0="E7FFAEFF" w:usb1="F9FFFFFF" w:usb2="000FFDFF" w:usb3="00000000" w:csb0="603F01FF" w:csb1="FFFF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53128">
    <w:pPr>
      <w:pStyle w:val="13"/>
      <w:tabs>
        <w:tab w:val="center" w:pos="4153"/>
        <w:tab w:val="right" w:pos="8306"/>
        <w:tab w:val="right" w:pos="8426"/>
        <w:tab w:val="clear" w:pos="4510"/>
        <w:tab w:val="clear" w:pos="9020"/>
      </w:tabs>
      <w:wordWrap w:val="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97ED8">
                          <w:pPr>
                            <w:pStyle w:val="13"/>
                            <w:tabs>
                              <w:tab w:val="center" w:pos="4153"/>
                              <w:tab w:val="right" w:pos="8306"/>
                              <w:tab w:val="clear" w:pos="4510"/>
                              <w:tab w:val="clear" w:pos="9020"/>
                            </w:tabs>
                            <w:wordWrap/>
                            <w:jc w:val="both"/>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8697ED8">
                    <w:pPr>
                      <w:pStyle w:val="13"/>
                      <w:tabs>
                        <w:tab w:val="center" w:pos="4153"/>
                        <w:tab w:val="right" w:pos="8306"/>
                        <w:tab w:val="clear" w:pos="4510"/>
                        <w:tab w:val="clear" w:pos="9020"/>
                      </w:tabs>
                      <w:wordWrap/>
                      <w:jc w:val="both"/>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r>
      <w:rPr>
        <w:rFonts w:hint="eastAsia"/>
        <w:lang w:eastAsia="zh-CN"/>
      </w:rPr>
      <w:tab/>
    </w:r>
    <w:r>
      <w:rPr>
        <w:rFonts w:hint="eastAsia"/>
        <w:lang w:eastAsia="zh-CN"/>
      </w:rPr>
      <w:tab/>
    </w:r>
  </w:p>
  <w:p w14:paraId="31165D37">
    <w:pPr>
      <w:pStyle w:val="13"/>
      <w:tabs>
        <w:tab w:val="center" w:pos="4153"/>
        <w:tab w:val="right" w:pos="8306"/>
        <w:tab w:val="clear" w:pos="4510"/>
        <w:tab w:val="clear" w:pos="9020"/>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C9376"/>
    <w:multiLevelType w:val="singleLevel"/>
    <w:tmpl w:val="B71C93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175E6"/>
    <w:rsid w:val="005D4603"/>
    <w:rsid w:val="00DE4441"/>
    <w:rsid w:val="00F1191B"/>
    <w:rsid w:val="01080A12"/>
    <w:rsid w:val="01AA5B4A"/>
    <w:rsid w:val="022B4D6F"/>
    <w:rsid w:val="02666259"/>
    <w:rsid w:val="02F14FBC"/>
    <w:rsid w:val="031B0879"/>
    <w:rsid w:val="033C0E47"/>
    <w:rsid w:val="04365896"/>
    <w:rsid w:val="06524B0C"/>
    <w:rsid w:val="06AD4030"/>
    <w:rsid w:val="06B26015"/>
    <w:rsid w:val="06B74C51"/>
    <w:rsid w:val="0A3E36F7"/>
    <w:rsid w:val="0A4C66E6"/>
    <w:rsid w:val="0A821835"/>
    <w:rsid w:val="0A850353"/>
    <w:rsid w:val="0A927E67"/>
    <w:rsid w:val="0B4D150B"/>
    <w:rsid w:val="0C22507E"/>
    <w:rsid w:val="0C3703FE"/>
    <w:rsid w:val="0CAA7CE4"/>
    <w:rsid w:val="0CCC472A"/>
    <w:rsid w:val="0D240982"/>
    <w:rsid w:val="0D921D8F"/>
    <w:rsid w:val="11D907A4"/>
    <w:rsid w:val="12A02B49"/>
    <w:rsid w:val="12E40A37"/>
    <w:rsid w:val="146D70B2"/>
    <w:rsid w:val="147D06E3"/>
    <w:rsid w:val="15744737"/>
    <w:rsid w:val="157D1577"/>
    <w:rsid w:val="15A026A2"/>
    <w:rsid w:val="15CC605B"/>
    <w:rsid w:val="16F34217"/>
    <w:rsid w:val="17054EAE"/>
    <w:rsid w:val="18FF308F"/>
    <w:rsid w:val="192D6E10"/>
    <w:rsid w:val="19A90B8D"/>
    <w:rsid w:val="1A624E75"/>
    <w:rsid w:val="1B5575EE"/>
    <w:rsid w:val="1B7F4645"/>
    <w:rsid w:val="1B8D003A"/>
    <w:rsid w:val="1BB455C7"/>
    <w:rsid w:val="1C1959CE"/>
    <w:rsid w:val="1C4972F3"/>
    <w:rsid w:val="1E7948A6"/>
    <w:rsid w:val="1E7C2787"/>
    <w:rsid w:val="1EA062D6"/>
    <w:rsid w:val="1EDD6E46"/>
    <w:rsid w:val="1EFB1D03"/>
    <w:rsid w:val="1F1D3483"/>
    <w:rsid w:val="1F1E6C2F"/>
    <w:rsid w:val="1F262338"/>
    <w:rsid w:val="200563F1"/>
    <w:rsid w:val="20CF69FF"/>
    <w:rsid w:val="20F14F71"/>
    <w:rsid w:val="21281BDF"/>
    <w:rsid w:val="219F54CF"/>
    <w:rsid w:val="247A257E"/>
    <w:rsid w:val="249B7324"/>
    <w:rsid w:val="257268FD"/>
    <w:rsid w:val="25F520A4"/>
    <w:rsid w:val="26C839F5"/>
    <w:rsid w:val="27E674B6"/>
    <w:rsid w:val="282910EA"/>
    <w:rsid w:val="2833593F"/>
    <w:rsid w:val="29335B95"/>
    <w:rsid w:val="2B4A5600"/>
    <w:rsid w:val="2C6941AB"/>
    <w:rsid w:val="2C8113C9"/>
    <w:rsid w:val="2D141F1E"/>
    <w:rsid w:val="2F2E6B06"/>
    <w:rsid w:val="2F4B2025"/>
    <w:rsid w:val="333F852D"/>
    <w:rsid w:val="33423060"/>
    <w:rsid w:val="36696E65"/>
    <w:rsid w:val="36962041"/>
    <w:rsid w:val="37DC07C6"/>
    <w:rsid w:val="384855BD"/>
    <w:rsid w:val="38BB5D8F"/>
    <w:rsid w:val="39031541"/>
    <w:rsid w:val="39160452"/>
    <w:rsid w:val="395E6689"/>
    <w:rsid w:val="39696445"/>
    <w:rsid w:val="3A6B5D97"/>
    <w:rsid w:val="3AF13B21"/>
    <w:rsid w:val="3AF31810"/>
    <w:rsid w:val="3C634F62"/>
    <w:rsid w:val="3C805325"/>
    <w:rsid w:val="3C9D4983"/>
    <w:rsid w:val="3C9E1C4F"/>
    <w:rsid w:val="3D1FE2B1"/>
    <w:rsid w:val="3D893568"/>
    <w:rsid w:val="3D96643D"/>
    <w:rsid w:val="3DBDF9C8"/>
    <w:rsid w:val="3DC26331"/>
    <w:rsid w:val="3E167975"/>
    <w:rsid w:val="3E6326C6"/>
    <w:rsid w:val="3E9B4D17"/>
    <w:rsid w:val="3F44333F"/>
    <w:rsid w:val="3FBA1F80"/>
    <w:rsid w:val="3FCFB7ED"/>
    <w:rsid w:val="3FE71D66"/>
    <w:rsid w:val="407707ED"/>
    <w:rsid w:val="4105404B"/>
    <w:rsid w:val="412162DB"/>
    <w:rsid w:val="419B675D"/>
    <w:rsid w:val="42BF647C"/>
    <w:rsid w:val="442567B2"/>
    <w:rsid w:val="44890AEF"/>
    <w:rsid w:val="45CD7313"/>
    <w:rsid w:val="46882B5D"/>
    <w:rsid w:val="473016F6"/>
    <w:rsid w:val="47B9793D"/>
    <w:rsid w:val="48B3438D"/>
    <w:rsid w:val="49536F34"/>
    <w:rsid w:val="49F53DAB"/>
    <w:rsid w:val="4B78366B"/>
    <w:rsid w:val="4B847CE5"/>
    <w:rsid w:val="4B960487"/>
    <w:rsid w:val="4E075509"/>
    <w:rsid w:val="4E86222D"/>
    <w:rsid w:val="4F2E38CC"/>
    <w:rsid w:val="5124051D"/>
    <w:rsid w:val="51DE5AD1"/>
    <w:rsid w:val="52BA6FBF"/>
    <w:rsid w:val="530879CB"/>
    <w:rsid w:val="54B14FE8"/>
    <w:rsid w:val="55456CB4"/>
    <w:rsid w:val="55943272"/>
    <w:rsid w:val="559D089E"/>
    <w:rsid w:val="561D1AA7"/>
    <w:rsid w:val="56BE6D1E"/>
    <w:rsid w:val="579A205A"/>
    <w:rsid w:val="57E63A41"/>
    <w:rsid w:val="583E40F2"/>
    <w:rsid w:val="58991A4B"/>
    <w:rsid w:val="5A3A5248"/>
    <w:rsid w:val="5ABBFB9D"/>
    <w:rsid w:val="5DC012A8"/>
    <w:rsid w:val="5E0F1C0D"/>
    <w:rsid w:val="5EEDE0E7"/>
    <w:rsid w:val="5F580586"/>
    <w:rsid w:val="5F742670"/>
    <w:rsid w:val="5FCB425A"/>
    <w:rsid w:val="60E1459E"/>
    <w:rsid w:val="61C158E4"/>
    <w:rsid w:val="61C71C22"/>
    <w:rsid w:val="62B37D97"/>
    <w:rsid w:val="63183472"/>
    <w:rsid w:val="63C45075"/>
    <w:rsid w:val="65E82099"/>
    <w:rsid w:val="65F53DDF"/>
    <w:rsid w:val="6657448D"/>
    <w:rsid w:val="66DD5F97"/>
    <w:rsid w:val="67CE6DF7"/>
    <w:rsid w:val="680131C4"/>
    <w:rsid w:val="68766CFF"/>
    <w:rsid w:val="68FB4503"/>
    <w:rsid w:val="694A61EF"/>
    <w:rsid w:val="69D91EDA"/>
    <w:rsid w:val="6A076D1E"/>
    <w:rsid w:val="6B23346C"/>
    <w:rsid w:val="6B266056"/>
    <w:rsid w:val="6B347001"/>
    <w:rsid w:val="6B580AE9"/>
    <w:rsid w:val="6D5F32BE"/>
    <w:rsid w:val="6D6E0ECA"/>
    <w:rsid w:val="6EB8EE91"/>
    <w:rsid w:val="6EDD350F"/>
    <w:rsid w:val="6EE40E94"/>
    <w:rsid w:val="6F765F90"/>
    <w:rsid w:val="6FD607DD"/>
    <w:rsid w:val="70620F7F"/>
    <w:rsid w:val="721D27C5"/>
    <w:rsid w:val="723260DA"/>
    <w:rsid w:val="748D57BA"/>
    <w:rsid w:val="74BF20FB"/>
    <w:rsid w:val="752244C4"/>
    <w:rsid w:val="75840CDB"/>
    <w:rsid w:val="75FF3089"/>
    <w:rsid w:val="76120D32"/>
    <w:rsid w:val="76374147"/>
    <w:rsid w:val="764010A6"/>
    <w:rsid w:val="766320B0"/>
    <w:rsid w:val="76E95FF9"/>
    <w:rsid w:val="7738E42C"/>
    <w:rsid w:val="77FF8AA9"/>
    <w:rsid w:val="77FFEB97"/>
    <w:rsid w:val="78CE219D"/>
    <w:rsid w:val="78FC1CCF"/>
    <w:rsid w:val="799A6D1F"/>
    <w:rsid w:val="7A7B4269"/>
    <w:rsid w:val="7AF470B9"/>
    <w:rsid w:val="7B2965AD"/>
    <w:rsid w:val="7BB70840"/>
    <w:rsid w:val="7C2823C0"/>
    <w:rsid w:val="7CB60F13"/>
    <w:rsid w:val="7CF748A7"/>
    <w:rsid w:val="7EDC282E"/>
    <w:rsid w:val="7EF52924"/>
    <w:rsid w:val="7F5F84A8"/>
    <w:rsid w:val="7F9B10FB"/>
    <w:rsid w:val="7FE77752"/>
    <w:rsid w:val="7FF31F2F"/>
    <w:rsid w:val="97E77530"/>
    <w:rsid w:val="9AEDF854"/>
    <w:rsid w:val="B5EFE1D5"/>
    <w:rsid w:val="BBEF990B"/>
    <w:rsid w:val="BBEFEB11"/>
    <w:rsid w:val="BBFFA6FC"/>
    <w:rsid w:val="BEFF5C83"/>
    <w:rsid w:val="BF95C364"/>
    <w:rsid w:val="DBBE7189"/>
    <w:rsid w:val="DBF009E0"/>
    <w:rsid w:val="DCFFAC41"/>
    <w:rsid w:val="E4E6538F"/>
    <w:rsid w:val="EE7F3001"/>
    <w:rsid w:val="EF7F1CEE"/>
    <w:rsid w:val="F2FD10A1"/>
    <w:rsid w:val="F75D27B9"/>
    <w:rsid w:val="FAF2FA5A"/>
    <w:rsid w:val="FC77801A"/>
    <w:rsid w:val="FF7D8BF8"/>
    <w:rsid w:val="FF7E9314"/>
    <w:rsid w:val="FFFFFD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3">
    <w:name w:val="footer"/>
    <w:basedOn w:val="1"/>
    <w:qFormat/>
    <w:uiPriority w:val="99"/>
    <w:pPr>
      <w:tabs>
        <w:tab w:val="center" w:pos="4510"/>
        <w:tab w:val="right" w:pos="9020"/>
      </w:tabs>
    </w:pPr>
    <w:rPr>
      <w:rFonts w:ascii="Arial" w:hAnsi="Arial"/>
      <w:sz w:val="18"/>
      <w:szCs w:val="18"/>
    </w:rPr>
  </w:style>
  <w:style w:type="paragraph" w:styleId="14">
    <w:name w:val="header"/>
    <w:basedOn w:val="1"/>
    <w:qFormat/>
    <w:uiPriority w:val="0"/>
    <w:pPr>
      <w:tabs>
        <w:tab w:val="center" w:pos="4153"/>
        <w:tab w:val="right" w:pos="8306"/>
      </w:tabs>
      <w:snapToGrid w:val="0"/>
      <w:jc w:val="both"/>
    </w:pPr>
    <w:rPr>
      <w:rFonts w:ascii="Arial" w:hAnsi="Arial"/>
      <w:sz w:val="18"/>
      <w:szCs w:val="18"/>
    </w:rPr>
  </w:style>
  <w:style w:type="paragraph" w:styleId="15">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styleId="18">
    <w:name w:val="Body Text First Indent"/>
    <w:basedOn w:val="12"/>
    <w:next w:val="12"/>
    <w:unhideWhenUsed/>
    <w:qFormat/>
    <w:uiPriority w:val="99"/>
    <w:pPr>
      <w:ind w:firstLine="420" w:firstLineChars="100"/>
    </w:pPr>
    <w:rPr>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paragraph" w:customStyle="1" w:styleId="24">
    <w:name w:val="BodyText1I2"/>
    <w:qFormat/>
    <w:uiPriority w:val="0"/>
    <w:pPr>
      <w:spacing w:line="360" w:lineRule="auto"/>
      <w:ind w:firstLine="420" w:firstLineChars="180"/>
      <w:jc w:val="both"/>
      <w:textAlignment w:val="baseline"/>
    </w:pPr>
    <w:rPr>
      <w:rFonts w:ascii="Times New Roman" w:hAnsi="Times New Roman" w:eastAsia="宋体" w:cs="Times New Roman"/>
    </w:rPr>
  </w:style>
  <w:style w:type="paragraph" w:customStyle="1" w:styleId="25">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bidi="ar-SA"/>
    </w:rPr>
  </w:style>
  <w:style w:type="paragraph" w:customStyle="1" w:styleId="26">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27">
    <w:name w:val="font41"/>
    <w:qFormat/>
    <w:uiPriority w:val="0"/>
    <w:rPr>
      <w:rFonts w:ascii="Arial" w:hAnsi="Arial" w:cs="Arial"/>
      <w:color w:val="000000"/>
      <w:sz w:val="21"/>
      <w:szCs w:val="21"/>
      <w:u w:val="none"/>
    </w:rPr>
  </w:style>
  <w:style w:type="character" w:customStyle="1" w:styleId="28">
    <w:name w:val="font21"/>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e7f58e-1c99-44f4-8319-d22cb83df9c0}">
  <ds:schemaRefs/>
</ds:datastoreItem>
</file>

<file path=docProps/app.xml><?xml version="1.0" encoding="utf-8"?>
<Properties xmlns="http://schemas.openxmlformats.org/officeDocument/2006/extended-properties" xmlns:vt="http://schemas.openxmlformats.org/officeDocument/2006/docPropsVTypes">
  <Template>Normal.dotm</Template>
  <Pages>7</Pages>
  <Words>7119</Words>
  <Characters>7286</Characters>
  <Lines>0</Lines>
  <Paragraphs>0</Paragraphs>
  <TotalTime>11</TotalTime>
  <ScaleCrop>false</ScaleCrop>
  <LinksUpToDate>false</LinksUpToDate>
  <CharactersWithSpaces>7503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2025-10-18T11:03:00Z</dcterms:created>
  <dc:creator>caizo</dc:creator>
  <cp:lastModifiedBy>杨怡</cp:lastModifiedBy>
  <cp:lastPrinted>2026-08-07T22:23:00Z</cp:lastPrinted>
  <dcterms:modified xsi:type="dcterms:W3CDTF">2026-08-18T14:42:48Z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eyJoZGlkIjoiNDI1NGQ4MDY4NjMxYWVlMzc3ODM2NDE0MmU1ODUxYzYiLCJ1c2VySWQiOiIyOTE0NzkxNDkifQ==</vt:lpwstr>
  </property>
  <property fmtid="{D5CDD505-2E9C-101B-9397-08002B2CF9AE}" pid="4" name="ICV">
    <vt:lpwstr>427B665AE63ADF3BDEFE836AD9459EC5_43</vt:lpwstr>
  </property>
</Properties>
</file>