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14:paraId="4C13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608744A">
            <w:pPr>
              <w:pStyle w:val="21"/>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9E21702">
            <w:pPr>
              <w:pStyle w:val="21"/>
              <w:framePr w:wrap="notBeside" w:vAnchor="page" w:hAnchor="page" w:x="1372" w:y="568"/>
              <w:tabs>
                <w:tab w:val="clear" w:pos="4153"/>
                <w:tab w:val="clear" w:pos="8306"/>
              </w:tabs>
              <w:spacing w:line="240" w:lineRule="auto"/>
              <w:ind w:left="3"/>
              <w:jc w:val="both"/>
              <w:rPr>
                <w:rFonts w:ascii="黑体" w:hAnsi="黑体" w:eastAsia="黑体"/>
                <w:sz w:val="21"/>
                <w:szCs w:val="21"/>
              </w:rPr>
            </w:pPr>
          </w:p>
        </w:tc>
      </w:tr>
      <w:tr w14:paraId="51015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91DC5AC">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4A528F51">
            <w:pPr>
              <w:pStyle w:val="21"/>
              <w:framePr w:wrap="notBeside" w:vAnchor="page" w:hAnchor="page" w:x="1372" w:y="568"/>
              <w:tabs>
                <w:tab w:val="clear" w:pos="4153"/>
                <w:tab w:val="clear" w:pos="8306"/>
              </w:tabs>
              <w:spacing w:before="40" w:line="240" w:lineRule="auto"/>
              <w:jc w:val="left"/>
              <w:rPr>
                <w:rFonts w:ascii="黑体" w:hAnsi="黑体" w:eastAsia="黑体"/>
                <w:sz w:val="21"/>
                <w:szCs w:val="21"/>
              </w:rPr>
            </w:pPr>
          </w:p>
        </w:tc>
      </w:tr>
    </w:tbl>
    <w:p w14:paraId="58A37518">
      <w:pPr>
        <w:pStyle w:val="55"/>
        <w:framePr w:w="9639" w:h="624" w:hRule="exact" w:hSpace="181" w:vSpace="181" w:wrap="around" w:hAnchor="page" w:x="1305" w:y="2269"/>
      </w:pPr>
      <w:bookmarkStart w:id="0" w:name="_Hlk26473981"/>
      <w:r>
        <w:rPr>
          <w:rFonts w:hint="eastAsia"/>
        </w:rPr>
        <w:t>中华人民共和国国家标准</w:t>
      </w:r>
    </w:p>
    <w:bookmarkEnd w:id="0"/>
    <w:p w14:paraId="7B6BACBD">
      <w:pPr>
        <w:pStyle w:val="200"/>
        <w:rPr>
          <w:lang w:val="fr-FR"/>
        </w:rPr>
      </w:pPr>
      <w:r>
        <w:fldChar w:fldCharType="begin">
          <w:ffData>
            <w:name w:val="文字1"/>
            <w:enabled/>
            <w:calcOnExit w:val="0"/>
            <w:textInput>
              <w:default w:val="GB/T"/>
            </w:textInput>
          </w:ffData>
        </w:fldChar>
      </w:r>
      <w:bookmarkStart w:id="1" w:name="文字1"/>
      <w:r>
        <w:rPr>
          <w:lang w:val="fr-FR"/>
        </w:rPr>
        <w:instrText xml:space="preserve"> FORMTEXT </w:instrText>
      </w:r>
      <w:r>
        <w:fldChar w:fldCharType="separate"/>
      </w:r>
      <w:r>
        <w:rPr>
          <w:lang w:val="fr-FR"/>
        </w:rPr>
        <w:t>GB/T</w:t>
      </w:r>
      <w:r>
        <w:fldChar w:fldCharType="end"/>
      </w:r>
      <w:bookmarkEnd w:id="1"/>
      <w:r>
        <w:rPr>
          <w:lang w:val="fr-FR"/>
        </w:rPr>
        <w:t xml:space="preserve"> </w:t>
      </w:r>
      <w:r>
        <w:fldChar w:fldCharType="begin">
          <w:ffData>
            <w:name w:val="NSTD_CODE_F"/>
            <w:enabled/>
            <w:calcOnExit w:val="0"/>
            <w:textInput>
              <w:default w:val="XXXXX"/>
            </w:textInput>
          </w:ffData>
        </w:fldChar>
      </w:r>
      <w:bookmarkStart w:id="2" w:name="NSTD_CODE_F"/>
      <w:r>
        <w:rPr>
          <w:lang w:val="fr-FR"/>
        </w:rPr>
        <w:instrText xml:space="preserve"> FORMTEXT </w:instrText>
      </w:r>
      <w:r>
        <w:fldChar w:fldCharType="separate"/>
      </w:r>
      <w:r>
        <w:rPr>
          <w:lang w:val="fr-FR"/>
        </w:rPr>
        <w:t>XXXXX</w:t>
      </w:r>
      <w:r>
        <w:fldChar w:fldCharType="end"/>
      </w:r>
      <w:bookmarkEnd w:id="2"/>
      <w:r>
        <w:rPr>
          <w:rFonts w:hAnsi="黑体"/>
          <w:lang w:val="fr-FR"/>
        </w:rPr>
        <w:t>—</w:t>
      </w:r>
      <w:bookmarkStart w:id="3" w:name="NSTD_CODE_B"/>
      <w:r>
        <w:rPr>
          <w:rFonts w:ascii="黑体" w:hAnsi="Times New Roman" w:eastAsia="黑体" w:cs="Times New Roman"/>
          <w:bCs/>
          <w:sz w:val="28"/>
          <w:szCs w:val="28"/>
          <w:lang w:val="fr-FR" w:eastAsia="zh-CN" w:bidi="ar-SA"/>
        </w:rPr>
        <w:fldChar w:fldCharType="begin">
          <w:ffData>
            <w:name w:val="NSTD_CODE_B"/>
            <w:enabled/>
            <w:calcOnExit w:val="0"/>
            <w:textInput>
              <w:default w:val="202X"/>
            </w:textInput>
          </w:ffData>
        </w:fldChar>
      </w:r>
      <w:r>
        <w:rPr>
          <w:rFonts w:ascii="黑体" w:hAnsi="Times New Roman" w:eastAsia="黑体" w:cs="Times New Roman"/>
          <w:bCs/>
          <w:sz w:val="28"/>
          <w:szCs w:val="28"/>
          <w:lang w:val="fr-FR" w:eastAsia="zh-CN" w:bidi="ar-SA"/>
        </w:rPr>
        <w:instrText xml:space="preserve">FORMTEXT</w:instrText>
      </w:r>
      <w:r>
        <w:rPr>
          <w:rFonts w:ascii="黑体" w:hAnsi="Times New Roman" w:eastAsia="黑体" w:cs="Times New Roman"/>
          <w:bCs/>
          <w:sz w:val="28"/>
          <w:szCs w:val="28"/>
          <w:lang w:val="fr-FR" w:eastAsia="zh-CN" w:bidi="ar-SA"/>
        </w:rPr>
        <w:fldChar w:fldCharType="separate"/>
      </w:r>
      <w:r>
        <w:rPr>
          <w:rFonts w:ascii="黑体" w:hAnsi="Times New Roman" w:eastAsia="黑体" w:cs="Times New Roman"/>
          <w:bCs/>
          <w:sz w:val="28"/>
          <w:szCs w:val="28"/>
          <w:lang w:val="fr-FR" w:eastAsia="zh-CN" w:bidi="ar-SA"/>
        </w:rPr>
        <w:t>202X</w:t>
      </w:r>
      <w:r>
        <w:rPr>
          <w:rFonts w:ascii="黑体" w:hAnsi="Times New Roman" w:eastAsia="黑体" w:cs="Times New Roman"/>
          <w:bCs/>
          <w:sz w:val="28"/>
          <w:szCs w:val="28"/>
          <w:lang w:val="fr-FR" w:eastAsia="zh-CN" w:bidi="ar-SA"/>
        </w:rPr>
        <w:fldChar w:fldCharType="end"/>
      </w:r>
      <w:bookmarkEnd w:id="3"/>
    </w:p>
    <w:p w14:paraId="39F39D7E">
      <w:pPr>
        <w:pStyle w:val="201"/>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14:paraId="36949E23">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2700020</wp:posOffset>
                </wp:positionV>
                <wp:extent cx="6120130" cy="0"/>
                <wp:effectExtent l="0" t="0" r="1397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pt;height:0pt;width:481.9pt;mso-position-horizontal-relative:page;mso-position-vertical-relative:page;z-index:251660288;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iPM2AAA&#10;AAwBAAAPAAAAAAAAAAEAIAAAACIAAABkcnMvZG93bnJldi54bWxQSwECFAAUAAAACACHTuJA4fvj&#10;GO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2F99783A">
      <w:pPr>
        <w:pStyle w:val="55"/>
        <w:framePr w:w="9639" w:h="6976" w:hRule="exact" w:hSpace="0" w:vSpace="0" w:wrap="around" w:hAnchor="page" w:y="6408"/>
        <w:jc w:val="center"/>
        <w:rPr>
          <w:rFonts w:ascii="黑体" w:hAnsi="黑体" w:eastAsia="黑体"/>
          <w:b w:val="0"/>
          <w:bCs w:val="0"/>
          <w:w w:val="100"/>
        </w:rPr>
      </w:pPr>
    </w:p>
    <w:p w14:paraId="429D1777">
      <w:pPr>
        <w:pStyle w:val="202"/>
        <w:framePr w:h="6974" w:hRule="exact" w:wrap="around" w:x="1419" w:anchorLock="1"/>
      </w:pPr>
      <w:r>
        <w:fldChar w:fldCharType="begin">
          <w:ffData>
            <w:name w:val="CSTD_NAME"/>
            <w:enabled/>
            <w:calcOnExit w:val="0"/>
            <w:textInput>
              <w:default w:val="点击此处添加标准名称"/>
            </w:textInput>
          </w:ffData>
        </w:fldChar>
      </w:r>
      <w:bookmarkStart w:id="5" w:name="CSTD_NAME"/>
      <w:r>
        <w:instrText xml:space="preserve"> FORMTEXT </w:instrText>
      </w:r>
      <w:r>
        <w:fldChar w:fldCharType="separate"/>
      </w:r>
      <w:r>
        <w:rPr>
          <w:rFonts w:hint="eastAsia"/>
        </w:rPr>
        <w:t>装配式建筑</w:t>
      </w:r>
      <w:r>
        <w:t xml:space="preserve"> 木结构 承重构件通用技术条件</w:t>
      </w:r>
      <w:r>
        <w:fldChar w:fldCharType="end"/>
      </w:r>
      <w:bookmarkEnd w:id="5"/>
    </w:p>
    <w:p w14:paraId="6FF33C77">
      <w:pPr>
        <w:framePr w:w="9639" w:h="6974" w:hRule="exact" w:wrap="around" w:vAnchor="page" w:hAnchor="page" w:x="1419" w:y="6408" w:anchorLock="1"/>
        <w:ind w:left="-1418"/>
      </w:pPr>
    </w:p>
    <w:p w14:paraId="0DD822E0">
      <w:pPr>
        <w:pStyle w:val="130"/>
        <w:framePr w:w="9639" w:h="6974" w:hRule="exact" w:wrap="around" w:vAnchor="page" w:hAnchor="page" w:x="1419" w:y="6408" w:anchorLock="1"/>
        <w:textAlignment w:val="bottom"/>
        <w:rPr>
          <w:rFonts w:eastAsia="黑体"/>
          <w:szCs w:val="28"/>
        </w:rPr>
      </w:pPr>
      <w:r>
        <w:rPr>
          <w:rFonts w:eastAsia="黑体"/>
          <w:szCs w:val="28"/>
        </w:rPr>
        <w:t xml:space="preserve">General specifications for load-bearing members of </w:t>
      </w:r>
      <w:r>
        <w:rPr>
          <w:rFonts w:hint="eastAsia" w:eastAsia="黑体"/>
          <w:szCs w:val="28"/>
        </w:rPr>
        <w:t>prefabricated</w:t>
      </w:r>
      <w:r>
        <w:rPr>
          <w:rFonts w:eastAsia="黑体"/>
          <w:szCs w:val="28"/>
        </w:rPr>
        <w:t xml:space="preserve"> </w:t>
      </w:r>
      <w:r>
        <w:rPr>
          <w:rFonts w:hint="eastAsia" w:eastAsia="黑体"/>
          <w:szCs w:val="28"/>
        </w:rPr>
        <w:t xml:space="preserve">timber </w:t>
      </w:r>
      <w:r>
        <w:rPr>
          <w:rFonts w:eastAsia="黑体"/>
          <w:szCs w:val="28"/>
        </w:rPr>
        <w:t xml:space="preserve">buildings </w:t>
      </w:r>
      <w:bookmarkStart w:id="6" w:name="IN_STD_CODE"/>
      <w:r>
        <w:rPr>
          <w:rFonts w:hint="eastAsia" w:ascii="Times New Roman" w:hAnsi="Times New Roman" w:eastAsia="黑体" w:cs="Times New Roman"/>
          <w:sz w:val="28"/>
          <w:szCs w:val="28"/>
          <w:lang w:val="en-US" w:eastAsia="zh-CN" w:bidi="ar-SA"/>
        </w:rPr>
        <w:fldChar w:fldCharType="begin">
          <w:ffData>
            <w:name w:val="IN_STD_CODE"/>
            <w:enabled/>
            <w:calcOnExit w:val="0"/>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default" w:ascii="Times New Roman" w:hAnsi="Times New Roman" w:eastAsia="黑体" w:cs="Times New Roman"/>
          <w:sz w:val="28"/>
          <w:szCs w:val="28"/>
          <w:lang w:val="en-US" w:eastAsia="zh-CN" w:bidi="ar-SA"/>
        </w:rPr>
        <w:t>     </w:t>
      </w:r>
      <w:r>
        <w:rPr>
          <w:rFonts w:hint="eastAsia" w:ascii="Times New Roman" w:hAnsi="Times New Roman" w:eastAsia="黑体" w:cs="Times New Roman"/>
          <w:sz w:val="28"/>
          <w:szCs w:val="28"/>
          <w:lang w:val="en-US" w:eastAsia="zh-CN" w:bidi="ar-SA"/>
        </w:rPr>
        <w:fldChar w:fldCharType="end"/>
      </w:r>
      <w:bookmarkEnd w:id="6"/>
    </w:p>
    <w:p w14:paraId="4B38B871">
      <w:pPr>
        <w:pStyle w:val="130"/>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1A479B17">
      <w:pPr>
        <w:pStyle w:val="130"/>
        <w:framePr w:w="9639" w:h="6974" w:hRule="exact" w:wrap="around" w:vAnchor="page" w:hAnchor="page" w:x="1419" w:y="6408" w:anchorLock="1"/>
        <w:pBdr>
          <w:top w:val="none" w:sz="0" w:space="0"/>
          <w:left w:val="none" w:sz="0" w:space="0"/>
          <w:bottom w:val="none" w:sz="0" w:space="0"/>
          <w:right w:val="none" w:sz="0" w:space="0"/>
        </w:pBdr>
        <w:spacing w:before="720" w:beforeLines="300" w:after="72" w:afterLines="30" w:line="240" w:lineRule="auto"/>
        <w:textAlignment w:val="bottom"/>
        <w:rPr>
          <w:b/>
          <w:sz w:val="21"/>
          <w:szCs w:val="28"/>
        </w:rPr>
      </w:pPr>
      <w:r>
        <w:rPr>
          <w:rFonts w:hint="eastAsia" w:ascii="Times New Roman" w:hAnsi="Times New Roman" w:eastAsia="宋体" w:cs="Times New Roman"/>
          <w:b/>
          <w:sz w:val="21"/>
          <w:szCs w:val="28"/>
          <w:lang w:val="en-US" w:eastAsia="zh-CN" w:bidi="ar-SA"/>
        </w:rPr>
        <w:t>在提交反馈意见时，请将您知道的相关专利连同支持性文件一并附上。</w:t>
      </w:r>
      <w:r>
        <w:rPr>
          <w:rFonts w:ascii="Times New Roman" w:hAnsi="Times New Roman" w:eastAsia="宋体" w:cs="Times New Roman"/>
          <w:b/>
          <w:sz w:val="21"/>
          <w:szCs w:val="28"/>
          <w:lang w:val="en-US" w:eastAsia="zh-CN" w:bidi="ar-SA"/>
        </w:rPr>
        <w:fldChar w:fldCharType="begin">
          <w:ffData>
            <w:name w:val="下拉2"/>
            <w:enabled/>
            <w:calcOnExit w:val="0"/>
            <w:ddList>
              <w:listEntry w:val=" "/>
              <w:listEntry w:val="在提交反馈意见时，请将您知道的相关专利连同支持性文件一并附上。"/>
            </w:ddList>
          </w:ffData>
        </w:fldChar>
      </w:r>
      <w:r>
        <w:rPr>
          <w:rFonts w:ascii="Times New Roman" w:hAnsi="Times New Roman" w:eastAsia="宋体" w:cs="Times New Roman"/>
          <w:b/>
          <w:sz w:val="21"/>
          <w:szCs w:val="28"/>
          <w:lang w:val="en-US" w:eastAsia="zh-CN" w:bidi="ar-SA"/>
        </w:rPr>
        <w:instrText xml:space="preserve">FORMDROPDOWN</w:instrText>
      </w:r>
      <w:r>
        <w:rPr>
          <w:rFonts w:ascii="Times New Roman" w:hAnsi="Times New Roman" w:eastAsia="宋体" w:cs="Times New Roman"/>
          <w:b/>
          <w:sz w:val="21"/>
          <w:szCs w:val="28"/>
          <w:lang w:val="en-US" w:eastAsia="zh-CN" w:bidi="ar-SA"/>
        </w:rPr>
        <w:fldChar w:fldCharType="separate"/>
      </w:r>
      <w:r>
        <w:rPr>
          <w:rFonts w:ascii="Times New Roman" w:hAnsi="Times New Roman" w:eastAsia="宋体" w:cs="Times New Roman"/>
          <w:b/>
          <w:sz w:val="21"/>
          <w:szCs w:val="28"/>
          <w:lang w:val="en-US" w:eastAsia="zh-CN" w:bidi="ar-SA"/>
        </w:rPr>
        <w:fldChar w:fldCharType="end"/>
      </w:r>
    </w:p>
    <w:p w14:paraId="03654CBF">
      <w:pPr>
        <w:pStyle w:val="130"/>
        <w:framePr w:w="9639" w:h="6974" w:hRule="exact" w:wrap="around" w:vAnchor="page" w:hAnchor="page" w:x="1419" w:y="6408" w:anchorLock="1"/>
        <w:spacing w:before="720" w:beforeLines="300" w:after="72" w:afterLines="30" w:line="240" w:lineRule="auto"/>
        <w:textAlignment w:val="bottom"/>
        <w:rPr>
          <w:b/>
          <w:sz w:val="21"/>
          <w:szCs w:val="28"/>
        </w:rPr>
      </w:pPr>
      <w:bookmarkStart w:id="95" w:name="_GoBack"/>
      <w:bookmarkEnd w:id="95"/>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fldChar w:fldCharType="separate"/>
      </w:r>
      <w:r>
        <w:rPr>
          <w:b/>
          <w:sz w:val="21"/>
          <w:szCs w:val="28"/>
        </w:rPr>
        <w:fldChar w:fldCharType="end"/>
      </w:r>
      <w:bookmarkEnd w:id="7"/>
    </w:p>
    <w:p w14:paraId="25CE3010">
      <w:pPr>
        <w:pStyle w:val="198"/>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hint="eastAsia" w:ascii="黑体"/>
          <w:lang w:val="en-US" w:eastAsia="zh-CN"/>
        </w:rPr>
        <w:t>202</w:t>
      </w:r>
      <w:r>
        <w:rPr>
          <w:rFonts w:ascii="黑体"/>
        </w:rPr>
        <w:t>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14:paraId="6CACD4B6">
      <w:pPr>
        <w:pStyle w:val="199"/>
        <w:framePr w:wrap="around" w:y="14176"/>
      </w:pPr>
      <w:r>
        <w:rPr>
          <w:rFonts w:ascii="黑体"/>
        </w:rPr>
        <w:fldChar w:fldCharType="begin">
          <w:ffData>
            <w:name w:val="PLSH_DATE_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lang w:val="en-US" w:eastAsia="zh-CN"/>
        </w:rPr>
        <w:t>202</w:t>
      </w:r>
      <w:r>
        <w:rPr>
          <w:rFonts w:ascii="黑体"/>
        </w:rPr>
        <w:t>X</w:t>
      </w:r>
      <w:r>
        <w:rPr>
          <w:rFonts w:ascii="黑体"/>
        </w:rPr>
        <w:fldChar w:fldCharType="end"/>
      </w:r>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1AD549CA">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9252585</wp:posOffset>
                </wp:positionV>
                <wp:extent cx="6120130" cy="0"/>
                <wp:effectExtent l="0" t="0" r="1397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55pt;height:0pt;width:481.9pt;mso-position-horizontal-relative:page;mso-position-vertical-relative:page;z-index:251661312;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5qdGL1wAAAA4B&#10;AAAPAAAAAAAAAAEAIAAAACIAAABkcnMvZG93bnJldi54bWxQSwECFAAUAAAACACHTuJAAzUM5uMB&#10;AACqAwAADgAAAAAAAAABACAAAAAmAQAAZHJzL2Uyb0RvYy54bWxQSwUGAAAAAAYABgBZAQAAewUA&#10;AAAA&#10;">
                <v:fill on="f" focussize="0,0"/>
                <v:stroke color="#000000" joinstyle="round"/>
                <v:imagedata o:title=""/>
                <o:lock v:ext="edit" aspectratio="f"/>
                <w10:anchorlock/>
              </v:line>
            </w:pict>
          </mc:Fallback>
        </mc:AlternateContent>
      </w:r>
      <w:r>
        <w:rPr>
          <w:rFonts w:hint="eastAsia" w:ascii="宋体" w:hAnsi="宋体"/>
          <w:sz w:val="28"/>
          <w:szCs w:val="28"/>
        </w:rPr>
        <w:t>`</w:t>
      </w:r>
    </w:p>
    <w:p w14:paraId="100B58E6">
      <w:pPr>
        <w:pStyle w:val="96"/>
        <w:spacing w:after="468"/>
      </w:pPr>
      <w:bookmarkStart w:id="13" w:name="BookMark1"/>
      <w:bookmarkStart w:id="14" w:name="_Toc89120409"/>
      <w:r>
        <w:rPr>
          <w:rFonts w:hint="eastAsia"/>
          <w:spacing w:val="320"/>
        </w:rPr>
        <w:t>目</w:t>
      </w:r>
      <w:r>
        <w:rPr>
          <w:rFonts w:hint="eastAsia"/>
        </w:rPr>
        <w:t>次</w:t>
      </w:r>
    </w:p>
    <w:p w14:paraId="42AD6C05">
      <w:pPr>
        <w:pStyle w:val="22"/>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"_Toc222392751" </w:instrText>
      </w:r>
      <w:r>
        <w:fldChar w:fldCharType="separate"/>
      </w:r>
      <w:r>
        <w:rPr>
          <w:rStyle w:val="36"/>
          <w:spacing w:val="0"/>
          <w:kern w:val="0"/>
          <w:fitText w:val="420" w:id="-493168128"/>
        </w:rPr>
        <w:t>前言</w:t>
      </w:r>
      <w:r>
        <w:tab/>
      </w:r>
      <w:r>
        <w:fldChar w:fldCharType="begin"/>
      </w:r>
      <w:r>
        <w:instrText xml:space="preserve"> PAGEREF _Toc222392751 \h </w:instrText>
      </w:r>
      <w:r>
        <w:fldChar w:fldCharType="separate"/>
      </w:r>
      <w:r>
        <w:t>II</w:t>
      </w:r>
      <w:r>
        <w:fldChar w:fldCharType="end"/>
      </w:r>
      <w:r>
        <w:fldChar w:fldCharType="end"/>
      </w:r>
    </w:p>
    <w:p w14:paraId="7380395C">
      <w:pPr>
        <w:pStyle w:val="22"/>
        <w:rPr>
          <w:rFonts w:asciiTheme="minorHAnsi" w:hAnsiTheme="minorHAnsi" w:eastAsiaTheme="minorEastAsia" w:cstheme="minorBidi"/>
          <w:szCs w:val="22"/>
        </w:rPr>
      </w:pPr>
      <w:r>
        <w:fldChar w:fldCharType="begin"/>
      </w:r>
      <w:r>
        <w:instrText xml:space="preserve"> HYPERLINK \l "_Toc222392752" </w:instrText>
      </w:r>
      <w:r>
        <w:fldChar w:fldCharType="separate"/>
      </w:r>
      <w:r>
        <w:rPr>
          <w:rStyle w:val="36"/>
        </w:rPr>
        <w:t>1 范围</w:t>
      </w:r>
      <w:r>
        <w:tab/>
      </w:r>
      <w:r>
        <w:fldChar w:fldCharType="begin"/>
      </w:r>
      <w:r>
        <w:instrText xml:space="preserve"> PAGEREF _Toc222392752 \h </w:instrText>
      </w:r>
      <w:r>
        <w:fldChar w:fldCharType="separate"/>
      </w:r>
      <w:r>
        <w:t>1</w:t>
      </w:r>
      <w:r>
        <w:fldChar w:fldCharType="end"/>
      </w:r>
      <w:r>
        <w:fldChar w:fldCharType="end"/>
      </w:r>
    </w:p>
    <w:p w14:paraId="111B2F24">
      <w:pPr>
        <w:pStyle w:val="22"/>
        <w:rPr>
          <w:rFonts w:asciiTheme="minorHAnsi" w:hAnsiTheme="minorHAnsi" w:eastAsiaTheme="minorEastAsia" w:cstheme="minorBidi"/>
          <w:szCs w:val="22"/>
        </w:rPr>
      </w:pPr>
      <w:r>
        <w:fldChar w:fldCharType="begin"/>
      </w:r>
      <w:r>
        <w:instrText xml:space="preserve"> HYPERLINK \l "_Toc222392753" </w:instrText>
      </w:r>
      <w:r>
        <w:fldChar w:fldCharType="separate"/>
      </w:r>
      <w:r>
        <w:rPr>
          <w:rStyle w:val="36"/>
        </w:rPr>
        <w:t>2 规范性引用文件</w:t>
      </w:r>
      <w:r>
        <w:tab/>
      </w:r>
      <w:r>
        <w:fldChar w:fldCharType="begin"/>
      </w:r>
      <w:r>
        <w:instrText xml:space="preserve"> PAGEREF _Toc222392753 \h </w:instrText>
      </w:r>
      <w:r>
        <w:fldChar w:fldCharType="separate"/>
      </w:r>
      <w:r>
        <w:t>1</w:t>
      </w:r>
      <w:r>
        <w:fldChar w:fldCharType="end"/>
      </w:r>
      <w:r>
        <w:fldChar w:fldCharType="end"/>
      </w:r>
    </w:p>
    <w:p w14:paraId="2BA6849C">
      <w:pPr>
        <w:pStyle w:val="22"/>
        <w:rPr>
          <w:rFonts w:asciiTheme="minorHAnsi" w:hAnsiTheme="minorHAnsi" w:eastAsiaTheme="minorEastAsia" w:cstheme="minorBidi"/>
          <w:szCs w:val="22"/>
        </w:rPr>
      </w:pPr>
      <w:r>
        <w:fldChar w:fldCharType="begin"/>
      </w:r>
      <w:r>
        <w:instrText xml:space="preserve"> HYPERLINK \l "_Toc222392754" </w:instrText>
      </w:r>
      <w:r>
        <w:fldChar w:fldCharType="separate"/>
      </w:r>
      <w:r>
        <w:rPr>
          <w:rStyle w:val="36"/>
        </w:rPr>
        <w:t>3 术语和定义</w:t>
      </w:r>
      <w:r>
        <w:tab/>
      </w:r>
      <w:r>
        <w:fldChar w:fldCharType="begin"/>
      </w:r>
      <w:r>
        <w:instrText xml:space="preserve"> PAGEREF _Toc222392754 \h </w:instrText>
      </w:r>
      <w:r>
        <w:fldChar w:fldCharType="separate"/>
      </w:r>
      <w:r>
        <w:t>1</w:t>
      </w:r>
      <w:r>
        <w:fldChar w:fldCharType="end"/>
      </w:r>
      <w:r>
        <w:fldChar w:fldCharType="end"/>
      </w:r>
    </w:p>
    <w:p w14:paraId="6AFF5395">
      <w:pPr>
        <w:pStyle w:val="22"/>
        <w:rPr>
          <w:rFonts w:asciiTheme="minorHAnsi" w:hAnsiTheme="minorHAnsi" w:eastAsiaTheme="minorEastAsia" w:cstheme="minorBidi"/>
          <w:szCs w:val="22"/>
        </w:rPr>
      </w:pPr>
      <w:r>
        <w:fldChar w:fldCharType="begin"/>
      </w:r>
      <w:r>
        <w:instrText xml:space="preserve"> HYPERLINK \l "_Toc222392755" </w:instrText>
      </w:r>
      <w:r>
        <w:fldChar w:fldCharType="separate"/>
      </w:r>
      <w:r>
        <w:rPr>
          <w:rStyle w:val="36"/>
        </w:rPr>
        <w:t>4 分类与标记</w:t>
      </w:r>
      <w:r>
        <w:tab/>
      </w:r>
      <w:r>
        <w:fldChar w:fldCharType="begin"/>
      </w:r>
      <w:r>
        <w:instrText xml:space="preserve"> PAGEREF _Toc222392755 \h </w:instrText>
      </w:r>
      <w:r>
        <w:fldChar w:fldCharType="separate"/>
      </w:r>
      <w:r>
        <w:t>4</w:t>
      </w:r>
      <w:r>
        <w:fldChar w:fldCharType="end"/>
      </w:r>
      <w:r>
        <w:fldChar w:fldCharType="end"/>
      </w:r>
    </w:p>
    <w:p w14:paraId="6B81C0EC">
      <w:pPr>
        <w:pStyle w:val="27"/>
        <w:rPr>
          <w:rFonts w:asciiTheme="minorHAnsi" w:hAnsiTheme="minorHAnsi" w:eastAsiaTheme="minorEastAsia" w:cstheme="minorBidi"/>
          <w:szCs w:val="22"/>
        </w:rPr>
      </w:pPr>
      <w:r>
        <w:fldChar w:fldCharType="begin"/>
      </w:r>
      <w:r>
        <w:instrText xml:space="preserve"> HYPERLINK \l "_Toc222392756" </w:instrText>
      </w:r>
      <w:r>
        <w:fldChar w:fldCharType="separate"/>
      </w:r>
      <w:r>
        <w:rPr>
          <w:rStyle w:val="36"/>
        </w:rPr>
        <w:t>4.1 原则</w:t>
      </w:r>
      <w:r>
        <w:tab/>
      </w:r>
      <w:r>
        <w:fldChar w:fldCharType="begin"/>
      </w:r>
      <w:r>
        <w:instrText xml:space="preserve"> PAGEREF _Toc222392756 \h </w:instrText>
      </w:r>
      <w:r>
        <w:fldChar w:fldCharType="separate"/>
      </w:r>
      <w:r>
        <w:t>4</w:t>
      </w:r>
      <w:r>
        <w:fldChar w:fldCharType="end"/>
      </w:r>
      <w:r>
        <w:fldChar w:fldCharType="end"/>
      </w:r>
    </w:p>
    <w:p w14:paraId="769019B4">
      <w:pPr>
        <w:pStyle w:val="27"/>
        <w:rPr>
          <w:rFonts w:asciiTheme="minorHAnsi" w:hAnsiTheme="minorHAnsi" w:eastAsiaTheme="minorEastAsia" w:cstheme="minorBidi"/>
          <w:szCs w:val="22"/>
        </w:rPr>
      </w:pPr>
      <w:r>
        <w:fldChar w:fldCharType="begin"/>
      </w:r>
      <w:r>
        <w:instrText xml:space="preserve"> HYPERLINK \l "_Toc222392757" </w:instrText>
      </w:r>
      <w:r>
        <w:fldChar w:fldCharType="separate"/>
      </w:r>
      <w:r>
        <w:rPr>
          <w:rStyle w:val="36"/>
        </w:rPr>
        <w:t>4.2 分类</w:t>
      </w:r>
      <w:r>
        <w:tab/>
      </w:r>
      <w:r>
        <w:fldChar w:fldCharType="begin"/>
      </w:r>
      <w:r>
        <w:instrText xml:space="preserve"> PAGEREF _Toc222392757 \h </w:instrText>
      </w:r>
      <w:r>
        <w:fldChar w:fldCharType="separate"/>
      </w:r>
      <w:r>
        <w:t>4</w:t>
      </w:r>
      <w:r>
        <w:fldChar w:fldCharType="end"/>
      </w:r>
      <w:r>
        <w:fldChar w:fldCharType="end"/>
      </w:r>
    </w:p>
    <w:p w14:paraId="02FB6B8B">
      <w:pPr>
        <w:pStyle w:val="27"/>
        <w:rPr>
          <w:rFonts w:asciiTheme="minorHAnsi" w:hAnsiTheme="minorHAnsi" w:eastAsiaTheme="minorEastAsia" w:cstheme="minorBidi"/>
          <w:szCs w:val="22"/>
        </w:rPr>
      </w:pPr>
      <w:r>
        <w:fldChar w:fldCharType="begin"/>
      </w:r>
      <w:r>
        <w:instrText xml:space="preserve"> HYPERLINK \l "_Toc222392758" </w:instrText>
      </w:r>
      <w:r>
        <w:fldChar w:fldCharType="separate"/>
      </w:r>
      <w:r>
        <w:rPr>
          <w:rStyle w:val="36"/>
        </w:rPr>
        <w:t>4.3 标记</w:t>
      </w:r>
      <w:r>
        <w:tab/>
      </w:r>
      <w:r>
        <w:fldChar w:fldCharType="begin"/>
      </w:r>
      <w:r>
        <w:instrText xml:space="preserve"> PAGEREF _Toc222392758 \h </w:instrText>
      </w:r>
      <w:r>
        <w:fldChar w:fldCharType="separate"/>
      </w:r>
      <w:r>
        <w:t>4</w:t>
      </w:r>
      <w:r>
        <w:fldChar w:fldCharType="end"/>
      </w:r>
      <w:r>
        <w:fldChar w:fldCharType="end"/>
      </w:r>
    </w:p>
    <w:p w14:paraId="3CD284B8">
      <w:pPr>
        <w:pStyle w:val="22"/>
        <w:rPr>
          <w:rFonts w:asciiTheme="minorHAnsi" w:hAnsiTheme="minorHAnsi" w:eastAsiaTheme="minorEastAsia" w:cstheme="minorBidi"/>
          <w:szCs w:val="22"/>
        </w:rPr>
      </w:pPr>
      <w:r>
        <w:fldChar w:fldCharType="begin"/>
      </w:r>
      <w:r>
        <w:instrText xml:space="preserve"> HYPERLINK \l "_Toc222392759" </w:instrText>
      </w:r>
      <w:r>
        <w:fldChar w:fldCharType="separate"/>
      </w:r>
      <w:r>
        <w:rPr>
          <w:rStyle w:val="36"/>
        </w:rPr>
        <w:t>5 基本规定</w:t>
      </w:r>
      <w:r>
        <w:tab/>
      </w:r>
      <w:r>
        <w:fldChar w:fldCharType="begin"/>
      </w:r>
      <w:r>
        <w:instrText xml:space="preserve"> PAGEREF _Toc222392759 \h </w:instrText>
      </w:r>
      <w:r>
        <w:fldChar w:fldCharType="separate"/>
      </w:r>
      <w:r>
        <w:t>5</w:t>
      </w:r>
      <w:r>
        <w:fldChar w:fldCharType="end"/>
      </w:r>
      <w:r>
        <w:fldChar w:fldCharType="end"/>
      </w:r>
    </w:p>
    <w:p w14:paraId="19E38DE8">
      <w:pPr>
        <w:pStyle w:val="22"/>
        <w:rPr>
          <w:rFonts w:asciiTheme="minorHAnsi" w:hAnsiTheme="minorHAnsi" w:eastAsiaTheme="minorEastAsia" w:cstheme="minorBidi"/>
          <w:szCs w:val="22"/>
        </w:rPr>
      </w:pPr>
      <w:r>
        <w:fldChar w:fldCharType="begin"/>
      </w:r>
      <w:r>
        <w:instrText xml:space="preserve"> HYPERLINK \l "_Toc222392760" </w:instrText>
      </w:r>
      <w:r>
        <w:fldChar w:fldCharType="separate"/>
      </w:r>
      <w:r>
        <w:rPr>
          <w:rStyle w:val="36"/>
        </w:rPr>
        <w:t>6 预制构件要求</w:t>
      </w:r>
      <w:r>
        <w:tab/>
      </w:r>
      <w:r>
        <w:fldChar w:fldCharType="begin"/>
      </w:r>
      <w:r>
        <w:instrText xml:space="preserve"> PAGEREF _Toc222392760 \h </w:instrText>
      </w:r>
      <w:r>
        <w:fldChar w:fldCharType="separate"/>
      </w:r>
      <w:r>
        <w:t>5</w:t>
      </w:r>
      <w:r>
        <w:fldChar w:fldCharType="end"/>
      </w:r>
      <w:r>
        <w:fldChar w:fldCharType="end"/>
      </w:r>
    </w:p>
    <w:p w14:paraId="38597C9D">
      <w:pPr>
        <w:pStyle w:val="27"/>
        <w:rPr>
          <w:rFonts w:asciiTheme="minorHAnsi" w:hAnsiTheme="minorHAnsi" w:eastAsiaTheme="minorEastAsia" w:cstheme="minorBidi"/>
          <w:szCs w:val="22"/>
        </w:rPr>
      </w:pPr>
      <w:r>
        <w:fldChar w:fldCharType="begin"/>
      </w:r>
      <w:r>
        <w:instrText xml:space="preserve"> HYPERLINK \l "_Toc222392761" </w:instrText>
      </w:r>
      <w:r>
        <w:fldChar w:fldCharType="separate"/>
      </w:r>
      <w:r>
        <w:rPr>
          <w:rStyle w:val="36"/>
        </w:rPr>
        <w:t>6.1 外观质量与尺寸偏差</w:t>
      </w:r>
      <w:r>
        <w:tab/>
      </w:r>
      <w:r>
        <w:fldChar w:fldCharType="begin"/>
      </w:r>
      <w:r>
        <w:instrText xml:space="preserve"> PAGEREF _Toc222392761 \h </w:instrText>
      </w:r>
      <w:r>
        <w:fldChar w:fldCharType="separate"/>
      </w:r>
      <w:r>
        <w:t>5</w:t>
      </w:r>
      <w:r>
        <w:fldChar w:fldCharType="end"/>
      </w:r>
      <w:r>
        <w:fldChar w:fldCharType="end"/>
      </w:r>
    </w:p>
    <w:p w14:paraId="029279B6">
      <w:pPr>
        <w:pStyle w:val="27"/>
        <w:rPr>
          <w:rFonts w:asciiTheme="minorHAnsi" w:hAnsiTheme="minorHAnsi" w:eastAsiaTheme="minorEastAsia" w:cstheme="minorBidi"/>
          <w:szCs w:val="22"/>
        </w:rPr>
      </w:pPr>
      <w:r>
        <w:fldChar w:fldCharType="begin"/>
      </w:r>
      <w:r>
        <w:instrText xml:space="preserve"> HYPERLINK \l "_Toc222392762" </w:instrText>
      </w:r>
      <w:r>
        <w:fldChar w:fldCharType="separate"/>
      </w:r>
      <w:r>
        <w:rPr>
          <w:rStyle w:val="36"/>
        </w:rPr>
        <w:t>6.2 理化性能</w:t>
      </w:r>
      <w:r>
        <w:tab/>
      </w:r>
      <w:r>
        <w:fldChar w:fldCharType="begin"/>
      </w:r>
      <w:r>
        <w:instrText xml:space="preserve"> PAGEREF _Toc222392762 \h </w:instrText>
      </w:r>
      <w:r>
        <w:fldChar w:fldCharType="separate"/>
      </w:r>
      <w:r>
        <w:t>7</w:t>
      </w:r>
      <w:r>
        <w:fldChar w:fldCharType="end"/>
      </w:r>
      <w:r>
        <w:fldChar w:fldCharType="end"/>
      </w:r>
    </w:p>
    <w:p w14:paraId="2A324B68">
      <w:pPr>
        <w:pStyle w:val="27"/>
        <w:rPr>
          <w:rFonts w:asciiTheme="minorHAnsi" w:hAnsiTheme="minorHAnsi" w:eastAsiaTheme="minorEastAsia" w:cstheme="minorBidi"/>
          <w:szCs w:val="22"/>
        </w:rPr>
      </w:pPr>
      <w:r>
        <w:fldChar w:fldCharType="begin"/>
      </w:r>
      <w:r>
        <w:instrText xml:space="preserve"> HYPERLINK \l "_Toc222392763" </w:instrText>
      </w:r>
      <w:r>
        <w:fldChar w:fldCharType="separate"/>
      </w:r>
      <w:r>
        <w:rPr>
          <w:rStyle w:val="36"/>
        </w:rPr>
        <w:t>6.3 力学性能</w:t>
      </w:r>
      <w:r>
        <w:tab/>
      </w:r>
      <w:r>
        <w:fldChar w:fldCharType="begin"/>
      </w:r>
      <w:r>
        <w:instrText xml:space="preserve"> PAGEREF _Toc222392763 \h </w:instrText>
      </w:r>
      <w:r>
        <w:fldChar w:fldCharType="separate"/>
      </w:r>
      <w:r>
        <w:t>7</w:t>
      </w:r>
      <w:r>
        <w:fldChar w:fldCharType="end"/>
      </w:r>
      <w:r>
        <w:fldChar w:fldCharType="end"/>
      </w:r>
    </w:p>
    <w:p w14:paraId="4D939D40">
      <w:pPr>
        <w:pStyle w:val="27"/>
        <w:rPr>
          <w:rFonts w:asciiTheme="minorHAnsi" w:hAnsiTheme="minorHAnsi" w:eastAsiaTheme="minorEastAsia" w:cstheme="minorBidi"/>
          <w:szCs w:val="22"/>
        </w:rPr>
      </w:pPr>
      <w:r>
        <w:fldChar w:fldCharType="begin"/>
      </w:r>
      <w:r>
        <w:instrText xml:space="preserve"> HYPERLINK \l "_Toc222392764" </w:instrText>
      </w:r>
      <w:r>
        <w:fldChar w:fldCharType="separate"/>
      </w:r>
      <w:r>
        <w:rPr>
          <w:rStyle w:val="36"/>
        </w:rPr>
        <w:t>6.4 防护性能</w:t>
      </w:r>
      <w:r>
        <w:tab/>
      </w:r>
      <w:r>
        <w:fldChar w:fldCharType="begin"/>
      </w:r>
      <w:r>
        <w:instrText xml:space="preserve"> PAGEREF _Toc222392764 \h </w:instrText>
      </w:r>
      <w:r>
        <w:fldChar w:fldCharType="separate"/>
      </w:r>
      <w:r>
        <w:t>8</w:t>
      </w:r>
      <w:r>
        <w:fldChar w:fldCharType="end"/>
      </w:r>
      <w:r>
        <w:fldChar w:fldCharType="end"/>
      </w:r>
    </w:p>
    <w:p w14:paraId="300441D9">
      <w:pPr>
        <w:pStyle w:val="22"/>
        <w:rPr>
          <w:rFonts w:asciiTheme="minorHAnsi" w:hAnsiTheme="minorHAnsi" w:eastAsiaTheme="minorEastAsia" w:cstheme="minorBidi"/>
          <w:szCs w:val="22"/>
        </w:rPr>
      </w:pPr>
      <w:r>
        <w:fldChar w:fldCharType="begin"/>
      </w:r>
      <w:r>
        <w:instrText xml:space="preserve"> HYPERLINK \l "_Toc222392765" </w:instrText>
      </w:r>
      <w:r>
        <w:fldChar w:fldCharType="separate"/>
      </w:r>
      <w:r>
        <w:rPr>
          <w:rStyle w:val="36"/>
        </w:rPr>
        <w:t>7 检验方法</w:t>
      </w:r>
      <w:r>
        <w:tab/>
      </w:r>
      <w:r>
        <w:fldChar w:fldCharType="begin"/>
      </w:r>
      <w:r>
        <w:instrText xml:space="preserve"> PAGEREF _Toc222392765 \h </w:instrText>
      </w:r>
      <w:r>
        <w:fldChar w:fldCharType="separate"/>
      </w:r>
      <w:r>
        <w:t>8</w:t>
      </w:r>
      <w:r>
        <w:fldChar w:fldCharType="end"/>
      </w:r>
      <w:r>
        <w:fldChar w:fldCharType="end"/>
      </w:r>
    </w:p>
    <w:p w14:paraId="632E0CC2">
      <w:pPr>
        <w:pStyle w:val="27"/>
        <w:rPr>
          <w:rFonts w:asciiTheme="minorHAnsi" w:hAnsiTheme="minorHAnsi" w:eastAsiaTheme="minorEastAsia" w:cstheme="minorBidi"/>
          <w:szCs w:val="22"/>
        </w:rPr>
      </w:pPr>
      <w:r>
        <w:fldChar w:fldCharType="begin"/>
      </w:r>
      <w:r>
        <w:instrText xml:space="preserve"> HYPERLINK \l "_Toc222392766" </w:instrText>
      </w:r>
      <w:r>
        <w:fldChar w:fldCharType="separate"/>
      </w:r>
      <w:r>
        <w:rPr>
          <w:rStyle w:val="36"/>
        </w:rPr>
        <w:t>7.1 外观质量与尺寸偏差</w:t>
      </w:r>
      <w:r>
        <w:tab/>
      </w:r>
      <w:r>
        <w:fldChar w:fldCharType="begin"/>
      </w:r>
      <w:r>
        <w:instrText xml:space="preserve"> PAGEREF _Toc222392766 \h </w:instrText>
      </w:r>
      <w:r>
        <w:fldChar w:fldCharType="separate"/>
      </w:r>
      <w:r>
        <w:t>8</w:t>
      </w:r>
      <w:r>
        <w:fldChar w:fldCharType="end"/>
      </w:r>
      <w:r>
        <w:fldChar w:fldCharType="end"/>
      </w:r>
    </w:p>
    <w:p w14:paraId="4CA7C1B1">
      <w:pPr>
        <w:pStyle w:val="27"/>
        <w:rPr>
          <w:rFonts w:asciiTheme="minorHAnsi" w:hAnsiTheme="minorHAnsi" w:eastAsiaTheme="minorEastAsia" w:cstheme="minorBidi"/>
          <w:szCs w:val="22"/>
        </w:rPr>
      </w:pPr>
      <w:r>
        <w:fldChar w:fldCharType="begin"/>
      </w:r>
      <w:r>
        <w:instrText xml:space="preserve"> HYPERLINK \l "_Toc222392767" </w:instrText>
      </w:r>
      <w:r>
        <w:fldChar w:fldCharType="separate"/>
      </w:r>
      <w:r>
        <w:rPr>
          <w:rStyle w:val="36"/>
        </w:rPr>
        <w:t>7.2 理化性能</w:t>
      </w:r>
      <w:r>
        <w:tab/>
      </w:r>
      <w:r>
        <w:fldChar w:fldCharType="begin"/>
      </w:r>
      <w:r>
        <w:instrText xml:space="preserve"> PAGEREF _Toc222392767 \h </w:instrText>
      </w:r>
      <w:r>
        <w:fldChar w:fldCharType="separate"/>
      </w:r>
      <w:r>
        <w:t>9</w:t>
      </w:r>
      <w:r>
        <w:fldChar w:fldCharType="end"/>
      </w:r>
      <w:r>
        <w:fldChar w:fldCharType="end"/>
      </w:r>
    </w:p>
    <w:p w14:paraId="5A92B9D0">
      <w:pPr>
        <w:pStyle w:val="27"/>
        <w:rPr>
          <w:rFonts w:asciiTheme="minorHAnsi" w:hAnsiTheme="minorHAnsi" w:eastAsiaTheme="minorEastAsia" w:cstheme="minorBidi"/>
          <w:szCs w:val="22"/>
        </w:rPr>
      </w:pPr>
      <w:r>
        <w:fldChar w:fldCharType="begin"/>
      </w:r>
      <w:r>
        <w:instrText xml:space="preserve"> HYPERLINK \l "_Toc222392768" </w:instrText>
      </w:r>
      <w:r>
        <w:fldChar w:fldCharType="separate"/>
      </w:r>
      <w:r>
        <w:rPr>
          <w:rStyle w:val="36"/>
        </w:rPr>
        <w:t>7.3 力学性能</w:t>
      </w:r>
      <w:r>
        <w:tab/>
      </w:r>
      <w:r>
        <w:fldChar w:fldCharType="begin"/>
      </w:r>
      <w:r>
        <w:instrText xml:space="preserve"> PAGEREF _Toc222392768 \h </w:instrText>
      </w:r>
      <w:r>
        <w:fldChar w:fldCharType="separate"/>
      </w:r>
      <w:r>
        <w:t>10</w:t>
      </w:r>
      <w:r>
        <w:fldChar w:fldCharType="end"/>
      </w:r>
      <w:r>
        <w:fldChar w:fldCharType="end"/>
      </w:r>
    </w:p>
    <w:p w14:paraId="0A0483F3">
      <w:pPr>
        <w:pStyle w:val="27"/>
        <w:rPr>
          <w:rFonts w:asciiTheme="minorHAnsi" w:hAnsiTheme="minorHAnsi" w:eastAsiaTheme="minorEastAsia" w:cstheme="minorBidi"/>
          <w:szCs w:val="22"/>
        </w:rPr>
      </w:pPr>
      <w:r>
        <w:fldChar w:fldCharType="begin"/>
      </w:r>
      <w:r>
        <w:instrText xml:space="preserve"> HYPERLINK \l "_Toc222392769" </w:instrText>
      </w:r>
      <w:r>
        <w:fldChar w:fldCharType="separate"/>
      </w:r>
      <w:r>
        <w:rPr>
          <w:rStyle w:val="36"/>
        </w:rPr>
        <w:t>7.4 防护性能</w:t>
      </w:r>
      <w:r>
        <w:tab/>
      </w:r>
      <w:r>
        <w:fldChar w:fldCharType="begin"/>
      </w:r>
      <w:r>
        <w:instrText xml:space="preserve"> PAGEREF _Toc222392769 \h </w:instrText>
      </w:r>
      <w:r>
        <w:fldChar w:fldCharType="separate"/>
      </w:r>
      <w:r>
        <w:t>11</w:t>
      </w:r>
      <w:r>
        <w:fldChar w:fldCharType="end"/>
      </w:r>
      <w:r>
        <w:fldChar w:fldCharType="end"/>
      </w:r>
    </w:p>
    <w:p w14:paraId="1E38F430">
      <w:pPr>
        <w:pStyle w:val="22"/>
        <w:rPr>
          <w:rFonts w:asciiTheme="minorHAnsi" w:hAnsiTheme="minorHAnsi" w:eastAsiaTheme="minorEastAsia" w:cstheme="minorBidi"/>
          <w:szCs w:val="22"/>
        </w:rPr>
      </w:pPr>
      <w:r>
        <w:fldChar w:fldCharType="begin"/>
      </w:r>
      <w:r>
        <w:instrText xml:space="preserve"> HYPERLINK \l "_Toc222392770" </w:instrText>
      </w:r>
      <w:r>
        <w:fldChar w:fldCharType="separate"/>
      </w:r>
      <w:r>
        <w:rPr>
          <w:rStyle w:val="36"/>
        </w:rPr>
        <w:t>8 包装、运输和贮存</w:t>
      </w:r>
      <w:r>
        <w:tab/>
      </w:r>
      <w:r>
        <w:fldChar w:fldCharType="begin"/>
      </w:r>
      <w:r>
        <w:instrText xml:space="preserve"> PAGEREF _Toc222392770 \h </w:instrText>
      </w:r>
      <w:r>
        <w:fldChar w:fldCharType="separate"/>
      </w:r>
      <w:r>
        <w:t>11</w:t>
      </w:r>
      <w:r>
        <w:fldChar w:fldCharType="end"/>
      </w:r>
      <w:r>
        <w:fldChar w:fldCharType="end"/>
      </w:r>
    </w:p>
    <w:p w14:paraId="13E22B1D">
      <w:pPr>
        <w:pStyle w:val="96"/>
        <w:spacing w:after="468"/>
        <w:sectPr>
          <w:headerReference r:id="rId9" w:type="default"/>
          <w:footerReference r:id="rId11" w:type="default"/>
          <w:headerReference r:id="rId10" w:type="even"/>
          <w:pgSz w:w="11906" w:h="16838"/>
          <w:pgMar w:top="2410" w:right="1134" w:bottom="1134" w:left="1134" w:header="1418" w:footer="1134" w:gutter="284"/>
          <w:pgNumType w:fmt="upperRoman" w:start="1"/>
          <w:cols w:space="425" w:num="1"/>
          <w:formProt w:val="0"/>
          <w:docGrid w:type="lines" w:linePitch="312" w:charSpace="0"/>
        </w:sectPr>
      </w:pPr>
      <w:r>
        <w:fldChar w:fldCharType="end"/>
      </w:r>
    </w:p>
    <w:bookmarkEnd w:id="13"/>
    <w:p w14:paraId="7A431B17">
      <w:pPr>
        <w:pStyle w:val="94"/>
        <w:spacing w:after="468"/>
      </w:pPr>
      <w:bookmarkStart w:id="15" w:name="_Toc222392751"/>
      <w:bookmarkStart w:id="16" w:name="BookMark2"/>
      <w:r>
        <w:rPr>
          <w:spacing w:val="320"/>
        </w:rPr>
        <w:t>前</w:t>
      </w:r>
      <w:r>
        <w:t>言</w:t>
      </w:r>
      <w:bookmarkEnd w:id="14"/>
      <w:bookmarkEnd w:id="15"/>
    </w:p>
    <w:p w14:paraId="4D2F3C34">
      <w:pPr>
        <w:pStyle w:val="61"/>
        <w:ind w:firstLine="420"/>
      </w:pPr>
      <w:r>
        <w:rPr>
          <w:rFonts w:hint="eastAsia"/>
        </w:rPr>
        <w:t>本文件按照GB/T 1.1—2020《标准化工作导则  第1部分：标准化文件的结构和起草规则》的规定起草。</w:t>
      </w:r>
    </w:p>
    <w:p w14:paraId="78100D4A">
      <w:pPr>
        <w:pStyle w:val="61"/>
        <w:ind w:firstLine="420"/>
      </w:pPr>
      <w:r>
        <w:rPr>
          <w:rFonts w:hint="eastAsia"/>
        </w:rPr>
        <w:t>请注意本文件的某些内容可能涉及专利。本文件的发布机构不承担识别专利的责任。</w:t>
      </w:r>
    </w:p>
    <w:p w14:paraId="0FC7F476">
      <w:pPr>
        <w:pStyle w:val="61"/>
        <w:ind w:firstLine="420"/>
      </w:pPr>
      <w:r>
        <w:rPr>
          <w:rFonts w:hint="eastAsia"/>
        </w:rPr>
        <w:t>本文件由中华人民共和国住房和城乡建设部提出</w:t>
      </w:r>
      <w:r>
        <w:rPr>
          <w:rFonts w:hint="eastAsia"/>
          <w:lang w:eastAsia="zh-CN"/>
        </w:rPr>
        <w:t>并归口</w:t>
      </w:r>
      <w:r>
        <w:rPr>
          <w:rFonts w:hint="eastAsia"/>
        </w:rPr>
        <w:t>。</w:t>
      </w:r>
    </w:p>
    <w:p w14:paraId="42FDF97A">
      <w:pPr>
        <w:pStyle w:val="61"/>
        <w:ind w:firstLine="420"/>
        <w:rPr>
          <w:rFonts w:hint="eastAsia"/>
        </w:rPr>
      </w:pPr>
      <w:r>
        <w:rPr>
          <w:rFonts w:hint="eastAsia"/>
        </w:rPr>
        <w:t>本文件起草单位：中国建筑标准设计研究院</w:t>
      </w:r>
      <w:r>
        <w:t>有限公司</w:t>
      </w:r>
      <w:r>
        <w:rPr>
          <w:rFonts w:hint="eastAsia"/>
        </w:rPr>
        <w:t>、上海市建筑科学研究院有限公司、中国林业科学研究院木材工业研究所、南京工业大学、东北林业大学、大连双华木结构建筑工程有限公司、清华大学、中国建筑设计研究院有限公司、广东明瑞建工有限公司、新疆冶金建设（集团）有限责任公司、上海隽执建筑科技有限公司、中林绿碳（北京）科技有限公司、中建三局集团有限公司、千年舟新材科技集团股份有限公司、上海市水利工程集团有限公司、北京建筑大学、河北工程大学、中国建筑金属结构协会。</w:t>
      </w:r>
    </w:p>
    <w:p w14:paraId="0943650E">
      <w:pPr>
        <w:pStyle w:val="61"/>
        <w:ind w:firstLine="420"/>
      </w:pPr>
      <w:r>
        <w:rPr>
          <w:rFonts w:hint="eastAsia"/>
        </w:rPr>
        <w:t>本文件主要起草人：左勇志、许清风、周海宾、杨会峰、谢启芳、闫续、陈溪、刘娟、陈志坚、施刚、孙海林、蔡学明、马小永、陈迪龙、毛林海、喻四纯、马同华、王晓嘉、祝磊、刘红波、骆晶、曹俊、周敬、刘跃军。</w:t>
      </w:r>
    </w:p>
    <w:p w14:paraId="2AD519E0">
      <w:pPr>
        <w:pStyle w:val="61"/>
        <w:ind w:firstLine="420"/>
      </w:pPr>
    </w:p>
    <w:p w14:paraId="4500D01D">
      <w:pPr>
        <w:pStyle w:val="61"/>
        <w:ind w:firstLine="420"/>
        <w:sectPr>
          <w:pgSz w:w="11906" w:h="16838"/>
          <w:pgMar w:top="2410" w:right="1134" w:bottom="1134" w:left="1134" w:header="1418" w:footer="1134" w:gutter="284"/>
          <w:pgNumType w:fmt="upperRoman"/>
          <w:cols w:space="425" w:num="1"/>
          <w:formProt w:val="0"/>
          <w:docGrid w:type="lines" w:linePitch="312" w:charSpace="0"/>
        </w:sectPr>
      </w:pPr>
    </w:p>
    <w:bookmarkEnd w:id="16"/>
    <w:p w14:paraId="5D28C878">
      <w:pPr>
        <w:spacing w:line="20" w:lineRule="exact"/>
        <w:jc w:val="center"/>
        <w:rPr>
          <w:rFonts w:ascii="黑体" w:hAnsi="黑体" w:eastAsia="黑体"/>
          <w:sz w:val="32"/>
          <w:szCs w:val="32"/>
        </w:rPr>
      </w:pPr>
      <w:bookmarkStart w:id="17" w:name="BookMark4"/>
    </w:p>
    <w:p w14:paraId="0D2A8D48">
      <w:pPr>
        <w:spacing w:line="20" w:lineRule="exact"/>
        <w:jc w:val="center"/>
        <w:rPr>
          <w:rFonts w:ascii="黑体" w:hAnsi="黑体" w:eastAsia="黑体"/>
          <w:sz w:val="32"/>
          <w:szCs w:val="32"/>
        </w:rPr>
      </w:pPr>
    </w:p>
    <w:sdt>
      <w:sdtPr>
        <w:tag w:val="NEW_STAND_NAME"/>
        <w:id w:val="595910757"/>
        <w:lock w:val="sdtLocked"/>
        <w:placeholder>
          <w:docPart w:val="58E45F41D6A448459BFFB57F8F66E8E6"/>
        </w:placeholder>
      </w:sdtPr>
      <w:sdtContent>
        <w:p w14:paraId="2937FD01">
          <w:pPr>
            <w:pStyle w:val="182"/>
            <w:spacing w:before="3" w:beforeLines="1" w:after="686" w:afterLines="220"/>
          </w:pPr>
          <w:bookmarkStart w:id="18" w:name="NEW_STAND_NAME"/>
          <w:r>
            <w:rPr>
              <w:rFonts w:hint="eastAsia"/>
            </w:rPr>
            <w:t>装配式建筑</w:t>
          </w:r>
          <w:r>
            <w:t xml:space="preserve"> </w:t>
          </w:r>
          <w:r>
            <w:rPr>
              <w:rFonts w:hint="eastAsia"/>
            </w:rPr>
            <w:t>木</w:t>
          </w:r>
          <w:r>
            <w:t xml:space="preserve">结构 </w:t>
          </w:r>
          <w:r>
            <w:rPr>
              <w:rFonts w:hint="eastAsia"/>
            </w:rPr>
            <w:t>承重</w:t>
          </w:r>
          <w:r>
            <w:t>构件通用技术</w:t>
          </w:r>
          <w:r>
            <w:rPr>
              <w:rFonts w:hint="eastAsia"/>
            </w:rPr>
            <w:t>条件</w:t>
          </w:r>
        </w:p>
      </w:sdtContent>
    </w:sdt>
    <w:bookmarkEnd w:id="18"/>
    <w:p w14:paraId="237DF2D4">
      <w:pPr>
        <w:pStyle w:val="109"/>
        <w:spacing w:before="312" w:after="312"/>
      </w:pPr>
      <w:bookmarkStart w:id="19" w:name="_Toc26986530"/>
      <w:bookmarkStart w:id="20" w:name="_Toc89104818"/>
      <w:bookmarkStart w:id="21" w:name="_Toc89120410"/>
      <w:bookmarkStart w:id="22" w:name="_Toc17233325"/>
      <w:bookmarkStart w:id="23" w:name="_Toc24884211"/>
      <w:bookmarkStart w:id="24" w:name="_Toc26986771"/>
      <w:bookmarkStart w:id="25" w:name="_Toc17233333"/>
      <w:bookmarkStart w:id="26" w:name="_Toc26718930"/>
      <w:bookmarkStart w:id="27" w:name="_Toc26648465"/>
      <w:bookmarkStart w:id="28" w:name="_Toc24884218"/>
      <w:bookmarkStart w:id="29" w:name="_Toc222392752"/>
      <w:r>
        <w:rPr>
          <w:rFonts w:hint="eastAsia"/>
        </w:rPr>
        <w:t>范围</w:t>
      </w:r>
      <w:bookmarkEnd w:id="19"/>
      <w:bookmarkEnd w:id="20"/>
      <w:bookmarkEnd w:id="21"/>
      <w:bookmarkEnd w:id="22"/>
      <w:bookmarkEnd w:id="23"/>
      <w:bookmarkEnd w:id="24"/>
      <w:bookmarkEnd w:id="25"/>
      <w:bookmarkEnd w:id="26"/>
      <w:bookmarkEnd w:id="27"/>
      <w:bookmarkEnd w:id="28"/>
      <w:bookmarkEnd w:id="29"/>
    </w:p>
    <w:p w14:paraId="6888770B">
      <w:pPr>
        <w:pStyle w:val="61"/>
        <w:ind w:firstLine="420"/>
      </w:pPr>
      <w:bookmarkStart w:id="30" w:name="_Toc26648466"/>
      <w:bookmarkStart w:id="31" w:name="_Toc24884212"/>
      <w:bookmarkStart w:id="32" w:name="_Toc17233326"/>
      <w:bookmarkStart w:id="33" w:name="_Toc17233334"/>
      <w:bookmarkStart w:id="34" w:name="_Toc24884219"/>
      <w:r>
        <w:rPr>
          <w:rFonts w:hint="eastAsia"/>
        </w:rPr>
        <w:t>本文件规定了装配式木结构建筑承重木构件的分类和标识、基本规定、预制构件要求、检验方法和包装、运输和贮存。</w:t>
      </w:r>
    </w:p>
    <w:p w14:paraId="729EAEC2">
      <w:pPr>
        <w:pStyle w:val="61"/>
        <w:ind w:firstLine="420"/>
      </w:pPr>
      <w:r>
        <w:rPr>
          <w:rFonts w:hint="eastAsia"/>
        </w:rPr>
        <w:t>本文件适用于装配式木结构建筑中的木柱、木梁、木墙、木楼盖、木屋盖、木桁架、木拱等承重木构件的通用技术条件要求。</w:t>
      </w:r>
    </w:p>
    <w:p w14:paraId="26D65B2E">
      <w:pPr>
        <w:pStyle w:val="109"/>
        <w:spacing w:before="312" w:after="312"/>
      </w:pPr>
      <w:bookmarkStart w:id="35" w:name="_Toc89104819"/>
      <w:bookmarkStart w:id="36" w:name="_Toc89120411"/>
      <w:bookmarkStart w:id="37" w:name="_Toc26986531"/>
      <w:bookmarkStart w:id="38" w:name="_Toc26986772"/>
      <w:bookmarkStart w:id="39" w:name="_Toc26718931"/>
      <w:bookmarkStart w:id="40" w:name="_Toc222392753"/>
      <w:r>
        <w:rPr>
          <w:rFonts w:hint="eastAsia"/>
        </w:rPr>
        <w:t>规范性引用文件</w:t>
      </w:r>
      <w:bookmarkEnd w:id="30"/>
      <w:bookmarkEnd w:id="31"/>
      <w:bookmarkEnd w:id="32"/>
      <w:bookmarkEnd w:id="33"/>
      <w:bookmarkEnd w:id="34"/>
      <w:bookmarkEnd w:id="35"/>
      <w:bookmarkEnd w:id="36"/>
      <w:bookmarkEnd w:id="37"/>
      <w:bookmarkEnd w:id="38"/>
      <w:bookmarkEnd w:id="39"/>
      <w:bookmarkEnd w:id="40"/>
    </w:p>
    <w:sdt>
      <w:sdtPr>
        <w:rPr>
          <w:rFonts w:hint="eastAsia"/>
        </w:rPr>
        <w:id w:val="715848253"/>
        <w:placeholder>
          <w:docPart w:val="6B3AF853F09546DD9B78BAA518E1F39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4B2C1BE4">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0E31A14">
      <w:pPr>
        <w:pStyle w:val="61"/>
        <w:ind w:firstLine="420"/>
      </w:pPr>
      <w:r>
        <w:rPr>
          <w:rFonts w:hint="eastAsia"/>
        </w:rPr>
        <w:t>GB 8624        建筑材料及制品燃烧性能分级</w:t>
      </w:r>
    </w:p>
    <w:p w14:paraId="6644FD45">
      <w:pPr>
        <w:pStyle w:val="61"/>
        <w:ind w:firstLine="420"/>
      </w:pPr>
      <w:r>
        <w:rPr>
          <w:rFonts w:hint="eastAsia"/>
        </w:rPr>
        <w:t>GB 18580       室内装饰装修材料 人造板及其制品中甲醛释放限量</w:t>
      </w:r>
    </w:p>
    <w:p w14:paraId="53B4C0F4">
      <w:pPr>
        <w:pStyle w:val="61"/>
        <w:ind w:firstLine="420"/>
      </w:pPr>
      <w:r>
        <w:t>GB/T 23229</w:t>
      </w:r>
      <w:r>
        <w:rPr>
          <w:rFonts w:hint="eastAsia"/>
        </w:rPr>
        <w:t xml:space="preserve">     水载型木材防腐剂的分析方法</w:t>
      </w:r>
    </w:p>
    <w:p w14:paraId="116D1ED3">
      <w:pPr>
        <w:pStyle w:val="61"/>
        <w:ind w:firstLine="420"/>
      </w:pPr>
      <w:r>
        <w:t xml:space="preserve">GB/T 26899     </w:t>
      </w:r>
      <w:r>
        <w:rPr>
          <w:rFonts w:hint="eastAsia"/>
        </w:rPr>
        <w:t>结构用集成材</w:t>
      </w:r>
    </w:p>
    <w:p w14:paraId="5D681793">
      <w:pPr>
        <w:pStyle w:val="61"/>
        <w:ind w:firstLine="420"/>
      </w:pPr>
      <w:r>
        <w:t>GB/T 27651</w:t>
      </w:r>
      <w:r>
        <w:rPr>
          <w:rFonts w:hint="eastAsia"/>
        </w:rPr>
        <w:t xml:space="preserve">     防腐木材的使用分类和要求</w:t>
      </w:r>
    </w:p>
    <w:p w14:paraId="1D7AD6D5">
      <w:pPr>
        <w:pStyle w:val="61"/>
        <w:ind w:firstLine="420"/>
      </w:pPr>
      <w:r>
        <w:t>GB/T 27654</w:t>
      </w:r>
      <w:r>
        <w:rPr>
          <w:rFonts w:hint="eastAsia"/>
        </w:rPr>
        <w:t xml:space="preserve">     木材防腐剂</w:t>
      </w:r>
    </w:p>
    <w:p w14:paraId="1E24C1E3">
      <w:pPr>
        <w:pStyle w:val="61"/>
        <w:ind w:firstLine="420"/>
      </w:pPr>
      <w:r>
        <w:t xml:space="preserve">GB/T 29407     </w:t>
      </w:r>
      <w:r>
        <w:rPr>
          <w:rFonts w:hint="eastAsia"/>
        </w:rPr>
        <w:t>阻燃木材及阻燃人造板生产技术规范</w:t>
      </w:r>
    </w:p>
    <w:p w14:paraId="282D479E">
      <w:pPr>
        <w:pStyle w:val="61"/>
        <w:ind w:firstLine="420"/>
      </w:pPr>
      <w:r>
        <w:rPr>
          <w:rFonts w:hint="eastAsia"/>
        </w:rPr>
        <w:t>GB</w:t>
      </w:r>
      <w:r>
        <w:t>/T</w:t>
      </w:r>
      <w:r>
        <w:rPr>
          <w:rFonts w:hint="eastAsia"/>
        </w:rPr>
        <w:t xml:space="preserve"> </w:t>
      </w:r>
      <w:r>
        <w:t xml:space="preserve">40048     </w:t>
      </w:r>
      <w:r>
        <w:rPr>
          <w:rFonts w:hint="eastAsia"/>
        </w:rPr>
        <w:t>木质结构材螺栓连接力学性能测试方法</w:t>
      </w:r>
    </w:p>
    <w:p w14:paraId="7A263BBC">
      <w:pPr>
        <w:pStyle w:val="61"/>
        <w:ind w:firstLine="420"/>
      </w:pPr>
      <w:r>
        <w:rPr>
          <w:rFonts w:hint="eastAsia"/>
        </w:rPr>
        <w:t>GB 50005       木结构设计标准</w:t>
      </w:r>
    </w:p>
    <w:p w14:paraId="7D5D6963">
      <w:pPr>
        <w:pStyle w:val="61"/>
        <w:ind w:firstLine="420"/>
      </w:pPr>
      <w:r>
        <w:rPr>
          <w:rFonts w:hint="eastAsia"/>
        </w:rPr>
        <w:t>GB 50016       建筑设计防火规范</w:t>
      </w:r>
    </w:p>
    <w:p w14:paraId="15DA1BD3">
      <w:pPr>
        <w:pStyle w:val="61"/>
        <w:ind w:firstLine="420"/>
      </w:pPr>
      <w:r>
        <w:rPr>
          <w:rFonts w:hint="eastAsia"/>
        </w:rPr>
        <w:t>GB 50206       木结构工程施工质量验收规范</w:t>
      </w:r>
    </w:p>
    <w:p w14:paraId="503197E4">
      <w:pPr>
        <w:pStyle w:val="61"/>
        <w:ind w:firstLine="420"/>
      </w:pPr>
      <w:r>
        <w:rPr>
          <w:rFonts w:hint="eastAsia"/>
        </w:rPr>
        <w:t>GB/T 50329     木结构试验方法标准</w:t>
      </w:r>
    </w:p>
    <w:p w14:paraId="45514775">
      <w:pPr>
        <w:pStyle w:val="61"/>
        <w:ind w:firstLine="420"/>
      </w:pPr>
      <w:r>
        <w:rPr>
          <w:rFonts w:hint="eastAsia"/>
        </w:rPr>
        <w:t>GB/T 50708     胶合木结构技术规范</w:t>
      </w:r>
    </w:p>
    <w:p w14:paraId="21EF59A0">
      <w:pPr>
        <w:pStyle w:val="61"/>
        <w:ind w:firstLine="420"/>
      </w:pPr>
      <w:r>
        <w:rPr>
          <w:rFonts w:hint="eastAsia"/>
        </w:rPr>
        <w:t>GB/T 50772     木结构工程施工规范</w:t>
      </w:r>
    </w:p>
    <w:p w14:paraId="02395F05">
      <w:pPr>
        <w:pStyle w:val="61"/>
        <w:ind w:firstLine="420"/>
      </w:pPr>
      <w:r>
        <w:rPr>
          <w:rFonts w:hint="eastAsia"/>
        </w:rPr>
        <w:t>GB/T 51226     多高层木结构建筑技术标准</w:t>
      </w:r>
    </w:p>
    <w:p w14:paraId="314FB09E">
      <w:pPr>
        <w:pStyle w:val="61"/>
        <w:ind w:firstLine="420"/>
      </w:pPr>
      <w:r>
        <w:rPr>
          <w:rFonts w:hint="eastAsia"/>
        </w:rPr>
        <w:t>GB/T 51233     装配式木结构建筑技术标准</w:t>
      </w:r>
    </w:p>
    <w:p w14:paraId="2738D954">
      <w:pPr>
        <w:pStyle w:val="61"/>
        <w:ind w:firstLine="420"/>
      </w:pPr>
      <w:r>
        <w:t>JGJ/T 101</w:t>
      </w:r>
      <w:r>
        <w:rPr>
          <w:rFonts w:hint="eastAsia"/>
        </w:rPr>
        <w:t xml:space="preserve">      建筑抗震试验规程</w:t>
      </w:r>
    </w:p>
    <w:p w14:paraId="03F3DCA5">
      <w:pPr>
        <w:pStyle w:val="61"/>
        <w:ind w:firstLine="420"/>
      </w:pPr>
      <w:r>
        <w:rPr>
          <w:rFonts w:hint="eastAsia"/>
        </w:rPr>
        <w:t xml:space="preserve">LY/T </w:t>
      </w:r>
      <w:r>
        <w:t>2374</w:t>
      </w:r>
      <w:r>
        <w:rPr>
          <w:rFonts w:hint="eastAsia"/>
        </w:rPr>
        <w:t xml:space="preserve">      防腐木材和阻燃木材中有效药剂透入度测试方法</w:t>
      </w:r>
    </w:p>
    <w:p w14:paraId="7E982FC5">
      <w:pPr>
        <w:pStyle w:val="109"/>
        <w:spacing w:before="312" w:after="312"/>
      </w:pPr>
      <w:bookmarkStart w:id="41" w:name="_Toc89120412"/>
      <w:bookmarkStart w:id="42" w:name="_Toc222392754"/>
      <w:bookmarkStart w:id="43" w:name="_Toc89104820"/>
      <w:r>
        <w:rPr>
          <w:rFonts w:hint="eastAsia"/>
          <w:szCs w:val="21"/>
        </w:rPr>
        <w:t>术语和定义</w:t>
      </w:r>
      <w:bookmarkEnd w:id="41"/>
      <w:bookmarkEnd w:id="42"/>
      <w:bookmarkEnd w:id="43"/>
    </w:p>
    <w:sdt>
      <w:sdtPr>
        <w:id w:val="-1909835108"/>
        <w:placeholder>
          <w:docPart w:val="6B3AF853F09546DD9B78BAA518E1F39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E54ACC1">
          <w:pPr>
            <w:pStyle w:val="61"/>
            <w:ind w:firstLine="420"/>
          </w:pPr>
          <w:bookmarkStart w:id="44" w:name="_Toc26986532"/>
          <w:bookmarkEnd w:id="44"/>
          <w:r>
            <w:rPr>
              <w:rFonts w:hint="eastAsia"/>
            </w:rPr>
            <w:t>下列术语和定义适用于本文件。</w:t>
          </w:r>
        </w:p>
      </w:sdtContent>
    </w:sdt>
    <w:p w14:paraId="50F9036C">
      <w:pPr>
        <w:pStyle w:val="228"/>
        <w:ind w:left="420" w:hanging="420" w:hangingChars="200"/>
        <w:rPr>
          <w:rFonts w:ascii="Times New Roman" w:eastAsia="黑体"/>
        </w:rPr>
      </w:pPr>
      <w:r>
        <w:rPr>
          <w:rFonts w:ascii="Times New Roman" w:eastAsia="黑体"/>
        </w:rPr>
        <w:br w:type="textWrapping"/>
      </w:r>
      <w:r>
        <w:rPr>
          <w:rFonts w:ascii="Times New Roman" w:eastAsia="黑体"/>
        </w:rPr>
        <w:t>装配式木结构建筑 prefabricated timber buildings</w:t>
      </w:r>
    </w:p>
    <w:p w14:paraId="63CC1825">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建筑的结构系统由木结构承重构件组成的装配式建筑。</w:t>
      </w:r>
    </w:p>
    <w:p w14:paraId="0F184F6E">
      <w:pPr>
        <w:widowControl/>
        <w:autoSpaceDE w:val="0"/>
        <w:autoSpaceDN w:val="0"/>
        <w:adjustRightInd/>
        <w:spacing w:line="240" w:lineRule="auto"/>
        <w:ind w:firstLine="420" w:firstLineChars="200"/>
        <w:rPr>
          <w:rFonts w:ascii="Times New Roman" w:hAnsi="Times New Roman"/>
        </w:rPr>
      </w:pPr>
      <w:r>
        <w:rPr>
          <w:rFonts w:ascii="Times New Roman" w:hAnsi="Times New Roman"/>
          <w:kern w:val="0"/>
          <w:szCs w:val="20"/>
        </w:rPr>
        <w:t>[来源：GB/T 51233-2016，2.0.2]</w:t>
      </w:r>
    </w:p>
    <w:p w14:paraId="264C0E0E">
      <w:pPr>
        <w:pStyle w:val="228"/>
        <w:ind w:left="420" w:hanging="420" w:hangingChars="200"/>
        <w:rPr>
          <w:rFonts w:ascii="Times New Roman" w:eastAsia="黑体"/>
        </w:rPr>
      </w:pPr>
    </w:p>
    <w:p w14:paraId="2CCEAF3D">
      <w:pPr>
        <w:pStyle w:val="228"/>
        <w:numPr>
          <w:ilvl w:val="0"/>
          <w:numId w:val="0"/>
        </w:numPr>
        <w:ind w:left="420"/>
        <w:rPr>
          <w:rFonts w:ascii="Times New Roman" w:eastAsia="黑体"/>
        </w:rPr>
      </w:pPr>
      <w:r>
        <w:rPr>
          <w:rFonts w:ascii="Times New Roman" w:eastAsia="黑体"/>
        </w:rPr>
        <w:t>装配式木结构 prefabricated timber structure</w:t>
      </w:r>
    </w:p>
    <w:p w14:paraId="74821050">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采用工厂预制的木结构组件和部品，以现场装配为主要手段建造而成的结构。包括装配式纯木结构、装配式木混合结构等。</w:t>
      </w:r>
    </w:p>
    <w:p w14:paraId="2FE64EC0">
      <w:pPr>
        <w:widowControl/>
        <w:autoSpaceDE w:val="0"/>
        <w:autoSpaceDN w:val="0"/>
        <w:adjustRightInd/>
        <w:spacing w:line="240" w:lineRule="auto"/>
        <w:ind w:firstLine="420" w:firstLineChars="200"/>
        <w:rPr>
          <w:rFonts w:ascii="Times New Roman" w:hAnsi="Times New Roman"/>
        </w:rPr>
      </w:pPr>
      <w:r>
        <w:rPr>
          <w:rFonts w:ascii="Times New Roman" w:hAnsi="Times New Roman"/>
          <w:kern w:val="0"/>
          <w:szCs w:val="20"/>
        </w:rPr>
        <w:t>[来源：GB/T 51233-2016，2.0.3]</w:t>
      </w:r>
    </w:p>
    <w:p w14:paraId="4E318D0A">
      <w:pPr>
        <w:widowControl/>
        <w:numPr>
          <w:ilvl w:val="2"/>
          <w:numId w:val="2"/>
        </w:numPr>
        <w:adjustRightInd/>
        <w:spacing w:line="240" w:lineRule="auto"/>
        <w:ind w:left="420" w:hanging="420" w:hangingChars="200"/>
        <w:rPr>
          <w:rFonts w:ascii="Times New Roman" w:hAnsi="Times New Roman" w:eastAsia="黑体"/>
        </w:rPr>
      </w:pPr>
      <w:r>
        <w:rPr>
          <w:rFonts w:ascii="Times New Roman" w:hAnsi="Times New Roman"/>
        </w:rPr>
        <w:br w:type="textWrapping"/>
      </w:r>
      <w:r>
        <w:rPr>
          <w:rFonts w:ascii="Times New Roman" w:hAnsi="Times New Roman" w:eastAsia="黑体"/>
          <w:kern w:val="0"/>
          <w:szCs w:val="20"/>
        </w:rPr>
        <w:t>装配式承重木构件 prefabricated timer load-bearing member</w:t>
      </w:r>
    </w:p>
    <w:p w14:paraId="4036B319">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由工厂制作、现场安装，并具有单一或复合功能的，用于组合成装配式木结构建筑的基本承重单元，简称承重构件。</w:t>
      </w:r>
    </w:p>
    <w:p w14:paraId="249888B1">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木柱 timber column</w:t>
      </w:r>
    </w:p>
    <w:p w14:paraId="2CC57A0C">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采用原木、方木或胶合木制作的柱。</w:t>
      </w:r>
    </w:p>
    <w:p w14:paraId="5035B8F3">
      <w:pPr>
        <w:widowControl/>
        <w:numPr>
          <w:ilvl w:val="2"/>
          <w:numId w:val="2"/>
        </w:numPr>
        <w:adjustRightInd/>
        <w:spacing w:line="240" w:lineRule="auto"/>
        <w:ind w:left="420" w:hanging="420" w:hangingChars="200"/>
        <w:rPr>
          <w:rFonts w:ascii="Times New Roman" w:hAnsi="Times New Roman" w:eastAsia="黑体"/>
          <w:kern w:val="0"/>
          <w:szCs w:val="20"/>
        </w:rPr>
      </w:pPr>
    </w:p>
    <w:p w14:paraId="5947BC51">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木梁 timber beam</w:t>
      </w:r>
    </w:p>
    <w:p w14:paraId="36D2667D">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采用原木、锯材或胶合木制作的</w:t>
      </w:r>
      <w:r>
        <w:rPr>
          <w:rFonts w:ascii="Times New Roman" w:hAnsi="Times New Roman"/>
          <w:shd w:val="clear" w:color="auto" w:fill="FFFFFF"/>
        </w:rPr>
        <w:t>梁</w:t>
      </w:r>
      <w:r>
        <w:rPr>
          <w:rFonts w:ascii="Times New Roman" w:hAnsi="Times New Roman"/>
          <w:kern w:val="0"/>
          <w:szCs w:val="20"/>
        </w:rPr>
        <w:t>。</w:t>
      </w:r>
    </w:p>
    <w:p w14:paraId="4F9D1432">
      <w:pPr>
        <w:widowControl/>
        <w:numPr>
          <w:ilvl w:val="2"/>
          <w:numId w:val="2"/>
        </w:numPr>
        <w:adjustRightInd/>
        <w:spacing w:line="240" w:lineRule="auto"/>
        <w:ind w:left="420" w:hanging="420" w:hangingChars="200"/>
        <w:rPr>
          <w:rFonts w:ascii="Times New Roman" w:hAnsi="Times New Roman" w:eastAsia="黑体"/>
          <w:kern w:val="0"/>
          <w:szCs w:val="20"/>
        </w:rPr>
      </w:pPr>
    </w:p>
    <w:p w14:paraId="486178EC">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木墙 timber wall</w:t>
      </w:r>
    </w:p>
    <w:p w14:paraId="030CEDD2">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采用原木、规格材、木基结构板、正交胶合木等制作的墙体。</w:t>
      </w:r>
    </w:p>
    <w:p w14:paraId="779A36F1">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木楼盖 timber floor system</w:t>
      </w:r>
    </w:p>
    <w:p w14:paraId="3A7F9C15">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采用原木、规格材、木基结构板、正交胶合木等制作的楼盖。</w:t>
      </w:r>
    </w:p>
    <w:p w14:paraId="1FBF01D4">
      <w:pPr>
        <w:widowControl/>
        <w:numPr>
          <w:ilvl w:val="2"/>
          <w:numId w:val="2"/>
        </w:numPr>
        <w:adjustRightInd/>
        <w:spacing w:line="240" w:lineRule="auto"/>
        <w:ind w:left="420" w:hanging="420" w:hangingChars="200"/>
        <w:rPr>
          <w:rFonts w:ascii="Times New Roman" w:hAnsi="Times New Roman" w:eastAsia="黑体"/>
          <w:kern w:val="0"/>
          <w:szCs w:val="20"/>
        </w:rPr>
      </w:pPr>
    </w:p>
    <w:p w14:paraId="09F4ADCE">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木屋盖 timber structural roof-decking</w:t>
      </w:r>
    </w:p>
    <w:p w14:paraId="7E708292">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采用原木、规格材、木基结构板、正交胶合木等制作的屋盖。</w:t>
      </w:r>
    </w:p>
    <w:p w14:paraId="04E04C7E">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木桁架 timber truss</w:t>
      </w:r>
    </w:p>
    <w:p w14:paraId="3E9612A4">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采用原木、胶合木、规格材制作桁架杆件，并在节点处将各杆件连接而形成的桁架。</w:t>
      </w:r>
    </w:p>
    <w:p w14:paraId="06B91B92">
      <w:pPr>
        <w:widowControl/>
        <w:numPr>
          <w:ilvl w:val="2"/>
          <w:numId w:val="2"/>
        </w:numPr>
        <w:adjustRightInd/>
        <w:spacing w:line="240" w:lineRule="auto"/>
        <w:ind w:left="420" w:hanging="420" w:hangingChars="200"/>
        <w:rPr>
          <w:rFonts w:ascii="Times New Roman" w:hAnsi="Times New Roman" w:eastAsia="黑体"/>
          <w:kern w:val="0"/>
          <w:szCs w:val="20"/>
        </w:rPr>
      </w:pPr>
    </w:p>
    <w:p w14:paraId="31C47F02">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木拱 timber arch</w:t>
      </w:r>
    </w:p>
    <w:p w14:paraId="5CA35C30">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由胶合木制作的主要承受轴向压力的曲线或折线形承重构件，有时也承受弯矩、剪力或扭矩。</w:t>
      </w:r>
    </w:p>
    <w:p w14:paraId="015FCA03">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原木 log</w:t>
      </w:r>
    </w:p>
    <w:p w14:paraId="7DE398FE">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伐倒树干经打枝和造材加工而成的木段。</w:t>
      </w:r>
    </w:p>
    <w:p w14:paraId="3E5D05E8">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50005-2017，2.1.2]</w:t>
      </w:r>
    </w:p>
    <w:p w14:paraId="6C8DEB6E">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锯材 sawn timber</w:t>
      </w:r>
    </w:p>
    <w:p w14:paraId="6192F2FE">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原木经制材加工而成的成品材或半成品材，分为板材与方材。</w:t>
      </w:r>
    </w:p>
    <w:p w14:paraId="0F819F46">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50005-2017，2.1.3]</w:t>
      </w:r>
    </w:p>
    <w:p w14:paraId="17278BBC">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方木 square timber</w:t>
      </w:r>
    </w:p>
    <w:p w14:paraId="49484D19">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直角锯切且宽厚比小于3的锯材，又称方材。</w:t>
      </w:r>
    </w:p>
    <w:p w14:paraId="616DDA4B">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50005-2017，2.1.4]</w:t>
      </w:r>
    </w:p>
    <w:p w14:paraId="0FEBD937">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板材 plank</w:t>
      </w:r>
    </w:p>
    <w:p w14:paraId="2EFFECBA">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直角锯切且宽厚比大于或者等于3的锯材。</w:t>
      </w:r>
    </w:p>
    <w:p w14:paraId="4FE4EC11">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50005-2017，2.1.5]</w:t>
      </w:r>
    </w:p>
    <w:p w14:paraId="538FC03B">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规格材 dimension lumber</w:t>
      </w:r>
    </w:p>
    <w:p w14:paraId="5831B403">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木材截面的宽度和高度按规定尺寸加工的规格化木材。</w:t>
      </w:r>
    </w:p>
    <w:p w14:paraId="4061A0D7">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50005-2017，2.1.6]</w:t>
      </w:r>
    </w:p>
    <w:p w14:paraId="7F66194F">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胶合木 structural laminated timber</w:t>
      </w:r>
    </w:p>
    <w:p w14:paraId="5CD393A2">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以厚度20 mm ~ 45 mm的板材，沿顺纹方向叠层胶合而成的木制品。</w:t>
      </w:r>
    </w:p>
    <w:p w14:paraId="75ED7E82">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[来源：GB/T 50708-2012，2.1.1]</w:t>
      </w:r>
    </w:p>
    <w:p w14:paraId="23D94F77">
      <w:pPr>
        <w:widowControl/>
        <w:numPr>
          <w:ilvl w:val="2"/>
          <w:numId w:val="2"/>
        </w:numPr>
        <w:adjustRightInd/>
        <w:spacing w:line="240" w:lineRule="auto"/>
        <w:ind w:left="420" w:hanging="420" w:hangingChars="200"/>
        <w:rPr>
          <w:rFonts w:ascii="Times New Roman" w:hAnsi="Times New Roman" w:eastAsia="黑体"/>
          <w:kern w:val="0"/>
          <w:szCs w:val="20"/>
        </w:rPr>
      </w:pPr>
    </w:p>
    <w:p w14:paraId="5965E588">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正交胶合木 cross laminated timber</w:t>
      </w:r>
    </w:p>
    <w:p w14:paraId="0AC01B7C">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以厚度15 mm ~ 45 mm的层板相互叠层正交组胚后胶合而成的木制品。</w:t>
      </w:r>
    </w:p>
    <w:p w14:paraId="1BA20F0A">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50005-2017，2.1.14]</w:t>
      </w:r>
    </w:p>
    <w:p w14:paraId="5927731C">
      <w:pPr>
        <w:widowControl/>
        <w:numPr>
          <w:ilvl w:val="2"/>
          <w:numId w:val="2"/>
        </w:numPr>
        <w:adjustRightInd/>
        <w:spacing w:line="240" w:lineRule="auto"/>
        <w:ind w:left="420" w:hanging="420" w:hangingChars="200"/>
        <w:rPr>
          <w:rFonts w:ascii="Times New Roman" w:hAnsi="Times New Roman" w:eastAsia="黑体"/>
          <w:kern w:val="0"/>
          <w:szCs w:val="20"/>
        </w:rPr>
      </w:pPr>
    </w:p>
    <w:p w14:paraId="7DBF32BB">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木基结构板 wood-based structural panels</w:t>
      </w:r>
    </w:p>
    <w:p w14:paraId="63AEA02B">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以木质单板或木片为原料，采用结构胶粘剂热压制成的承重板材，包括结构胶合板和定向木片板。</w:t>
      </w:r>
    </w:p>
    <w:p w14:paraId="279AB6F5">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50005-2017，2.1.21]</w:t>
      </w:r>
    </w:p>
    <w:p w14:paraId="747C6F54">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木基结构板剪力墙 shear wall of wood-based structural panels</w:t>
      </w:r>
    </w:p>
    <w:p w14:paraId="19F00DC2">
      <w:pPr>
        <w:widowControl/>
        <w:adjustRightInd/>
        <w:spacing w:line="240" w:lineRule="auto"/>
        <w:ind w:firstLine="420" w:firstLineChars="200"/>
        <w:rPr>
          <w:rFonts w:ascii="Times New Roman" w:hAnsi="Times New Roman"/>
          <w:kern w:val="0"/>
          <w:szCs w:val="20"/>
        </w:rPr>
      </w:pPr>
      <w:r>
        <w:rPr>
          <w:rFonts w:ascii="Times New Roman" w:hAnsi="Times New Roman"/>
          <w:kern w:val="0"/>
          <w:szCs w:val="20"/>
        </w:rPr>
        <w:t>面层采用木基结构板，墙骨柱或间柱采用规格材、方木或胶合木而构成的，用于承受竖向和水平作用的墙体。</w:t>
      </w:r>
    </w:p>
    <w:p w14:paraId="0BEAB065">
      <w:pPr>
        <w:widowControl/>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50005-2017，2.1.22]</w:t>
      </w:r>
    </w:p>
    <w:p w14:paraId="2D3FF072">
      <w:pPr>
        <w:widowControl/>
        <w:numPr>
          <w:ilvl w:val="2"/>
          <w:numId w:val="2"/>
        </w:numPr>
        <w:adjustRightInd/>
        <w:spacing w:line="240" w:lineRule="auto"/>
        <w:ind w:left="420" w:hanging="420" w:hangingChars="200"/>
        <w:rPr>
          <w:rFonts w:ascii="Times New Roman" w:hAnsi="Times New Roman" w:eastAsia="黑体"/>
          <w:kern w:val="0"/>
          <w:szCs w:val="20"/>
        </w:rPr>
      </w:pPr>
    </w:p>
    <w:p w14:paraId="33EF6B47">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木基结构板楼盖 floor system of wood-based structural panels</w:t>
      </w:r>
    </w:p>
    <w:p w14:paraId="4B9082FC">
      <w:pPr>
        <w:widowControl/>
        <w:adjustRightInd/>
        <w:spacing w:line="240" w:lineRule="auto"/>
        <w:ind w:firstLine="420" w:firstLineChars="200"/>
        <w:rPr>
          <w:rFonts w:ascii="Times New Roman" w:hAnsi="Times New Roman"/>
          <w:kern w:val="0"/>
          <w:szCs w:val="20"/>
        </w:rPr>
      </w:pPr>
      <w:r>
        <w:rPr>
          <w:rFonts w:ascii="Times New Roman" w:hAnsi="Times New Roman"/>
          <w:kern w:val="0"/>
          <w:szCs w:val="20"/>
        </w:rPr>
        <w:t>面层采用木基结构板，格栅采用规格材、方木或胶合木而构成的楼盖。</w:t>
      </w:r>
    </w:p>
    <w:p w14:paraId="4BE01894">
      <w:pPr>
        <w:widowControl/>
        <w:numPr>
          <w:ilvl w:val="2"/>
          <w:numId w:val="2"/>
        </w:numPr>
        <w:adjustRightInd/>
        <w:spacing w:line="240" w:lineRule="auto"/>
        <w:ind w:left="420" w:hanging="420" w:hangingChars="200"/>
        <w:rPr>
          <w:rFonts w:ascii="Times New Roman" w:hAnsi="Times New Roman" w:eastAsia="黑体"/>
          <w:kern w:val="0"/>
          <w:szCs w:val="20"/>
        </w:rPr>
      </w:pPr>
    </w:p>
    <w:p w14:paraId="2528E245">
      <w:pPr>
        <w:widowControl/>
        <w:adjustRightInd/>
        <w:spacing w:line="240" w:lineRule="auto"/>
        <w:ind w:left="420"/>
        <w:rPr>
          <w:rFonts w:ascii="Times New Roman" w:hAnsi="Times New Roman" w:eastAsia="黑体"/>
          <w:kern w:val="0"/>
          <w:szCs w:val="20"/>
        </w:rPr>
      </w:pPr>
      <w:r>
        <w:rPr>
          <w:rFonts w:ascii="Times New Roman" w:hAnsi="Times New Roman" w:eastAsia="黑体"/>
          <w:kern w:val="0"/>
          <w:szCs w:val="20"/>
        </w:rPr>
        <w:t>木基结构板屋盖 roof system of wood-based structural panels</w:t>
      </w:r>
    </w:p>
    <w:p w14:paraId="02B5E17E">
      <w:pPr>
        <w:widowControl/>
        <w:adjustRightInd/>
        <w:spacing w:line="240" w:lineRule="auto"/>
        <w:ind w:firstLine="420" w:firstLineChars="200"/>
        <w:rPr>
          <w:rFonts w:ascii="Times New Roman" w:hAnsi="Times New Roman"/>
          <w:kern w:val="0"/>
          <w:szCs w:val="20"/>
        </w:rPr>
      </w:pPr>
      <w:r>
        <w:rPr>
          <w:rFonts w:ascii="Times New Roman" w:hAnsi="Times New Roman"/>
          <w:kern w:val="0"/>
          <w:szCs w:val="20"/>
        </w:rPr>
        <w:t>面层采用木基结构板，椽条或斜撑梁采用规格材、方木或胶合木而构成的屋盖。</w:t>
      </w:r>
    </w:p>
    <w:p w14:paraId="7B32530E">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木材含水率 moisture content of wood</w:t>
      </w:r>
    </w:p>
    <w:p w14:paraId="05B86DC0">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木材内所含水分的质量占木材绝干质量的百分比。</w:t>
      </w:r>
    </w:p>
    <w:p w14:paraId="2C02C99F">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 50005-2017，2.1.9]</w:t>
      </w:r>
    </w:p>
    <w:p w14:paraId="4CC69704">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木结构的防护 protection of wood structures</w:t>
      </w:r>
    </w:p>
    <w:p w14:paraId="066D9B00">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为保证木结构在规定的设计使用年限内安全、可靠地满足使用功能要求，采取防腐、防虫蛀、防火和防潮通风等措施予以保护。以下简称防护。</w:t>
      </w:r>
    </w:p>
    <w:p w14:paraId="1AB0C320">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[来源：GB/T 50772-2012，2.0.25]</w:t>
      </w:r>
    </w:p>
    <w:p w14:paraId="26C6F7E3">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防腐剂 preservative</w:t>
      </w:r>
    </w:p>
    <w:p w14:paraId="218582E3">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能毒杀木腐菌、昆虫、凿船虫以及其他侵害木材生物的化学药剂。</w:t>
      </w:r>
    </w:p>
    <w:p w14:paraId="32528CC3">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[来源：GB/T 50772-2012，2.0.26]</w:t>
      </w:r>
    </w:p>
    <w:p w14:paraId="0F2067DE">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载药量 retention</w:t>
      </w:r>
    </w:p>
    <w:p w14:paraId="16CC5225">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木构件经防腐剂加压处理后，能长期保持在木材内部的防腐剂量，按每立方米的千克数计算。</w:t>
      </w:r>
    </w:p>
    <w:p w14:paraId="70E47021">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[来源：GB/T 50772-2012，2.0.27]</w:t>
      </w:r>
    </w:p>
    <w:p w14:paraId="48BCFD37">
      <w:pPr>
        <w:widowControl/>
        <w:numPr>
          <w:ilvl w:val="2"/>
          <w:numId w:val="2"/>
        </w:numPr>
        <w:adjustRightInd/>
        <w:spacing w:line="240" w:lineRule="auto"/>
        <w:ind w:left="420" w:hanging="420" w:hangingChars="200"/>
        <w:rPr>
          <w:rFonts w:ascii="Times New Roman" w:hAnsi="Times New Roman" w:eastAsia="黑体"/>
          <w:kern w:val="0"/>
          <w:szCs w:val="20"/>
        </w:rPr>
      </w:pPr>
      <w:r>
        <w:rPr>
          <w:rFonts w:ascii="Times New Roman" w:hAnsi="Times New Roman" w:eastAsia="黑体"/>
          <w:kern w:val="0"/>
          <w:szCs w:val="20"/>
        </w:rPr>
        <w:br w:type="textWrapping"/>
      </w:r>
      <w:r>
        <w:rPr>
          <w:rFonts w:ascii="Times New Roman" w:hAnsi="Times New Roman" w:eastAsia="黑体"/>
          <w:kern w:val="0"/>
          <w:szCs w:val="20"/>
        </w:rPr>
        <w:t>透入度 penetration</w:t>
      </w:r>
    </w:p>
    <w:p w14:paraId="10A66B04">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木构件经防护剂加压处理后，防护剂透入木构件的深度或占边材的百分率。</w:t>
      </w:r>
    </w:p>
    <w:p w14:paraId="5F227AC5">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[来源：GB/T 50772-2012，2.0.28]</w:t>
      </w:r>
    </w:p>
    <w:p w14:paraId="3FEEAFD4">
      <w:pPr>
        <w:pStyle w:val="109"/>
        <w:spacing w:before="312" w:after="312"/>
      </w:pPr>
      <w:bookmarkStart w:id="45" w:name="_Toc222392755"/>
      <w:r>
        <w:rPr>
          <w:rFonts w:hint="eastAsia"/>
        </w:rPr>
        <w:t>分类与标记</w:t>
      </w:r>
      <w:bookmarkEnd w:id="45"/>
    </w:p>
    <w:p w14:paraId="11306D8C">
      <w:pPr>
        <w:pStyle w:val="110"/>
        <w:spacing w:before="156" w:after="156"/>
      </w:pPr>
      <w:bookmarkStart w:id="46" w:name="_Toc222392756"/>
      <w:r>
        <w:rPr>
          <w:rFonts w:hint="eastAsia"/>
        </w:rPr>
        <w:t>原则</w:t>
      </w:r>
      <w:bookmarkEnd w:id="46"/>
    </w:p>
    <w:p w14:paraId="4B693BD3">
      <w:pPr>
        <w:pStyle w:val="70"/>
        <w:spacing w:before="156" w:afterLines="0"/>
        <w:ind w:left="0"/>
        <w:rPr>
          <w:rFonts w:ascii="宋体" w:hAnsi="宋体" w:eastAsia="宋体"/>
        </w:rPr>
      </w:pPr>
      <w:r>
        <w:rPr>
          <w:rFonts w:hint="eastAsia" w:ascii="宋体" w:hAnsi="宋体" w:eastAsia="宋体"/>
        </w:rPr>
        <w:t>承重构件可分为木柱、木梁、木墙、木楼盖、木屋盖、木桁架、木拱等。</w:t>
      </w:r>
    </w:p>
    <w:p w14:paraId="6BD94949">
      <w:pPr>
        <w:pStyle w:val="70"/>
        <w:spacing w:beforeLines="0" w:afterLines="0"/>
        <w:ind w:left="0"/>
        <w:rPr>
          <w:rFonts w:ascii="宋体" w:hAnsi="宋体" w:eastAsia="宋体"/>
        </w:rPr>
      </w:pPr>
      <w:r>
        <w:rPr>
          <w:rFonts w:hint="eastAsia" w:ascii="宋体" w:hAnsi="宋体" w:eastAsia="宋体"/>
        </w:rPr>
        <w:t>木柱、木梁、木墙、木楼盖、木屋盖、木桁架、木拱等的分类和构件标记可根据原材料、制作工艺、受力特点、单元类型、产品尺寸等确定。</w:t>
      </w:r>
    </w:p>
    <w:p w14:paraId="42856069">
      <w:pPr>
        <w:pStyle w:val="70"/>
        <w:spacing w:beforeLines="0" w:afterLines="0"/>
        <w:ind w:left="0"/>
        <w:rPr>
          <w:rFonts w:ascii="宋体" w:hAnsi="宋体" w:eastAsia="宋体"/>
        </w:rPr>
      </w:pPr>
      <w:r>
        <w:rPr>
          <w:rFonts w:hint="eastAsia" w:ascii="宋体" w:hAnsi="宋体" w:eastAsia="宋体"/>
        </w:rPr>
        <w:t>承重构件的标识应包含构件标记、木材强度等级、树种或树种组合、产品尺寸、使用环境、外观质量等级、生产厂商、生产日期、胶粘剂类别，正交胶合木构件表面应标注“强轴方向”，宜标注构件固碳量，还可根据产品特点和市场需要标注其他信息，比如洞口尺寸、执行标准等。</w:t>
      </w:r>
    </w:p>
    <w:p w14:paraId="1E1BC247">
      <w:pPr>
        <w:pStyle w:val="110"/>
        <w:spacing w:before="156" w:after="156"/>
      </w:pPr>
      <w:bookmarkStart w:id="47" w:name="_Toc222392757"/>
      <w:r>
        <w:rPr>
          <w:rFonts w:hint="eastAsia"/>
        </w:rPr>
        <w:t>分类</w:t>
      </w:r>
      <w:bookmarkEnd w:id="47"/>
    </w:p>
    <w:p w14:paraId="1AAA2BF7">
      <w:pPr>
        <w:pStyle w:val="170"/>
        <w:ind w:left="0"/>
      </w:pPr>
      <w:r>
        <w:rPr>
          <w:rFonts w:hint="eastAsia"/>
        </w:rPr>
        <w:t>材料类型分类和代号见表1。</w:t>
      </w:r>
    </w:p>
    <w:p w14:paraId="13F0C3B1">
      <w:pPr>
        <w:pStyle w:val="117"/>
        <w:spacing w:before="156" w:after="156"/>
        <w:ind w:left="361" w:leftChars="172"/>
      </w:pPr>
      <w:r>
        <w:rPr>
          <w:rFonts w:hint="eastAsia"/>
        </w:rPr>
        <w:t>材料类型分类和标记代号</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636"/>
        <w:gridCol w:w="636"/>
        <w:gridCol w:w="846"/>
        <w:gridCol w:w="1266"/>
        <w:gridCol w:w="846"/>
        <w:gridCol w:w="1266"/>
        <w:gridCol w:w="846"/>
        <w:gridCol w:w="846"/>
        <w:gridCol w:w="1056"/>
      </w:tblGrid>
      <w:tr w14:paraId="23D0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70AC364">
            <w:pPr>
              <w:pStyle w:val="170"/>
              <w:numPr>
                <w:ilvl w:val="0"/>
                <w:numId w:val="0"/>
              </w:numPr>
              <w:spacing w:before="0" w:after="0"/>
              <w:jc w:val="center"/>
            </w:pPr>
            <w:r>
              <w:rPr>
                <w:rFonts w:hint="eastAsia"/>
              </w:rPr>
              <w:t>材料分类</w:t>
            </w:r>
          </w:p>
        </w:tc>
        <w:tc>
          <w:tcPr>
            <w:tcW w:w="0" w:type="auto"/>
          </w:tcPr>
          <w:p w14:paraId="76F76A50">
            <w:pPr>
              <w:pStyle w:val="170"/>
              <w:numPr>
                <w:ilvl w:val="0"/>
                <w:numId w:val="0"/>
              </w:numPr>
              <w:spacing w:before="0" w:after="0"/>
              <w:jc w:val="center"/>
            </w:pPr>
            <w:r>
              <w:rPr>
                <w:rFonts w:hint="eastAsia"/>
              </w:rPr>
              <w:t>原木</w:t>
            </w:r>
          </w:p>
        </w:tc>
        <w:tc>
          <w:tcPr>
            <w:tcW w:w="0" w:type="auto"/>
          </w:tcPr>
          <w:p w14:paraId="4BE5B8F1">
            <w:pPr>
              <w:pStyle w:val="170"/>
              <w:numPr>
                <w:ilvl w:val="0"/>
                <w:numId w:val="0"/>
              </w:numPr>
              <w:spacing w:before="0" w:after="0"/>
              <w:jc w:val="center"/>
            </w:pPr>
            <w:r>
              <w:rPr>
                <w:rFonts w:hint="eastAsia"/>
              </w:rPr>
              <w:t>方木</w:t>
            </w:r>
          </w:p>
        </w:tc>
        <w:tc>
          <w:tcPr>
            <w:tcW w:w="0" w:type="auto"/>
          </w:tcPr>
          <w:p w14:paraId="71DC74E5">
            <w:pPr>
              <w:pStyle w:val="170"/>
              <w:numPr>
                <w:ilvl w:val="0"/>
                <w:numId w:val="0"/>
              </w:numPr>
              <w:spacing w:before="0" w:after="0"/>
              <w:jc w:val="center"/>
            </w:pPr>
            <w:r>
              <w:rPr>
                <w:rFonts w:hint="eastAsia"/>
              </w:rPr>
              <w:t>胶合木</w:t>
            </w:r>
          </w:p>
        </w:tc>
        <w:tc>
          <w:tcPr>
            <w:tcW w:w="0" w:type="auto"/>
          </w:tcPr>
          <w:p w14:paraId="01CF8462">
            <w:pPr>
              <w:pStyle w:val="170"/>
              <w:numPr>
                <w:ilvl w:val="0"/>
                <w:numId w:val="0"/>
              </w:numPr>
              <w:spacing w:before="0" w:after="0"/>
              <w:jc w:val="center"/>
            </w:pPr>
            <w:r>
              <w:rPr>
                <w:rFonts w:hint="eastAsia"/>
              </w:rPr>
              <w:t>正交胶合木</w:t>
            </w:r>
          </w:p>
        </w:tc>
        <w:tc>
          <w:tcPr>
            <w:tcW w:w="0" w:type="auto"/>
          </w:tcPr>
          <w:p w14:paraId="6D71FC94">
            <w:pPr>
              <w:pStyle w:val="170"/>
              <w:numPr>
                <w:ilvl w:val="0"/>
                <w:numId w:val="0"/>
              </w:numPr>
              <w:spacing w:before="0" w:after="0"/>
              <w:jc w:val="center"/>
            </w:pPr>
            <w:r>
              <w:rPr>
                <w:rFonts w:hint="eastAsia"/>
              </w:rPr>
              <w:t>锯材木</w:t>
            </w:r>
          </w:p>
        </w:tc>
        <w:tc>
          <w:tcPr>
            <w:tcW w:w="0" w:type="auto"/>
          </w:tcPr>
          <w:p w14:paraId="03643441">
            <w:pPr>
              <w:pStyle w:val="170"/>
              <w:numPr>
                <w:ilvl w:val="0"/>
                <w:numId w:val="0"/>
              </w:numPr>
              <w:spacing w:before="0" w:after="0"/>
              <w:jc w:val="center"/>
            </w:pPr>
            <w:r>
              <w:rPr>
                <w:rFonts w:hint="eastAsia"/>
              </w:rPr>
              <w:t>木基结构板</w:t>
            </w:r>
          </w:p>
        </w:tc>
        <w:tc>
          <w:tcPr>
            <w:tcW w:w="0" w:type="auto"/>
          </w:tcPr>
          <w:p w14:paraId="66D4DD39">
            <w:pPr>
              <w:pStyle w:val="170"/>
              <w:numPr>
                <w:ilvl w:val="0"/>
                <w:numId w:val="0"/>
              </w:numPr>
              <w:spacing w:before="0" w:after="0"/>
              <w:jc w:val="center"/>
            </w:pPr>
            <w:r>
              <w:rPr>
                <w:rFonts w:hint="eastAsia"/>
              </w:rPr>
              <w:t>规格材</w:t>
            </w:r>
          </w:p>
        </w:tc>
        <w:tc>
          <w:tcPr>
            <w:tcW w:w="0" w:type="auto"/>
          </w:tcPr>
          <w:p w14:paraId="3146CB98">
            <w:pPr>
              <w:pStyle w:val="170"/>
              <w:numPr>
                <w:ilvl w:val="0"/>
                <w:numId w:val="0"/>
              </w:numPr>
              <w:spacing w:before="0" w:after="0"/>
              <w:jc w:val="center"/>
            </w:pPr>
            <w:r>
              <w:rPr>
                <w:rFonts w:hint="eastAsia"/>
              </w:rPr>
              <w:t>轻型木</w:t>
            </w:r>
          </w:p>
        </w:tc>
        <w:tc>
          <w:tcPr>
            <w:tcW w:w="0" w:type="auto"/>
          </w:tcPr>
          <w:p w14:paraId="4FB87150">
            <w:pPr>
              <w:pStyle w:val="170"/>
              <w:numPr>
                <w:ilvl w:val="0"/>
                <w:numId w:val="0"/>
              </w:numPr>
              <w:spacing w:before="0" w:after="0"/>
              <w:jc w:val="center"/>
            </w:pPr>
            <w:r>
              <w:rPr>
                <w:rFonts w:hint="eastAsia"/>
              </w:rPr>
              <w:t>复合木材</w:t>
            </w:r>
          </w:p>
        </w:tc>
      </w:tr>
      <w:tr w14:paraId="4148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A6E5278">
            <w:pPr>
              <w:pStyle w:val="170"/>
              <w:numPr>
                <w:ilvl w:val="0"/>
                <w:numId w:val="0"/>
              </w:numPr>
              <w:spacing w:before="0" w:after="0"/>
              <w:jc w:val="center"/>
            </w:pPr>
            <w:r>
              <w:rPr>
                <w:rFonts w:hint="eastAsia"/>
              </w:rPr>
              <w:t>代号</w:t>
            </w:r>
          </w:p>
        </w:tc>
        <w:tc>
          <w:tcPr>
            <w:tcW w:w="0" w:type="auto"/>
          </w:tcPr>
          <w:p w14:paraId="445D1D4B">
            <w:pPr>
              <w:pStyle w:val="170"/>
              <w:numPr>
                <w:ilvl w:val="0"/>
                <w:numId w:val="0"/>
              </w:numPr>
              <w:spacing w:before="0" w:after="0"/>
              <w:jc w:val="center"/>
            </w:pPr>
            <w:r>
              <w:rPr>
                <w:rFonts w:hint="eastAsia"/>
              </w:rPr>
              <w:t>Y</w:t>
            </w:r>
            <w:r>
              <w:t>M</w:t>
            </w:r>
          </w:p>
        </w:tc>
        <w:tc>
          <w:tcPr>
            <w:tcW w:w="0" w:type="auto"/>
          </w:tcPr>
          <w:p w14:paraId="4B2D1E08">
            <w:pPr>
              <w:pStyle w:val="170"/>
              <w:numPr>
                <w:ilvl w:val="0"/>
                <w:numId w:val="0"/>
              </w:numPr>
              <w:spacing w:before="0" w:after="0"/>
              <w:jc w:val="center"/>
            </w:pPr>
            <w:r>
              <w:rPr>
                <w:rFonts w:hint="eastAsia"/>
              </w:rPr>
              <w:t>F</w:t>
            </w:r>
            <w:r>
              <w:t>M</w:t>
            </w:r>
          </w:p>
        </w:tc>
        <w:tc>
          <w:tcPr>
            <w:tcW w:w="0" w:type="auto"/>
          </w:tcPr>
          <w:p w14:paraId="7E6D6ADD">
            <w:pPr>
              <w:pStyle w:val="170"/>
              <w:numPr>
                <w:ilvl w:val="0"/>
                <w:numId w:val="0"/>
              </w:numPr>
              <w:spacing w:before="0" w:after="0"/>
              <w:jc w:val="center"/>
            </w:pPr>
            <w:r>
              <w:rPr>
                <w:rFonts w:hint="eastAsia"/>
              </w:rPr>
              <w:t>J</w:t>
            </w:r>
            <w:r>
              <w:t>HM</w:t>
            </w:r>
          </w:p>
        </w:tc>
        <w:tc>
          <w:tcPr>
            <w:tcW w:w="0" w:type="auto"/>
          </w:tcPr>
          <w:p w14:paraId="2B6B6D18">
            <w:pPr>
              <w:pStyle w:val="170"/>
              <w:numPr>
                <w:ilvl w:val="0"/>
                <w:numId w:val="0"/>
              </w:numPr>
              <w:spacing w:before="0" w:after="0"/>
              <w:jc w:val="center"/>
            </w:pPr>
            <w:r>
              <w:t>ZJM</w:t>
            </w:r>
          </w:p>
        </w:tc>
        <w:tc>
          <w:tcPr>
            <w:tcW w:w="0" w:type="auto"/>
          </w:tcPr>
          <w:p w14:paraId="3E6A381F">
            <w:pPr>
              <w:pStyle w:val="170"/>
              <w:numPr>
                <w:ilvl w:val="0"/>
                <w:numId w:val="0"/>
              </w:numPr>
              <w:spacing w:before="0" w:after="0"/>
              <w:jc w:val="center"/>
            </w:pPr>
            <w:r>
              <w:rPr>
                <w:rFonts w:hint="eastAsia"/>
              </w:rPr>
              <w:t>J</w:t>
            </w:r>
            <w:r>
              <w:t>CM</w:t>
            </w:r>
          </w:p>
        </w:tc>
        <w:tc>
          <w:tcPr>
            <w:tcW w:w="0" w:type="auto"/>
          </w:tcPr>
          <w:p w14:paraId="08FD31B9">
            <w:pPr>
              <w:pStyle w:val="170"/>
              <w:numPr>
                <w:ilvl w:val="0"/>
                <w:numId w:val="0"/>
              </w:numPr>
              <w:spacing w:before="0" w:after="0"/>
              <w:jc w:val="center"/>
            </w:pPr>
            <w:r>
              <w:t>MJB</w:t>
            </w:r>
          </w:p>
        </w:tc>
        <w:tc>
          <w:tcPr>
            <w:tcW w:w="0" w:type="auto"/>
          </w:tcPr>
          <w:p w14:paraId="28D18275">
            <w:pPr>
              <w:pStyle w:val="170"/>
              <w:numPr>
                <w:ilvl w:val="0"/>
                <w:numId w:val="0"/>
              </w:numPr>
              <w:spacing w:before="0" w:after="0"/>
              <w:jc w:val="center"/>
            </w:pPr>
            <w:r>
              <w:t>GGC</w:t>
            </w:r>
          </w:p>
        </w:tc>
        <w:tc>
          <w:tcPr>
            <w:tcW w:w="0" w:type="auto"/>
          </w:tcPr>
          <w:p w14:paraId="2D69A4B0">
            <w:pPr>
              <w:pStyle w:val="170"/>
              <w:numPr>
                <w:ilvl w:val="0"/>
                <w:numId w:val="0"/>
              </w:numPr>
              <w:spacing w:before="0" w:after="0"/>
              <w:jc w:val="center"/>
            </w:pPr>
            <w:r>
              <w:rPr>
                <w:rFonts w:hint="eastAsia"/>
              </w:rPr>
              <w:t>Q</w:t>
            </w:r>
            <w:r>
              <w:t>XM</w:t>
            </w:r>
          </w:p>
        </w:tc>
        <w:tc>
          <w:tcPr>
            <w:tcW w:w="0" w:type="auto"/>
          </w:tcPr>
          <w:p w14:paraId="6203DD08">
            <w:pPr>
              <w:pStyle w:val="170"/>
              <w:numPr>
                <w:ilvl w:val="0"/>
                <w:numId w:val="0"/>
              </w:numPr>
              <w:spacing w:before="0" w:after="0"/>
              <w:jc w:val="center"/>
            </w:pPr>
            <w:r>
              <w:t>FHM</w:t>
            </w:r>
          </w:p>
        </w:tc>
      </w:tr>
    </w:tbl>
    <w:p w14:paraId="4E9390B6">
      <w:pPr>
        <w:pStyle w:val="170"/>
        <w:numPr>
          <w:ilvl w:val="0"/>
          <w:numId w:val="0"/>
        </w:numPr>
        <w:ind w:left="361" w:leftChars="172"/>
      </w:pPr>
    </w:p>
    <w:p w14:paraId="15C7F5BD">
      <w:pPr>
        <w:pStyle w:val="170"/>
        <w:ind w:left="0"/>
      </w:pPr>
      <w:r>
        <w:rPr>
          <w:rFonts w:hint="eastAsia"/>
        </w:rPr>
        <w:t>构件类型分类和代号见表</w:t>
      </w:r>
      <w:r>
        <w:t>2</w:t>
      </w:r>
      <w:r>
        <w:rPr>
          <w:rFonts w:hint="eastAsia"/>
        </w:rPr>
        <w:t>。</w:t>
      </w:r>
    </w:p>
    <w:p w14:paraId="494B6B40">
      <w:pPr>
        <w:pStyle w:val="117"/>
        <w:spacing w:before="156" w:after="156"/>
        <w:ind w:left="361" w:leftChars="172"/>
      </w:pPr>
      <w:r>
        <w:rPr>
          <w:rFonts w:hint="eastAsia"/>
        </w:rPr>
        <w:t>构件类型分类和标记代号</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7"/>
        <w:gridCol w:w="469"/>
        <w:gridCol w:w="1631"/>
        <w:gridCol w:w="469"/>
        <w:gridCol w:w="934"/>
        <w:gridCol w:w="2094"/>
        <w:gridCol w:w="702"/>
        <w:gridCol w:w="702"/>
        <w:gridCol w:w="701"/>
        <w:gridCol w:w="701"/>
      </w:tblGrid>
      <w:tr w14:paraId="5AB5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pct"/>
          </w:tcPr>
          <w:p w14:paraId="49252351">
            <w:pPr>
              <w:pStyle w:val="170"/>
              <w:numPr>
                <w:ilvl w:val="0"/>
                <w:numId w:val="0"/>
              </w:numPr>
              <w:spacing w:before="0" w:after="0"/>
              <w:jc w:val="center"/>
            </w:pPr>
            <w:r>
              <w:rPr>
                <w:rFonts w:hint="eastAsia"/>
              </w:rPr>
              <w:t>构件分类</w:t>
            </w:r>
          </w:p>
        </w:tc>
        <w:tc>
          <w:tcPr>
            <w:tcW w:w="245" w:type="pct"/>
          </w:tcPr>
          <w:p w14:paraId="24E6FC19">
            <w:pPr>
              <w:pStyle w:val="170"/>
              <w:numPr>
                <w:ilvl w:val="0"/>
                <w:numId w:val="0"/>
              </w:numPr>
              <w:spacing w:before="0" w:after="0"/>
              <w:jc w:val="center"/>
            </w:pPr>
            <w:r>
              <w:rPr>
                <w:rFonts w:hint="eastAsia"/>
              </w:rPr>
              <w:t>梁</w:t>
            </w:r>
          </w:p>
        </w:tc>
        <w:tc>
          <w:tcPr>
            <w:tcW w:w="852" w:type="pct"/>
          </w:tcPr>
          <w:p w14:paraId="19302B99">
            <w:pPr>
              <w:pStyle w:val="170"/>
              <w:numPr>
                <w:ilvl w:val="0"/>
                <w:numId w:val="0"/>
              </w:numPr>
              <w:spacing w:before="0" w:after="0"/>
              <w:jc w:val="center"/>
            </w:pPr>
            <w:r>
              <w:rPr>
                <w:rFonts w:hint="eastAsia"/>
              </w:rPr>
              <w:t>工字型木格栅</w:t>
            </w:r>
          </w:p>
        </w:tc>
        <w:tc>
          <w:tcPr>
            <w:tcW w:w="245" w:type="pct"/>
          </w:tcPr>
          <w:p w14:paraId="3A62384B">
            <w:pPr>
              <w:pStyle w:val="170"/>
              <w:numPr>
                <w:ilvl w:val="0"/>
                <w:numId w:val="0"/>
              </w:numPr>
              <w:spacing w:before="0" w:after="0"/>
              <w:jc w:val="center"/>
            </w:pPr>
            <w:r>
              <w:rPr>
                <w:rFonts w:hint="eastAsia"/>
              </w:rPr>
              <w:t>柱</w:t>
            </w:r>
          </w:p>
        </w:tc>
        <w:tc>
          <w:tcPr>
            <w:tcW w:w="488" w:type="pct"/>
          </w:tcPr>
          <w:p w14:paraId="79336F7C">
            <w:pPr>
              <w:pStyle w:val="170"/>
              <w:numPr>
                <w:ilvl w:val="0"/>
                <w:numId w:val="0"/>
              </w:numPr>
              <w:spacing w:before="0" w:after="0"/>
              <w:jc w:val="center"/>
            </w:pPr>
            <w:r>
              <w:rPr>
                <w:rFonts w:hint="eastAsia"/>
              </w:rPr>
              <w:t>剪力墙</w:t>
            </w:r>
          </w:p>
        </w:tc>
        <w:tc>
          <w:tcPr>
            <w:tcW w:w="1094" w:type="pct"/>
          </w:tcPr>
          <w:p w14:paraId="36D04D31">
            <w:pPr>
              <w:pStyle w:val="170"/>
              <w:numPr>
                <w:ilvl w:val="0"/>
                <w:numId w:val="0"/>
              </w:numPr>
              <w:spacing w:before="0" w:after="0"/>
              <w:jc w:val="center"/>
            </w:pPr>
            <w:r>
              <w:rPr>
                <w:rFonts w:hint="eastAsia"/>
              </w:rPr>
              <w:t>井干式木结构墙体</w:t>
            </w:r>
          </w:p>
        </w:tc>
        <w:tc>
          <w:tcPr>
            <w:tcW w:w="367" w:type="pct"/>
          </w:tcPr>
          <w:p w14:paraId="35DDCFA2">
            <w:pPr>
              <w:pStyle w:val="170"/>
              <w:numPr>
                <w:ilvl w:val="0"/>
                <w:numId w:val="0"/>
              </w:numPr>
              <w:spacing w:before="0" w:after="0"/>
              <w:jc w:val="center"/>
            </w:pPr>
            <w:r>
              <w:rPr>
                <w:rFonts w:hint="eastAsia"/>
              </w:rPr>
              <w:t>楼盖</w:t>
            </w:r>
          </w:p>
        </w:tc>
        <w:tc>
          <w:tcPr>
            <w:tcW w:w="367" w:type="pct"/>
          </w:tcPr>
          <w:p w14:paraId="7BF56DA5">
            <w:pPr>
              <w:pStyle w:val="170"/>
              <w:numPr>
                <w:ilvl w:val="0"/>
                <w:numId w:val="0"/>
              </w:numPr>
              <w:spacing w:before="0" w:after="0"/>
              <w:jc w:val="center"/>
            </w:pPr>
            <w:r>
              <w:rPr>
                <w:rFonts w:hint="eastAsia"/>
              </w:rPr>
              <w:t>屋盖</w:t>
            </w:r>
          </w:p>
        </w:tc>
        <w:tc>
          <w:tcPr>
            <w:tcW w:w="366" w:type="pct"/>
          </w:tcPr>
          <w:p w14:paraId="0E124297">
            <w:pPr>
              <w:pStyle w:val="170"/>
              <w:numPr>
                <w:ilvl w:val="0"/>
                <w:numId w:val="0"/>
              </w:numPr>
              <w:spacing w:before="0" w:after="0"/>
              <w:jc w:val="center"/>
            </w:pPr>
            <w:r>
              <w:rPr>
                <w:rFonts w:hint="eastAsia"/>
              </w:rPr>
              <w:t>拱</w:t>
            </w:r>
          </w:p>
        </w:tc>
        <w:tc>
          <w:tcPr>
            <w:tcW w:w="366" w:type="pct"/>
          </w:tcPr>
          <w:p w14:paraId="039580F7">
            <w:pPr>
              <w:pStyle w:val="170"/>
              <w:numPr>
                <w:ilvl w:val="0"/>
                <w:numId w:val="0"/>
              </w:numPr>
              <w:spacing w:before="0" w:after="0"/>
              <w:jc w:val="center"/>
            </w:pPr>
            <w:r>
              <w:rPr>
                <w:rFonts w:hint="eastAsia"/>
              </w:rPr>
              <w:t>桁架</w:t>
            </w:r>
          </w:p>
        </w:tc>
      </w:tr>
      <w:tr w14:paraId="0ADF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0" w:type="pct"/>
          </w:tcPr>
          <w:p w14:paraId="03274CDA">
            <w:pPr>
              <w:pStyle w:val="170"/>
              <w:numPr>
                <w:ilvl w:val="0"/>
                <w:numId w:val="0"/>
              </w:numPr>
              <w:spacing w:before="0" w:after="0"/>
              <w:jc w:val="center"/>
            </w:pPr>
            <w:r>
              <w:rPr>
                <w:rFonts w:hint="eastAsia"/>
              </w:rPr>
              <w:t>代号</w:t>
            </w:r>
          </w:p>
        </w:tc>
        <w:tc>
          <w:tcPr>
            <w:tcW w:w="245" w:type="pct"/>
          </w:tcPr>
          <w:p w14:paraId="6B914CB9">
            <w:pPr>
              <w:pStyle w:val="170"/>
              <w:numPr>
                <w:ilvl w:val="0"/>
                <w:numId w:val="0"/>
              </w:numPr>
              <w:spacing w:before="0" w:after="0"/>
              <w:jc w:val="center"/>
            </w:pPr>
            <w:r>
              <w:t>L</w:t>
            </w:r>
          </w:p>
        </w:tc>
        <w:tc>
          <w:tcPr>
            <w:tcW w:w="852" w:type="pct"/>
          </w:tcPr>
          <w:p w14:paraId="0B415E8B">
            <w:pPr>
              <w:pStyle w:val="170"/>
              <w:numPr>
                <w:ilvl w:val="0"/>
                <w:numId w:val="0"/>
              </w:numPr>
              <w:spacing w:before="0" w:after="0"/>
              <w:jc w:val="center"/>
            </w:pPr>
            <w:r>
              <w:t>GZGS</w:t>
            </w:r>
          </w:p>
        </w:tc>
        <w:tc>
          <w:tcPr>
            <w:tcW w:w="245" w:type="pct"/>
          </w:tcPr>
          <w:p w14:paraId="75FD7409">
            <w:pPr>
              <w:pStyle w:val="170"/>
              <w:numPr>
                <w:ilvl w:val="0"/>
                <w:numId w:val="0"/>
              </w:numPr>
              <w:spacing w:before="0" w:after="0"/>
              <w:jc w:val="center"/>
            </w:pPr>
            <w:r>
              <w:t>Z</w:t>
            </w:r>
          </w:p>
        </w:tc>
        <w:tc>
          <w:tcPr>
            <w:tcW w:w="488" w:type="pct"/>
          </w:tcPr>
          <w:p w14:paraId="46DE700B">
            <w:pPr>
              <w:pStyle w:val="170"/>
              <w:numPr>
                <w:ilvl w:val="0"/>
                <w:numId w:val="0"/>
              </w:numPr>
              <w:spacing w:before="0" w:after="0"/>
              <w:jc w:val="center"/>
            </w:pPr>
            <w:r>
              <w:t>JQ</w:t>
            </w:r>
          </w:p>
        </w:tc>
        <w:tc>
          <w:tcPr>
            <w:tcW w:w="1094" w:type="pct"/>
          </w:tcPr>
          <w:p w14:paraId="66F46A20">
            <w:pPr>
              <w:pStyle w:val="170"/>
              <w:numPr>
                <w:ilvl w:val="0"/>
                <w:numId w:val="0"/>
              </w:numPr>
              <w:spacing w:before="0" w:after="0"/>
              <w:jc w:val="center"/>
            </w:pPr>
            <w:r>
              <w:rPr>
                <w:rFonts w:hint="eastAsia"/>
              </w:rPr>
              <w:t>J</w:t>
            </w:r>
            <w:r>
              <w:t>GMQ</w:t>
            </w:r>
          </w:p>
        </w:tc>
        <w:tc>
          <w:tcPr>
            <w:tcW w:w="367" w:type="pct"/>
          </w:tcPr>
          <w:p w14:paraId="1A1CD727">
            <w:pPr>
              <w:pStyle w:val="170"/>
              <w:numPr>
                <w:ilvl w:val="0"/>
                <w:numId w:val="0"/>
              </w:numPr>
              <w:spacing w:before="0" w:after="0"/>
              <w:jc w:val="center"/>
            </w:pPr>
            <w:r>
              <w:t>LG</w:t>
            </w:r>
          </w:p>
        </w:tc>
        <w:tc>
          <w:tcPr>
            <w:tcW w:w="367" w:type="pct"/>
          </w:tcPr>
          <w:p w14:paraId="581AB710">
            <w:pPr>
              <w:pStyle w:val="170"/>
              <w:numPr>
                <w:ilvl w:val="0"/>
                <w:numId w:val="0"/>
              </w:numPr>
              <w:spacing w:before="0" w:after="0"/>
              <w:jc w:val="center"/>
            </w:pPr>
            <w:r>
              <w:t>WG</w:t>
            </w:r>
          </w:p>
        </w:tc>
        <w:tc>
          <w:tcPr>
            <w:tcW w:w="366" w:type="pct"/>
          </w:tcPr>
          <w:p w14:paraId="1B22D0A6">
            <w:pPr>
              <w:pStyle w:val="170"/>
              <w:numPr>
                <w:ilvl w:val="0"/>
                <w:numId w:val="0"/>
              </w:numPr>
              <w:spacing w:before="0" w:after="0"/>
              <w:jc w:val="center"/>
            </w:pPr>
            <w:r>
              <w:rPr>
                <w:rFonts w:hint="eastAsia"/>
              </w:rPr>
              <w:t>G</w:t>
            </w:r>
          </w:p>
        </w:tc>
        <w:tc>
          <w:tcPr>
            <w:tcW w:w="366" w:type="pct"/>
          </w:tcPr>
          <w:p w14:paraId="79EC90D6">
            <w:pPr>
              <w:pStyle w:val="170"/>
              <w:numPr>
                <w:ilvl w:val="0"/>
                <w:numId w:val="0"/>
              </w:numPr>
              <w:spacing w:before="0" w:after="0"/>
              <w:jc w:val="center"/>
            </w:pPr>
            <w:r>
              <w:t>HJ</w:t>
            </w:r>
          </w:p>
        </w:tc>
      </w:tr>
    </w:tbl>
    <w:p w14:paraId="5957AF53">
      <w:pPr>
        <w:pStyle w:val="170"/>
        <w:numPr>
          <w:ilvl w:val="0"/>
          <w:numId w:val="0"/>
        </w:numPr>
        <w:ind w:left="361" w:leftChars="172"/>
      </w:pPr>
    </w:p>
    <w:p w14:paraId="1C2B3FC7">
      <w:pPr>
        <w:pStyle w:val="170"/>
        <w:ind w:left="0"/>
      </w:pPr>
      <w:r>
        <w:rPr>
          <w:rFonts w:hint="eastAsia"/>
        </w:rPr>
        <w:t>其他材料与构件类型的承重构件应采用全称或简称拼音首字母的形式确定代号。</w:t>
      </w:r>
    </w:p>
    <w:p w14:paraId="3A3FE486">
      <w:pPr>
        <w:pStyle w:val="110"/>
        <w:spacing w:before="156" w:after="156"/>
      </w:pPr>
      <w:bookmarkStart w:id="48" w:name="_Toc222392758"/>
      <w:r>
        <w:rPr>
          <w:rFonts w:hint="eastAsia"/>
        </w:rPr>
        <w:t>标记</w:t>
      </w:r>
      <w:bookmarkEnd w:id="48"/>
    </w:p>
    <w:p w14:paraId="45F4255D">
      <w:pPr>
        <w:pStyle w:val="170"/>
        <w:ind w:left="0"/>
      </w:pPr>
      <w:r>
        <w:rPr>
          <w:rFonts w:hint="eastAsia"/>
        </w:rPr>
        <w:t>承重构件的标记应由构件材料类型、构件类型、规格型号（编号）和位置信息顺序标记，标记方法见图1，采用规格型号（编号）和位置信息宜根据工程情况确定。</w:t>
      </w:r>
    </w:p>
    <w:p w14:paraId="0C784A66">
      <w:pPr>
        <w:pStyle w:val="170"/>
        <w:numPr>
          <w:ilvl w:val="0"/>
          <w:numId w:val="0"/>
        </w:numPr>
        <w:ind w:left="361" w:leftChars="172"/>
        <w:jc w:val="center"/>
      </w:pPr>
      <w:r>
        <w:drawing>
          <wp:inline distT="0" distB="0" distL="0" distR="0">
            <wp:extent cx="5200650" cy="14001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05805" cy="1401489"/>
                    </a:xfrm>
                    <a:prstGeom prst="rect">
                      <a:avLst/>
                    </a:prstGeom>
                    <a:noFill/>
                  </pic:spPr>
                </pic:pic>
              </a:graphicData>
            </a:graphic>
          </wp:inline>
        </w:drawing>
      </w:r>
    </w:p>
    <w:p w14:paraId="01B73C1C">
      <w:pPr>
        <w:pStyle w:val="170"/>
        <w:numPr>
          <w:ilvl w:val="0"/>
          <w:numId w:val="0"/>
        </w:numPr>
        <w:ind w:left="361" w:leftChars="172"/>
        <w:jc w:val="center"/>
      </w:pPr>
      <w:r>
        <w:rPr>
          <w:rFonts w:hint="eastAsia"/>
        </w:rPr>
        <w:t>图1 承重构件标记示意图</w:t>
      </w:r>
    </w:p>
    <w:p w14:paraId="7D270716">
      <w:pPr>
        <w:pStyle w:val="170"/>
        <w:ind w:left="0"/>
      </w:pPr>
      <w:r>
        <w:rPr>
          <w:rFonts w:hint="eastAsia"/>
          <w:b/>
        </w:rPr>
        <w:t>示例</w:t>
      </w:r>
      <w:r>
        <w:rPr>
          <w:rFonts w:hint="eastAsia"/>
        </w:rPr>
        <w:t xml:space="preserve"> </w:t>
      </w:r>
      <w:r>
        <w:rPr>
          <w:rFonts w:hint="eastAsia"/>
          <w:b/>
        </w:rPr>
        <w:t>示例1：</w:t>
      </w:r>
      <w:r>
        <w:rPr>
          <w:rFonts w:hint="eastAsia"/>
        </w:rPr>
        <w:t>原木井干式木结构墙体1500mm宽、150mm厚、33</w:t>
      </w:r>
      <w:r>
        <w:t>00</w:t>
      </w:r>
      <w:r>
        <w:rPr>
          <w:rFonts w:hint="eastAsia"/>
        </w:rPr>
        <w:t>mm长，位于</w:t>
      </w:r>
      <w:r>
        <w:t>1</w:t>
      </w:r>
      <w:r>
        <w:rPr>
          <w:rFonts w:ascii="Times New Roman"/>
        </w:rPr>
        <w:t>-</w:t>
      </w:r>
      <w:r>
        <w:rPr>
          <w:rFonts w:hint="eastAsia"/>
        </w:rPr>
        <w:t>2×A轴，标记为：YM</w:t>
      </w:r>
      <w:r>
        <w:t>-JGMQ-1500</w:t>
      </w:r>
      <w:r>
        <w:rPr>
          <w:rFonts w:hint="eastAsia"/>
        </w:rPr>
        <w:t>×1</w:t>
      </w:r>
      <w:r>
        <w:t>50</w:t>
      </w:r>
      <w:r>
        <w:rPr>
          <w:rFonts w:hint="eastAsia"/>
        </w:rPr>
        <w:t>×</w:t>
      </w:r>
      <w:r>
        <w:t>3300-1-2×A</w:t>
      </w:r>
      <w:r>
        <w:rPr>
          <w:rFonts w:hint="eastAsia"/>
        </w:rPr>
        <w:t>。</w:t>
      </w:r>
    </w:p>
    <w:p w14:paraId="222E759A">
      <w:pPr>
        <w:pStyle w:val="170"/>
        <w:numPr>
          <w:ilvl w:val="0"/>
          <w:numId w:val="0"/>
        </w:numPr>
        <w:ind w:firstLine="422" w:firstLineChars="200"/>
      </w:pPr>
      <w:r>
        <w:rPr>
          <w:rFonts w:hint="eastAsia"/>
          <w:b/>
        </w:rPr>
        <w:t>示例</w:t>
      </w:r>
      <w:r>
        <w:rPr>
          <w:b/>
        </w:rPr>
        <w:t>2</w:t>
      </w:r>
      <w:r>
        <w:rPr>
          <w:rFonts w:hint="eastAsia"/>
          <w:b/>
        </w:rPr>
        <w:t>：</w:t>
      </w:r>
      <w:r>
        <w:rPr>
          <w:rFonts w:hint="eastAsia"/>
        </w:rPr>
        <w:t>轻型木桁架规格型号编号1，位置信息编号2，标记为：QXM-</w:t>
      </w:r>
      <w:r>
        <w:t>HJ</w:t>
      </w:r>
      <w:r>
        <w:rPr>
          <w:rFonts w:hint="eastAsia"/>
        </w:rPr>
        <w:t>-1-2。</w:t>
      </w:r>
    </w:p>
    <w:p w14:paraId="3C836022">
      <w:pPr>
        <w:pStyle w:val="109"/>
        <w:spacing w:before="312" w:after="312"/>
      </w:pPr>
      <w:bookmarkStart w:id="49" w:name="_Toc222392759"/>
      <w:r>
        <w:rPr>
          <w:rFonts w:hint="eastAsia"/>
        </w:rPr>
        <w:t>基本规定</w:t>
      </w:r>
      <w:bookmarkEnd w:id="49"/>
    </w:p>
    <w:p w14:paraId="54F7967E">
      <w:pPr>
        <w:pStyle w:val="170"/>
        <w:numPr>
          <w:ilvl w:val="0"/>
          <w:numId w:val="0"/>
        </w:numPr>
      </w:pPr>
      <w:bookmarkStart w:id="50" w:name="_Toc89120424"/>
      <w:r>
        <w:rPr>
          <w:rFonts w:hint="eastAsia" w:ascii="黑体" w:hAnsi="黑体" w:eastAsia="黑体"/>
        </w:rPr>
        <w:t>5.0.1</w:t>
      </w:r>
      <w:r>
        <w:rPr>
          <w:rFonts w:hint="eastAsia"/>
        </w:rPr>
        <w:t xml:space="preserve"> 承重构件的设计应符合GB 50005和GB/T 51233的规定，应结合生产、运输和安装条件及使用环境等级进行短暂设计状况验算，并应模数协调、标准化设计。</w:t>
      </w:r>
    </w:p>
    <w:p w14:paraId="052DD9C7">
      <w:pPr>
        <w:pStyle w:val="170"/>
        <w:numPr>
          <w:ilvl w:val="0"/>
          <w:numId w:val="0"/>
        </w:numPr>
      </w:pPr>
      <w:r>
        <w:rPr>
          <w:rFonts w:hint="eastAsia" w:ascii="黑体" w:hAnsi="黑体" w:eastAsia="黑体"/>
        </w:rPr>
        <w:t>5.0.2</w:t>
      </w:r>
      <w:r>
        <w:rPr>
          <w:rFonts w:hint="eastAsia"/>
        </w:rPr>
        <w:t xml:space="preserve"> 承重构件的连接应按结构整体计算和构件内力分析结果，结合生产、运输和安装条件确定。</w:t>
      </w:r>
    </w:p>
    <w:p w14:paraId="3D588C27">
      <w:pPr>
        <w:pStyle w:val="170"/>
        <w:numPr>
          <w:ilvl w:val="0"/>
          <w:numId w:val="0"/>
        </w:numPr>
      </w:pPr>
      <w:r>
        <w:rPr>
          <w:rFonts w:hint="eastAsia" w:ascii="黑体" w:hAnsi="黑体" w:eastAsia="黑体"/>
        </w:rPr>
        <w:t>5.0.3</w:t>
      </w:r>
      <w:r>
        <w:rPr>
          <w:rFonts w:hint="eastAsia"/>
        </w:rPr>
        <w:t xml:space="preserve"> 制作承重构件所用结构木材的种类、树种、强度等级或材质等级和规格应符合设计文件要求。</w:t>
      </w:r>
    </w:p>
    <w:p w14:paraId="1F2B6A5E">
      <w:pPr>
        <w:pStyle w:val="170"/>
        <w:numPr>
          <w:ilvl w:val="0"/>
          <w:numId w:val="0"/>
        </w:numPr>
      </w:pPr>
      <w:r>
        <w:rPr>
          <w:rFonts w:hint="eastAsia" w:ascii="黑体" w:hAnsi="黑体" w:eastAsia="黑体"/>
        </w:rPr>
        <w:t>5.0.4</w:t>
      </w:r>
      <w:r>
        <w:rPr>
          <w:rFonts w:hint="eastAsia"/>
        </w:rPr>
        <w:t xml:space="preserve"> 承重构件制作用木材、金属材料、胶粘剂等应符合设计要求和国家现行相关标准的规定，并应具有合格证书或经检测机构检验合格。</w:t>
      </w:r>
    </w:p>
    <w:p w14:paraId="1C89995B">
      <w:pPr>
        <w:pStyle w:val="170"/>
        <w:numPr>
          <w:ilvl w:val="0"/>
          <w:numId w:val="0"/>
        </w:numPr>
      </w:pPr>
      <w:r>
        <w:rPr>
          <w:rFonts w:hint="eastAsia" w:ascii="黑体" w:hAnsi="黑体" w:eastAsia="黑体"/>
        </w:rPr>
        <w:t>5.0.5</w:t>
      </w:r>
      <w:r>
        <w:rPr>
          <w:rFonts w:hint="eastAsia"/>
        </w:rPr>
        <w:t xml:space="preserve"> 承重构件制作、运输与安装前宜检验木材含水率，并应在制作中根据设计文件规定和制作环境条件采取满足含水率要求的措施。</w:t>
      </w:r>
    </w:p>
    <w:p w14:paraId="5BA25134">
      <w:pPr>
        <w:pStyle w:val="170"/>
        <w:numPr>
          <w:ilvl w:val="0"/>
          <w:numId w:val="0"/>
        </w:numPr>
      </w:pPr>
      <w:r>
        <w:rPr>
          <w:rFonts w:hint="eastAsia" w:ascii="黑体" w:hAnsi="黑体" w:eastAsia="黑体"/>
        </w:rPr>
        <w:t>5.0.6</w:t>
      </w:r>
      <w:r>
        <w:rPr>
          <w:rFonts w:hint="eastAsia"/>
        </w:rPr>
        <w:t xml:space="preserve"> 胶合木构件和正交胶合木构件中层板宽度方向的厚度偏差应小于±0.2mm，层板长度方向的厚度偏差应小于±0.3mm。正交胶合木构件中同一层的层板厚度应相同，最外层层板不应有松软节和空隙，平均有效胶合面积占比不应小于80%。</w:t>
      </w:r>
    </w:p>
    <w:p w14:paraId="7990ADF3">
      <w:pPr>
        <w:pStyle w:val="170"/>
        <w:numPr>
          <w:ilvl w:val="0"/>
          <w:numId w:val="0"/>
        </w:numPr>
      </w:pPr>
      <w:r>
        <w:rPr>
          <w:rFonts w:hint="eastAsia" w:ascii="黑体" w:hAnsi="黑体" w:eastAsia="黑体"/>
        </w:rPr>
        <w:t>5.0.7</w:t>
      </w:r>
      <w:r>
        <w:rPr>
          <w:rFonts w:hint="eastAsia"/>
        </w:rPr>
        <w:t xml:space="preserve"> 承重构件的设计、生产信息宜采用建筑信息模型（BIM）进行创建与管理，制作宜采用建筑信息模型进行校正，并宜协同数控加工控制精度，制作完成后宜进行预拼装。</w:t>
      </w:r>
    </w:p>
    <w:p w14:paraId="033C60F3">
      <w:pPr>
        <w:pStyle w:val="170"/>
        <w:numPr>
          <w:ilvl w:val="0"/>
          <w:numId w:val="0"/>
        </w:numPr>
        <w:rPr>
          <w:rFonts w:hAnsi="宋体"/>
        </w:rPr>
      </w:pPr>
      <w:r>
        <w:rPr>
          <w:rFonts w:hint="eastAsia" w:ascii="黑体" w:hAnsi="黑体" w:eastAsia="黑体"/>
        </w:rPr>
        <w:t xml:space="preserve">5.0.8 </w:t>
      </w:r>
      <w:r>
        <w:rPr>
          <w:rFonts w:hint="eastAsia" w:hAnsi="宋体"/>
        </w:rPr>
        <w:t>承重构件的外观尺寸、理化性能、力学性能和防护性能应符合国家现行标准与设计文件的规定，质量验收应符合GB 50206及国家现行相关标准的规定。</w:t>
      </w:r>
    </w:p>
    <w:p w14:paraId="0743823E">
      <w:pPr>
        <w:pStyle w:val="170"/>
        <w:numPr>
          <w:ilvl w:val="0"/>
          <w:numId w:val="0"/>
        </w:numPr>
        <w:rPr>
          <w:rFonts w:hAnsi="宋体"/>
        </w:rPr>
      </w:pPr>
      <w:r>
        <w:rPr>
          <w:rFonts w:hint="eastAsia" w:ascii="黑体" w:hAnsi="黑体" w:eastAsia="黑体"/>
        </w:rPr>
        <w:t>5</w:t>
      </w:r>
      <w:r>
        <w:rPr>
          <w:rFonts w:ascii="黑体" w:hAnsi="黑体" w:eastAsia="黑体"/>
        </w:rPr>
        <w:t>.0.9</w:t>
      </w:r>
      <w:r>
        <w:rPr>
          <w:rFonts w:hAnsi="宋体"/>
        </w:rPr>
        <w:t xml:space="preserve"> </w:t>
      </w:r>
      <w:r>
        <w:rPr>
          <w:rFonts w:hint="eastAsia" w:hAnsi="宋体"/>
        </w:rPr>
        <w:t>构件的抗震性能与抗风性能应符合GB</w:t>
      </w:r>
      <w:r>
        <w:rPr>
          <w:rFonts w:hAnsi="宋体"/>
        </w:rPr>
        <w:t xml:space="preserve"> 50005</w:t>
      </w:r>
      <w:r>
        <w:rPr>
          <w:rFonts w:hint="eastAsia" w:hAnsi="宋体"/>
        </w:rPr>
        <w:t>、GB</w:t>
      </w:r>
      <w:r>
        <w:rPr>
          <w:rFonts w:hAnsi="宋体"/>
        </w:rPr>
        <w:t>/</w:t>
      </w:r>
      <w:r>
        <w:rPr>
          <w:rFonts w:hint="eastAsia" w:hAnsi="宋体"/>
        </w:rPr>
        <w:t>T</w:t>
      </w:r>
      <w:r>
        <w:rPr>
          <w:rFonts w:hAnsi="宋体"/>
        </w:rPr>
        <w:t xml:space="preserve"> 51226</w:t>
      </w:r>
      <w:r>
        <w:rPr>
          <w:rFonts w:hint="eastAsia" w:hAnsi="宋体"/>
        </w:rPr>
        <w:t>与设计文件的相关规定；构件和连接的抗震性能检验应符合GB</w:t>
      </w:r>
      <w:r>
        <w:rPr>
          <w:rFonts w:hAnsi="宋体"/>
        </w:rPr>
        <w:t>/</w:t>
      </w:r>
      <w:r>
        <w:rPr>
          <w:rFonts w:hint="eastAsia" w:hAnsi="宋体"/>
        </w:rPr>
        <w:t>T</w:t>
      </w:r>
      <w:r>
        <w:rPr>
          <w:rFonts w:hAnsi="宋体"/>
        </w:rPr>
        <w:t xml:space="preserve"> 50329</w:t>
      </w:r>
      <w:r>
        <w:rPr>
          <w:rFonts w:hint="eastAsia" w:hAnsi="宋体"/>
        </w:rPr>
        <w:t>、JGJ</w:t>
      </w:r>
      <w:r>
        <w:rPr>
          <w:rFonts w:hAnsi="宋体"/>
        </w:rPr>
        <w:t>/</w:t>
      </w:r>
      <w:r>
        <w:rPr>
          <w:rFonts w:hint="eastAsia" w:hAnsi="宋体"/>
        </w:rPr>
        <w:t>T</w:t>
      </w:r>
      <w:r>
        <w:rPr>
          <w:rFonts w:hAnsi="宋体"/>
        </w:rPr>
        <w:t xml:space="preserve"> 101</w:t>
      </w:r>
      <w:r>
        <w:rPr>
          <w:rFonts w:hint="eastAsia" w:hAnsi="宋体"/>
        </w:rPr>
        <w:t>与设计文件的相关规定。</w:t>
      </w:r>
    </w:p>
    <w:p w14:paraId="3BB6862B">
      <w:pPr>
        <w:pStyle w:val="170"/>
        <w:numPr>
          <w:ilvl w:val="0"/>
          <w:numId w:val="0"/>
        </w:numPr>
        <w:rPr>
          <w:rFonts w:hAnsi="宋体"/>
        </w:rPr>
      </w:pPr>
      <w:r>
        <w:rPr>
          <w:rFonts w:hint="eastAsia" w:ascii="黑体" w:hAnsi="黑体" w:eastAsia="黑体"/>
        </w:rPr>
        <w:t>5.0.</w:t>
      </w:r>
      <w:r>
        <w:rPr>
          <w:rFonts w:ascii="黑体" w:hAnsi="黑体" w:eastAsia="黑体"/>
        </w:rPr>
        <w:t>10</w:t>
      </w:r>
      <w:r>
        <w:rPr>
          <w:rFonts w:hint="eastAsia" w:ascii="黑体" w:hAnsi="黑体" w:eastAsia="黑体"/>
        </w:rPr>
        <w:t xml:space="preserve"> </w:t>
      </w:r>
      <w:r>
        <w:rPr>
          <w:rFonts w:hint="eastAsia" w:hAnsi="宋体"/>
        </w:rPr>
        <w:t>承重构件经检验合格后应设置标识，并应提供质量证明文件和预拼装记录。</w:t>
      </w:r>
    </w:p>
    <w:p w14:paraId="26C0E2B9">
      <w:pPr>
        <w:pStyle w:val="109"/>
        <w:spacing w:before="312" w:after="312"/>
      </w:pPr>
      <w:bookmarkStart w:id="51" w:name="_Toc222392760"/>
      <w:r>
        <w:rPr>
          <w:rFonts w:hint="eastAsia"/>
        </w:rPr>
        <w:t>预制构件</w:t>
      </w:r>
      <w:r>
        <w:t>要求</w:t>
      </w:r>
      <w:bookmarkEnd w:id="50"/>
      <w:bookmarkEnd w:id="51"/>
    </w:p>
    <w:p w14:paraId="798A9DFD">
      <w:pPr>
        <w:pStyle w:val="110"/>
        <w:spacing w:before="156" w:after="156"/>
      </w:pPr>
      <w:bookmarkStart w:id="52" w:name="_Toc222392761"/>
      <w:r>
        <w:rPr>
          <w:rFonts w:hint="eastAsia"/>
        </w:rPr>
        <w:t>外观质量与尺寸偏差</w:t>
      </w:r>
      <w:bookmarkEnd w:id="52"/>
    </w:p>
    <w:p w14:paraId="716205B5">
      <w:pPr>
        <w:pStyle w:val="170"/>
        <w:ind w:left="0"/>
      </w:pPr>
      <w:r>
        <w:rPr>
          <w:rFonts w:hint="eastAsia"/>
        </w:rPr>
        <w:t>承重构件的外观质量要求应符合设计文件规定，并应符合GB 50206的规定按照构件外露情况和外观要求分为A级、B级和C级。</w:t>
      </w:r>
    </w:p>
    <w:p w14:paraId="7484A24B">
      <w:pPr>
        <w:pStyle w:val="170"/>
        <w:ind w:left="0"/>
      </w:pPr>
      <w:r>
        <w:rPr>
          <w:rFonts w:hint="eastAsia"/>
        </w:rPr>
        <w:t>承重构件的尺寸应满足设计文件要求，尺寸偏差应符合表</w:t>
      </w:r>
      <w:r>
        <w:t>3</w:t>
      </w:r>
      <w:r>
        <w:rPr>
          <w:rFonts w:hint="eastAsia"/>
        </w:rPr>
        <w:t>和GB 50206的规定。</w:t>
      </w:r>
    </w:p>
    <w:p w14:paraId="68F8495D">
      <w:pPr>
        <w:pStyle w:val="117"/>
        <w:spacing w:before="156" w:after="156"/>
        <w:ind w:left="0"/>
      </w:pPr>
      <w:r>
        <w:rPr>
          <w:rFonts w:hint="eastAsia"/>
        </w:rPr>
        <w:t>承重构件尺寸偏差</w:t>
      </w:r>
    </w:p>
    <w:tbl>
      <w:tblPr>
        <w:tblStyle w:val="30"/>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60"/>
        <w:gridCol w:w="3919"/>
        <w:gridCol w:w="3194"/>
      </w:tblGrid>
      <w:tr w14:paraId="5605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tcBorders>
              <w:top w:val="single" w:color="auto" w:sz="4" w:space="0"/>
              <w:left w:val="single" w:color="auto" w:sz="4" w:space="0"/>
              <w:bottom w:val="single" w:color="auto" w:sz="4" w:space="0"/>
              <w:right w:val="single" w:color="auto" w:sz="4" w:space="0"/>
            </w:tcBorders>
            <w:noWrap/>
            <w:vAlign w:val="center"/>
          </w:tcPr>
          <w:p w14:paraId="5B022E0D">
            <w:pPr>
              <w:spacing w:line="360" w:lineRule="atLeast"/>
              <w:jc w:val="center"/>
              <w:textAlignment w:val="baseline"/>
            </w:pPr>
            <w:r>
              <w:rPr>
                <w:rFonts w:hint="eastAsia"/>
              </w:rPr>
              <w:t>构件类型</w:t>
            </w:r>
          </w:p>
        </w:tc>
        <w:tc>
          <w:tcPr>
            <w:tcW w:w="2046" w:type="pct"/>
            <w:tcBorders>
              <w:top w:val="single" w:color="auto" w:sz="4" w:space="0"/>
              <w:left w:val="single" w:color="auto" w:sz="4" w:space="0"/>
              <w:bottom w:val="single" w:color="auto" w:sz="4" w:space="0"/>
              <w:right w:val="single" w:color="auto" w:sz="4" w:space="0"/>
            </w:tcBorders>
            <w:noWrap/>
            <w:vAlign w:val="center"/>
          </w:tcPr>
          <w:p w14:paraId="52370A9C">
            <w:pPr>
              <w:spacing w:line="360" w:lineRule="atLeast"/>
              <w:jc w:val="center"/>
              <w:textAlignment w:val="baseline"/>
            </w:pPr>
            <w:r>
              <w:rPr>
                <w:rFonts w:hint="eastAsia"/>
              </w:rPr>
              <w:t>项目</w:t>
            </w:r>
          </w:p>
        </w:tc>
        <w:tc>
          <w:tcPr>
            <w:tcW w:w="1667" w:type="pct"/>
            <w:tcBorders>
              <w:top w:val="single" w:color="auto" w:sz="4" w:space="0"/>
              <w:left w:val="single" w:color="auto" w:sz="4" w:space="0"/>
              <w:bottom w:val="single" w:color="auto" w:sz="4" w:space="0"/>
              <w:right w:val="single" w:color="auto" w:sz="4" w:space="0"/>
            </w:tcBorders>
            <w:noWrap/>
            <w:vAlign w:val="center"/>
          </w:tcPr>
          <w:p w14:paraId="19190DE2">
            <w:pPr>
              <w:spacing w:line="360" w:lineRule="atLeast"/>
              <w:jc w:val="center"/>
              <w:textAlignment w:val="baseline"/>
            </w:pPr>
            <w:r>
              <w:rPr>
                <w:rFonts w:hint="eastAsia"/>
              </w:rPr>
              <w:t>允许偏差（</w:t>
            </w:r>
            <w:r>
              <w:t>mm</w:t>
            </w:r>
            <w:r>
              <w:rPr>
                <w:rFonts w:hint="eastAsia"/>
              </w:rPr>
              <w:t>）</w:t>
            </w:r>
          </w:p>
        </w:tc>
      </w:tr>
      <w:tr w14:paraId="09AD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restart"/>
            <w:noWrap/>
            <w:vAlign w:val="center"/>
          </w:tcPr>
          <w:p w14:paraId="01C24B06">
            <w:pPr>
              <w:pStyle w:val="183"/>
              <w:jc w:val="both"/>
              <w:rPr>
                <w:sz w:val="21"/>
                <w:szCs w:val="21"/>
              </w:rPr>
            </w:pPr>
            <w:r>
              <w:rPr>
                <w:rFonts w:hint="eastAsia"/>
                <w:sz w:val="21"/>
                <w:szCs w:val="21"/>
              </w:rPr>
              <w:t>木柱、木梁</w:t>
            </w:r>
          </w:p>
        </w:tc>
        <w:tc>
          <w:tcPr>
            <w:tcW w:w="867" w:type="pct"/>
            <w:vMerge w:val="restart"/>
            <w:vAlign w:val="center"/>
          </w:tcPr>
          <w:p w14:paraId="75B00F52">
            <w:pPr>
              <w:pStyle w:val="183"/>
              <w:rPr>
                <w:sz w:val="21"/>
                <w:szCs w:val="21"/>
              </w:rPr>
            </w:pPr>
            <w:r>
              <w:rPr>
                <w:rFonts w:hint="eastAsia"/>
                <w:sz w:val="21"/>
                <w:szCs w:val="21"/>
              </w:rPr>
              <w:t>原木柱、方木柱、原木梁、锯材木梁</w:t>
            </w:r>
          </w:p>
        </w:tc>
        <w:tc>
          <w:tcPr>
            <w:tcW w:w="2046" w:type="pct"/>
            <w:noWrap/>
            <w:vAlign w:val="center"/>
          </w:tcPr>
          <w:p w14:paraId="4247615E">
            <w:pPr>
              <w:pStyle w:val="183"/>
              <w:rPr>
                <w:sz w:val="21"/>
                <w:szCs w:val="21"/>
              </w:rPr>
            </w:pPr>
            <w:r>
              <w:rPr>
                <w:rFonts w:hint="eastAsia"/>
                <w:sz w:val="21"/>
                <w:szCs w:val="21"/>
              </w:rPr>
              <w:t>截面高度</w:t>
            </w:r>
          </w:p>
        </w:tc>
        <w:tc>
          <w:tcPr>
            <w:tcW w:w="1667" w:type="pct"/>
            <w:noWrap/>
            <w:vAlign w:val="center"/>
          </w:tcPr>
          <w:p w14:paraId="3C7F2A63">
            <w:pPr>
              <w:pStyle w:val="183"/>
              <w:rPr>
                <w:sz w:val="21"/>
                <w:szCs w:val="21"/>
              </w:rPr>
            </w:pPr>
            <w:r>
              <w:rPr>
                <w:rFonts w:hint="eastAsia"/>
                <w:sz w:val="21"/>
                <w:szCs w:val="21"/>
              </w:rPr>
              <w:t>-</w:t>
            </w:r>
            <w:r>
              <w:rPr>
                <w:sz w:val="21"/>
                <w:szCs w:val="21"/>
              </w:rPr>
              <w:t>3</w:t>
            </w:r>
          </w:p>
        </w:tc>
      </w:tr>
      <w:tr w14:paraId="6C51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4A395A49">
            <w:pPr>
              <w:pStyle w:val="183"/>
              <w:rPr>
                <w:sz w:val="21"/>
                <w:szCs w:val="21"/>
              </w:rPr>
            </w:pPr>
          </w:p>
        </w:tc>
        <w:tc>
          <w:tcPr>
            <w:tcW w:w="867" w:type="pct"/>
            <w:vMerge w:val="continue"/>
            <w:vAlign w:val="center"/>
          </w:tcPr>
          <w:p w14:paraId="3AD1C05C">
            <w:pPr>
              <w:pStyle w:val="183"/>
              <w:rPr>
                <w:sz w:val="21"/>
                <w:szCs w:val="21"/>
              </w:rPr>
            </w:pPr>
          </w:p>
        </w:tc>
        <w:tc>
          <w:tcPr>
            <w:tcW w:w="2046" w:type="pct"/>
            <w:noWrap/>
            <w:vAlign w:val="center"/>
          </w:tcPr>
          <w:p w14:paraId="5917349B">
            <w:pPr>
              <w:pStyle w:val="183"/>
              <w:rPr>
                <w:sz w:val="21"/>
                <w:szCs w:val="21"/>
              </w:rPr>
            </w:pPr>
            <w:r>
              <w:rPr>
                <w:rFonts w:hint="eastAsia"/>
                <w:sz w:val="21"/>
                <w:szCs w:val="21"/>
              </w:rPr>
              <w:t>截面宽度</w:t>
            </w:r>
          </w:p>
        </w:tc>
        <w:tc>
          <w:tcPr>
            <w:tcW w:w="1667" w:type="pct"/>
            <w:noWrap/>
            <w:vAlign w:val="center"/>
          </w:tcPr>
          <w:p w14:paraId="509476CA">
            <w:pPr>
              <w:pStyle w:val="183"/>
              <w:rPr>
                <w:sz w:val="21"/>
                <w:szCs w:val="21"/>
              </w:rPr>
            </w:pPr>
            <w:r>
              <w:rPr>
                <w:rFonts w:hint="eastAsia"/>
                <w:sz w:val="21"/>
                <w:szCs w:val="21"/>
              </w:rPr>
              <w:t>-</w:t>
            </w:r>
            <w:r>
              <w:rPr>
                <w:sz w:val="21"/>
                <w:szCs w:val="21"/>
              </w:rPr>
              <w:t>3</w:t>
            </w:r>
          </w:p>
        </w:tc>
      </w:tr>
      <w:tr w14:paraId="50F9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6B5E4ECB">
            <w:pPr>
              <w:pStyle w:val="183"/>
              <w:rPr>
                <w:sz w:val="21"/>
                <w:szCs w:val="21"/>
              </w:rPr>
            </w:pPr>
          </w:p>
        </w:tc>
        <w:tc>
          <w:tcPr>
            <w:tcW w:w="867" w:type="pct"/>
            <w:vMerge w:val="continue"/>
            <w:vAlign w:val="center"/>
          </w:tcPr>
          <w:p w14:paraId="4E9FB551">
            <w:pPr>
              <w:pStyle w:val="183"/>
              <w:rPr>
                <w:sz w:val="21"/>
                <w:szCs w:val="21"/>
              </w:rPr>
            </w:pPr>
          </w:p>
        </w:tc>
        <w:tc>
          <w:tcPr>
            <w:tcW w:w="2046" w:type="pct"/>
            <w:noWrap/>
            <w:vAlign w:val="center"/>
          </w:tcPr>
          <w:p w14:paraId="048B8266">
            <w:pPr>
              <w:pStyle w:val="183"/>
              <w:rPr>
                <w:sz w:val="21"/>
                <w:szCs w:val="21"/>
              </w:rPr>
            </w:pPr>
            <w:r>
              <w:rPr>
                <w:rFonts w:hint="eastAsia"/>
                <w:sz w:val="21"/>
                <w:szCs w:val="21"/>
              </w:rPr>
              <w:t>构件长度</w:t>
            </w:r>
          </w:p>
        </w:tc>
        <w:tc>
          <w:tcPr>
            <w:tcW w:w="1667" w:type="pct"/>
            <w:noWrap/>
            <w:vAlign w:val="center"/>
          </w:tcPr>
          <w:p w14:paraId="4741655E">
            <w:pPr>
              <w:pStyle w:val="183"/>
              <w:rPr>
                <w:sz w:val="21"/>
                <w:szCs w:val="21"/>
              </w:rPr>
            </w:pPr>
            <w:r>
              <w:rPr>
                <w:rFonts w:hint="eastAsia"/>
                <w:sz w:val="21"/>
                <w:szCs w:val="21"/>
              </w:rPr>
              <w:t>长度不大于15m时为±10，长度大于15m时为±15</w:t>
            </w:r>
          </w:p>
        </w:tc>
      </w:tr>
      <w:tr w14:paraId="2646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7C6DCA5F">
            <w:pPr>
              <w:pStyle w:val="183"/>
              <w:rPr>
                <w:sz w:val="21"/>
                <w:szCs w:val="21"/>
              </w:rPr>
            </w:pPr>
          </w:p>
        </w:tc>
        <w:tc>
          <w:tcPr>
            <w:tcW w:w="867" w:type="pct"/>
            <w:vMerge w:val="continue"/>
            <w:vAlign w:val="center"/>
          </w:tcPr>
          <w:p w14:paraId="25E09DDA">
            <w:pPr>
              <w:pStyle w:val="183"/>
              <w:rPr>
                <w:sz w:val="21"/>
                <w:szCs w:val="21"/>
              </w:rPr>
            </w:pPr>
          </w:p>
        </w:tc>
        <w:tc>
          <w:tcPr>
            <w:tcW w:w="2046" w:type="pct"/>
            <w:noWrap/>
            <w:vAlign w:val="center"/>
          </w:tcPr>
          <w:p w14:paraId="0F8458D0">
            <w:pPr>
              <w:pStyle w:val="183"/>
              <w:rPr>
                <w:sz w:val="21"/>
                <w:szCs w:val="21"/>
              </w:rPr>
            </w:pPr>
            <w:r>
              <w:rPr>
                <w:rFonts w:hint="eastAsia"/>
                <w:sz w:val="21"/>
                <w:szCs w:val="21"/>
              </w:rPr>
              <w:t>受压或压弯构件纵向弯曲</w:t>
            </w:r>
          </w:p>
        </w:tc>
        <w:tc>
          <w:tcPr>
            <w:tcW w:w="1667" w:type="pct"/>
            <w:noWrap/>
            <w:vAlign w:val="center"/>
          </w:tcPr>
          <w:p w14:paraId="4B99986D">
            <w:pPr>
              <w:pStyle w:val="183"/>
              <w:rPr>
                <w:sz w:val="21"/>
                <w:szCs w:val="21"/>
              </w:rPr>
            </w:pPr>
            <w:r>
              <w:rPr>
                <w:rFonts w:hint="eastAsia"/>
                <w:sz w:val="21"/>
                <w:szCs w:val="21"/>
              </w:rPr>
              <w:t>±</w:t>
            </w:r>
            <w:r>
              <w:rPr>
                <w:sz w:val="21"/>
                <w:szCs w:val="21"/>
              </w:rPr>
              <w:t>0.002</w:t>
            </w:r>
            <w:r>
              <w:rPr>
                <w:i/>
                <w:iCs/>
                <w:sz w:val="21"/>
                <w:szCs w:val="21"/>
              </w:rPr>
              <w:t>L</w:t>
            </w:r>
          </w:p>
        </w:tc>
      </w:tr>
      <w:tr w14:paraId="4DC0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1F80DCF2">
            <w:pPr>
              <w:pStyle w:val="183"/>
              <w:rPr>
                <w:sz w:val="21"/>
                <w:szCs w:val="21"/>
              </w:rPr>
            </w:pPr>
          </w:p>
        </w:tc>
        <w:tc>
          <w:tcPr>
            <w:tcW w:w="867" w:type="pct"/>
            <w:vMerge w:val="continue"/>
            <w:vAlign w:val="center"/>
          </w:tcPr>
          <w:p w14:paraId="340ADBB9">
            <w:pPr>
              <w:pStyle w:val="183"/>
              <w:rPr>
                <w:sz w:val="21"/>
                <w:szCs w:val="21"/>
              </w:rPr>
            </w:pPr>
          </w:p>
        </w:tc>
        <w:tc>
          <w:tcPr>
            <w:tcW w:w="2046" w:type="pct"/>
            <w:noWrap/>
            <w:vAlign w:val="center"/>
          </w:tcPr>
          <w:p w14:paraId="462250CD">
            <w:pPr>
              <w:pStyle w:val="183"/>
              <w:rPr>
                <w:sz w:val="21"/>
                <w:szCs w:val="21"/>
              </w:rPr>
            </w:pPr>
            <w:r>
              <w:rPr>
                <w:rFonts w:hint="eastAsia"/>
                <w:sz w:val="21"/>
                <w:szCs w:val="21"/>
              </w:rPr>
              <w:t>支座节点受剪面长度</w:t>
            </w:r>
          </w:p>
        </w:tc>
        <w:tc>
          <w:tcPr>
            <w:tcW w:w="1667" w:type="pct"/>
            <w:noWrap/>
            <w:vAlign w:val="center"/>
          </w:tcPr>
          <w:p w14:paraId="17626516">
            <w:pPr>
              <w:pStyle w:val="183"/>
              <w:rPr>
                <w:sz w:val="21"/>
                <w:szCs w:val="21"/>
              </w:rPr>
            </w:pPr>
            <w:r>
              <w:rPr>
                <w:rFonts w:hint="eastAsia"/>
                <w:sz w:val="21"/>
                <w:szCs w:val="21"/>
              </w:rPr>
              <w:t>-</w:t>
            </w:r>
            <w:r>
              <w:rPr>
                <w:sz w:val="21"/>
                <w:szCs w:val="21"/>
              </w:rPr>
              <w:t>10</w:t>
            </w:r>
          </w:p>
        </w:tc>
      </w:tr>
      <w:tr w14:paraId="6C24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2A8B2A5E">
            <w:pPr>
              <w:pStyle w:val="183"/>
              <w:rPr>
                <w:sz w:val="21"/>
                <w:szCs w:val="21"/>
              </w:rPr>
            </w:pPr>
          </w:p>
        </w:tc>
        <w:tc>
          <w:tcPr>
            <w:tcW w:w="867" w:type="pct"/>
            <w:vMerge w:val="continue"/>
            <w:vAlign w:val="center"/>
          </w:tcPr>
          <w:p w14:paraId="5186A124">
            <w:pPr>
              <w:pStyle w:val="183"/>
              <w:rPr>
                <w:sz w:val="21"/>
                <w:szCs w:val="21"/>
              </w:rPr>
            </w:pPr>
          </w:p>
        </w:tc>
        <w:tc>
          <w:tcPr>
            <w:tcW w:w="2046" w:type="pct"/>
            <w:noWrap/>
            <w:vAlign w:val="center"/>
          </w:tcPr>
          <w:p w14:paraId="6C93534F">
            <w:pPr>
              <w:pStyle w:val="183"/>
              <w:rPr>
                <w:sz w:val="21"/>
                <w:szCs w:val="21"/>
              </w:rPr>
            </w:pPr>
            <w:r>
              <w:rPr>
                <w:rFonts w:hint="eastAsia"/>
                <w:sz w:val="21"/>
                <w:szCs w:val="21"/>
              </w:rPr>
              <w:t>支座节点受剪面宽度</w:t>
            </w:r>
          </w:p>
        </w:tc>
        <w:tc>
          <w:tcPr>
            <w:tcW w:w="1667" w:type="pct"/>
            <w:noWrap/>
            <w:vAlign w:val="center"/>
          </w:tcPr>
          <w:p w14:paraId="1D08CE43">
            <w:pPr>
              <w:pStyle w:val="183"/>
              <w:rPr>
                <w:sz w:val="21"/>
                <w:szCs w:val="21"/>
              </w:rPr>
            </w:pPr>
            <w:r>
              <w:rPr>
                <w:rFonts w:hint="eastAsia"/>
                <w:sz w:val="21"/>
                <w:szCs w:val="21"/>
              </w:rPr>
              <w:t>-</w:t>
            </w:r>
            <w:r>
              <w:rPr>
                <w:sz w:val="21"/>
                <w:szCs w:val="21"/>
              </w:rPr>
              <w:t>3</w:t>
            </w:r>
          </w:p>
        </w:tc>
      </w:tr>
      <w:tr w14:paraId="1CD0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42B5F66E">
            <w:pPr>
              <w:pStyle w:val="183"/>
              <w:rPr>
                <w:sz w:val="21"/>
                <w:szCs w:val="21"/>
              </w:rPr>
            </w:pPr>
          </w:p>
        </w:tc>
        <w:tc>
          <w:tcPr>
            <w:tcW w:w="867" w:type="pct"/>
            <w:vMerge w:val="restart"/>
            <w:vAlign w:val="center"/>
          </w:tcPr>
          <w:p w14:paraId="71FCE068">
            <w:pPr>
              <w:pStyle w:val="183"/>
              <w:rPr>
                <w:sz w:val="21"/>
                <w:szCs w:val="21"/>
              </w:rPr>
            </w:pPr>
            <w:r>
              <w:rPr>
                <w:rFonts w:hint="eastAsia"/>
                <w:sz w:val="21"/>
                <w:szCs w:val="21"/>
              </w:rPr>
              <w:t>胶合木柱、胶合木梁</w:t>
            </w:r>
          </w:p>
        </w:tc>
        <w:tc>
          <w:tcPr>
            <w:tcW w:w="2046" w:type="pct"/>
            <w:noWrap/>
            <w:vAlign w:val="center"/>
          </w:tcPr>
          <w:p w14:paraId="55EAA729">
            <w:pPr>
              <w:pStyle w:val="183"/>
              <w:rPr>
                <w:sz w:val="21"/>
                <w:szCs w:val="21"/>
              </w:rPr>
            </w:pPr>
            <w:r>
              <w:rPr>
                <w:rFonts w:hint="eastAsia"/>
                <w:sz w:val="21"/>
                <w:szCs w:val="21"/>
              </w:rPr>
              <w:t>截面高度</w:t>
            </w:r>
          </w:p>
        </w:tc>
        <w:tc>
          <w:tcPr>
            <w:tcW w:w="1667" w:type="pct"/>
            <w:noWrap/>
            <w:vAlign w:val="center"/>
          </w:tcPr>
          <w:p w14:paraId="1FA20C2E">
            <w:pPr>
              <w:pStyle w:val="183"/>
              <w:rPr>
                <w:sz w:val="21"/>
                <w:szCs w:val="21"/>
              </w:rPr>
            </w:pPr>
            <w:r>
              <w:rPr>
                <w:rFonts w:hint="eastAsia"/>
                <w:sz w:val="21"/>
                <w:szCs w:val="21"/>
              </w:rPr>
              <w:t>+4与+</w:t>
            </w:r>
            <w:r>
              <w:rPr>
                <w:sz w:val="21"/>
                <w:szCs w:val="21"/>
              </w:rPr>
              <w:t>0.01</w:t>
            </w:r>
            <w:r>
              <w:rPr>
                <w:i/>
                <w:sz w:val="21"/>
                <w:szCs w:val="21"/>
              </w:rPr>
              <w:t>B</w:t>
            </w:r>
            <w:r>
              <w:rPr>
                <w:rFonts w:hint="eastAsia"/>
                <w:sz w:val="21"/>
                <w:szCs w:val="21"/>
              </w:rPr>
              <w:t>之间的较小值，-</w:t>
            </w:r>
            <w:r>
              <w:rPr>
                <w:sz w:val="21"/>
                <w:szCs w:val="21"/>
              </w:rPr>
              <w:t>2</w:t>
            </w:r>
            <w:r>
              <w:rPr>
                <w:rFonts w:hint="eastAsia"/>
                <w:sz w:val="21"/>
                <w:szCs w:val="21"/>
              </w:rPr>
              <w:t>与-</w:t>
            </w:r>
            <w:r>
              <w:rPr>
                <w:sz w:val="21"/>
                <w:szCs w:val="21"/>
              </w:rPr>
              <w:t>0.005</w:t>
            </w:r>
            <w:r>
              <w:rPr>
                <w:i/>
                <w:sz w:val="21"/>
                <w:szCs w:val="21"/>
              </w:rPr>
              <w:t>B</w:t>
            </w:r>
            <w:r>
              <w:rPr>
                <w:rFonts w:hint="eastAsia"/>
                <w:sz w:val="21"/>
                <w:szCs w:val="21"/>
              </w:rPr>
              <w:t>之间的较小值</w:t>
            </w:r>
          </w:p>
        </w:tc>
      </w:tr>
      <w:tr w14:paraId="367A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5F645CA6">
            <w:pPr>
              <w:pStyle w:val="183"/>
              <w:rPr>
                <w:sz w:val="21"/>
                <w:szCs w:val="21"/>
              </w:rPr>
            </w:pPr>
          </w:p>
        </w:tc>
        <w:tc>
          <w:tcPr>
            <w:tcW w:w="867" w:type="pct"/>
            <w:vMerge w:val="continue"/>
            <w:vAlign w:val="center"/>
          </w:tcPr>
          <w:p w14:paraId="720F12A5">
            <w:pPr>
              <w:pStyle w:val="183"/>
              <w:rPr>
                <w:sz w:val="21"/>
                <w:szCs w:val="21"/>
              </w:rPr>
            </w:pPr>
          </w:p>
        </w:tc>
        <w:tc>
          <w:tcPr>
            <w:tcW w:w="2046" w:type="pct"/>
            <w:noWrap/>
            <w:vAlign w:val="center"/>
          </w:tcPr>
          <w:p w14:paraId="31845FCF">
            <w:pPr>
              <w:pStyle w:val="183"/>
              <w:rPr>
                <w:sz w:val="21"/>
                <w:szCs w:val="21"/>
              </w:rPr>
            </w:pPr>
            <w:r>
              <w:rPr>
                <w:rFonts w:hint="eastAsia"/>
                <w:sz w:val="21"/>
                <w:szCs w:val="21"/>
              </w:rPr>
              <w:t>截面宽度</w:t>
            </w:r>
          </w:p>
        </w:tc>
        <w:tc>
          <w:tcPr>
            <w:tcW w:w="1667" w:type="pct"/>
            <w:noWrap/>
            <w:vAlign w:val="center"/>
          </w:tcPr>
          <w:p w14:paraId="046BAC9B">
            <w:pPr>
              <w:pStyle w:val="183"/>
              <w:rPr>
                <w:sz w:val="21"/>
                <w:szCs w:val="21"/>
              </w:rPr>
            </w:pPr>
            <w:r>
              <w:rPr>
                <w:rFonts w:hint="eastAsia"/>
                <w:sz w:val="21"/>
                <w:szCs w:val="21"/>
              </w:rPr>
              <w:t>-</w:t>
            </w:r>
            <w:r>
              <w:rPr>
                <w:sz w:val="21"/>
                <w:szCs w:val="21"/>
              </w:rPr>
              <w:t>2</w:t>
            </w:r>
          </w:p>
        </w:tc>
      </w:tr>
      <w:tr w14:paraId="0E2E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5E4FF925">
            <w:pPr>
              <w:pStyle w:val="183"/>
              <w:rPr>
                <w:sz w:val="21"/>
                <w:szCs w:val="21"/>
              </w:rPr>
            </w:pPr>
          </w:p>
        </w:tc>
        <w:tc>
          <w:tcPr>
            <w:tcW w:w="867" w:type="pct"/>
            <w:vMerge w:val="continue"/>
            <w:vAlign w:val="center"/>
          </w:tcPr>
          <w:p w14:paraId="618CAC4F">
            <w:pPr>
              <w:pStyle w:val="183"/>
              <w:rPr>
                <w:sz w:val="21"/>
                <w:szCs w:val="21"/>
              </w:rPr>
            </w:pPr>
          </w:p>
        </w:tc>
        <w:tc>
          <w:tcPr>
            <w:tcW w:w="2046" w:type="pct"/>
            <w:noWrap/>
            <w:vAlign w:val="center"/>
          </w:tcPr>
          <w:p w14:paraId="547F32E0">
            <w:pPr>
              <w:pStyle w:val="183"/>
              <w:rPr>
                <w:sz w:val="21"/>
                <w:szCs w:val="21"/>
              </w:rPr>
            </w:pPr>
            <w:r>
              <w:rPr>
                <w:rFonts w:hint="eastAsia"/>
                <w:sz w:val="21"/>
                <w:szCs w:val="21"/>
              </w:rPr>
              <w:t>构件长度</w:t>
            </w:r>
          </w:p>
        </w:tc>
        <w:tc>
          <w:tcPr>
            <w:tcW w:w="1667" w:type="pct"/>
            <w:noWrap/>
            <w:vAlign w:val="center"/>
          </w:tcPr>
          <w:p w14:paraId="50994CC3">
            <w:pPr>
              <w:pStyle w:val="183"/>
              <w:rPr>
                <w:sz w:val="21"/>
                <w:szCs w:val="21"/>
              </w:rPr>
            </w:pPr>
            <w:r>
              <w:rPr>
                <w:rFonts w:hint="eastAsia"/>
                <w:sz w:val="21"/>
                <w:szCs w:val="21"/>
              </w:rPr>
              <w:t>跨度不大于2m时为±2，跨度大于2m但不大于15m时为±0.001</w:t>
            </w:r>
            <w:r>
              <w:rPr>
                <w:i/>
                <w:iCs/>
                <w:sz w:val="21"/>
                <w:szCs w:val="21"/>
              </w:rPr>
              <w:t>L</w:t>
            </w:r>
            <w:r>
              <w:rPr>
                <w:rFonts w:hint="eastAsia"/>
                <w:sz w:val="21"/>
                <w:szCs w:val="21"/>
              </w:rPr>
              <w:t>，跨度大于15m时为±15</w:t>
            </w:r>
          </w:p>
        </w:tc>
      </w:tr>
      <w:tr w14:paraId="7884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3B1E5D59">
            <w:pPr>
              <w:pStyle w:val="183"/>
              <w:rPr>
                <w:sz w:val="21"/>
                <w:szCs w:val="21"/>
              </w:rPr>
            </w:pPr>
          </w:p>
        </w:tc>
        <w:tc>
          <w:tcPr>
            <w:tcW w:w="867" w:type="pct"/>
            <w:vMerge w:val="continue"/>
            <w:vAlign w:val="center"/>
          </w:tcPr>
          <w:p w14:paraId="568BC7CF">
            <w:pPr>
              <w:pStyle w:val="183"/>
              <w:rPr>
                <w:sz w:val="21"/>
                <w:szCs w:val="21"/>
              </w:rPr>
            </w:pPr>
          </w:p>
        </w:tc>
        <w:tc>
          <w:tcPr>
            <w:tcW w:w="2046" w:type="pct"/>
            <w:noWrap/>
            <w:vAlign w:val="center"/>
          </w:tcPr>
          <w:p w14:paraId="60A46DEC">
            <w:pPr>
              <w:pStyle w:val="183"/>
              <w:rPr>
                <w:sz w:val="21"/>
                <w:szCs w:val="21"/>
              </w:rPr>
            </w:pPr>
            <w:r>
              <w:rPr>
                <w:rFonts w:hint="eastAsia"/>
                <w:sz w:val="21"/>
                <w:szCs w:val="21"/>
              </w:rPr>
              <w:t>受压或压弯构件纵向弯曲</w:t>
            </w:r>
          </w:p>
        </w:tc>
        <w:tc>
          <w:tcPr>
            <w:tcW w:w="1667" w:type="pct"/>
            <w:noWrap/>
            <w:vAlign w:val="center"/>
          </w:tcPr>
          <w:p w14:paraId="31C902D5">
            <w:pPr>
              <w:pStyle w:val="183"/>
              <w:rPr>
                <w:sz w:val="21"/>
                <w:szCs w:val="21"/>
              </w:rPr>
            </w:pPr>
            <w:r>
              <w:rPr>
                <w:rFonts w:hint="eastAsia"/>
                <w:sz w:val="21"/>
                <w:szCs w:val="21"/>
              </w:rPr>
              <w:t>±</w:t>
            </w:r>
            <w:r>
              <w:rPr>
                <w:sz w:val="21"/>
                <w:szCs w:val="21"/>
              </w:rPr>
              <w:t>0.002</w:t>
            </w:r>
            <w:r>
              <w:rPr>
                <w:i/>
                <w:iCs/>
                <w:sz w:val="21"/>
                <w:szCs w:val="21"/>
              </w:rPr>
              <w:t>L</w:t>
            </w:r>
          </w:p>
        </w:tc>
      </w:tr>
      <w:tr w14:paraId="7732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2F7538E3">
            <w:pPr>
              <w:pStyle w:val="183"/>
              <w:rPr>
                <w:sz w:val="21"/>
                <w:szCs w:val="21"/>
              </w:rPr>
            </w:pPr>
          </w:p>
        </w:tc>
        <w:tc>
          <w:tcPr>
            <w:tcW w:w="867" w:type="pct"/>
            <w:vMerge w:val="continue"/>
            <w:vAlign w:val="center"/>
          </w:tcPr>
          <w:p w14:paraId="548427E6">
            <w:pPr>
              <w:pStyle w:val="183"/>
              <w:rPr>
                <w:sz w:val="21"/>
                <w:szCs w:val="21"/>
              </w:rPr>
            </w:pPr>
          </w:p>
        </w:tc>
        <w:tc>
          <w:tcPr>
            <w:tcW w:w="2046" w:type="pct"/>
            <w:noWrap/>
            <w:vAlign w:val="center"/>
          </w:tcPr>
          <w:p w14:paraId="14D42231">
            <w:pPr>
              <w:pStyle w:val="183"/>
              <w:rPr>
                <w:sz w:val="21"/>
                <w:szCs w:val="21"/>
              </w:rPr>
            </w:pPr>
            <w:r>
              <w:rPr>
                <w:rFonts w:hint="eastAsia"/>
                <w:sz w:val="21"/>
                <w:szCs w:val="21"/>
              </w:rPr>
              <w:t>支座节点受剪面长度</w:t>
            </w:r>
          </w:p>
        </w:tc>
        <w:tc>
          <w:tcPr>
            <w:tcW w:w="1667" w:type="pct"/>
            <w:noWrap/>
            <w:vAlign w:val="center"/>
          </w:tcPr>
          <w:p w14:paraId="75471E90">
            <w:pPr>
              <w:pStyle w:val="183"/>
              <w:rPr>
                <w:sz w:val="21"/>
                <w:szCs w:val="21"/>
              </w:rPr>
            </w:pPr>
            <w:r>
              <w:rPr>
                <w:rFonts w:hint="eastAsia"/>
                <w:sz w:val="21"/>
                <w:szCs w:val="21"/>
              </w:rPr>
              <w:t>-</w:t>
            </w:r>
            <w:r>
              <w:rPr>
                <w:sz w:val="21"/>
                <w:szCs w:val="21"/>
              </w:rPr>
              <w:t>10</w:t>
            </w:r>
          </w:p>
        </w:tc>
      </w:tr>
      <w:tr w14:paraId="7F18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0" w:type="pct"/>
            <w:vMerge w:val="continue"/>
            <w:noWrap/>
            <w:vAlign w:val="center"/>
          </w:tcPr>
          <w:p w14:paraId="1949CE94">
            <w:pPr>
              <w:pStyle w:val="183"/>
              <w:rPr>
                <w:sz w:val="21"/>
                <w:szCs w:val="21"/>
              </w:rPr>
            </w:pPr>
          </w:p>
        </w:tc>
        <w:tc>
          <w:tcPr>
            <w:tcW w:w="867" w:type="pct"/>
            <w:vMerge w:val="continue"/>
            <w:vAlign w:val="center"/>
          </w:tcPr>
          <w:p w14:paraId="750C7BB3">
            <w:pPr>
              <w:pStyle w:val="183"/>
              <w:rPr>
                <w:sz w:val="21"/>
                <w:szCs w:val="21"/>
              </w:rPr>
            </w:pPr>
          </w:p>
        </w:tc>
        <w:tc>
          <w:tcPr>
            <w:tcW w:w="2046" w:type="pct"/>
            <w:noWrap/>
            <w:vAlign w:val="center"/>
          </w:tcPr>
          <w:p w14:paraId="70B58D72">
            <w:pPr>
              <w:pStyle w:val="183"/>
              <w:rPr>
                <w:sz w:val="21"/>
                <w:szCs w:val="21"/>
              </w:rPr>
            </w:pPr>
            <w:r>
              <w:rPr>
                <w:rFonts w:hint="eastAsia"/>
                <w:sz w:val="21"/>
                <w:szCs w:val="21"/>
              </w:rPr>
              <w:t>支座节点受剪面宽度</w:t>
            </w:r>
          </w:p>
        </w:tc>
        <w:tc>
          <w:tcPr>
            <w:tcW w:w="1667" w:type="pct"/>
            <w:noWrap/>
            <w:vAlign w:val="center"/>
          </w:tcPr>
          <w:p w14:paraId="6BD4398D">
            <w:pPr>
              <w:pStyle w:val="183"/>
              <w:rPr>
                <w:sz w:val="21"/>
                <w:szCs w:val="21"/>
              </w:rPr>
            </w:pPr>
            <w:r>
              <w:rPr>
                <w:rFonts w:hint="eastAsia"/>
                <w:sz w:val="21"/>
                <w:szCs w:val="21"/>
              </w:rPr>
              <w:t>-</w:t>
            </w:r>
            <w:r>
              <w:rPr>
                <w:sz w:val="21"/>
                <w:szCs w:val="21"/>
              </w:rPr>
              <w:t>3</w:t>
            </w:r>
          </w:p>
        </w:tc>
      </w:tr>
      <w:tr w14:paraId="0AD4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20" w:type="pct"/>
            <w:vMerge w:val="restart"/>
            <w:noWrap/>
            <w:vAlign w:val="center"/>
          </w:tcPr>
          <w:p w14:paraId="52424697">
            <w:pPr>
              <w:pStyle w:val="183"/>
              <w:jc w:val="both"/>
              <w:rPr>
                <w:sz w:val="21"/>
                <w:szCs w:val="21"/>
              </w:rPr>
            </w:pPr>
            <w:r>
              <w:rPr>
                <w:rFonts w:hint="eastAsia"/>
                <w:sz w:val="21"/>
                <w:szCs w:val="21"/>
              </w:rPr>
              <w:t>木墙、木楼盖、木屋盖</w:t>
            </w:r>
          </w:p>
        </w:tc>
        <w:tc>
          <w:tcPr>
            <w:tcW w:w="867" w:type="pct"/>
            <w:vMerge w:val="restart"/>
            <w:vAlign w:val="center"/>
          </w:tcPr>
          <w:p w14:paraId="1D57660F">
            <w:pPr>
              <w:pStyle w:val="183"/>
              <w:rPr>
                <w:sz w:val="21"/>
                <w:szCs w:val="21"/>
              </w:rPr>
            </w:pPr>
            <w:r>
              <w:rPr>
                <w:rFonts w:hint="eastAsia"/>
                <w:sz w:val="21"/>
                <w:szCs w:val="21"/>
              </w:rPr>
              <w:t>木基结构板剪力墙、井干式木结构墙体、木基结构板楼盖、木基结构板屋盖</w:t>
            </w:r>
          </w:p>
        </w:tc>
        <w:tc>
          <w:tcPr>
            <w:tcW w:w="2046" w:type="pct"/>
            <w:noWrap/>
            <w:vAlign w:val="center"/>
          </w:tcPr>
          <w:p w14:paraId="4A5657CD">
            <w:pPr>
              <w:pStyle w:val="183"/>
              <w:rPr>
                <w:sz w:val="21"/>
                <w:szCs w:val="21"/>
              </w:rPr>
            </w:pPr>
            <w:r>
              <w:rPr>
                <w:rFonts w:hint="eastAsia"/>
                <w:sz w:val="21"/>
                <w:szCs w:val="21"/>
              </w:rPr>
              <w:t>截面厚度</w:t>
            </w:r>
          </w:p>
        </w:tc>
        <w:tc>
          <w:tcPr>
            <w:tcW w:w="1667" w:type="pct"/>
            <w:noWrap/>
            <w:vAlign w:val="center"/>
          </w:tcPr>
          <w:p w14:paraId="55D089FB">
            <w:pPr>
              <w:pStyle w:val="183"/>
              <w:rPr>
                <w:sz w:val="21"/>
                <w:szCs w:val="21"/>
              </w:rPr>
            </w:pPr>
            <w:r>
              <w:rPr>
                <w:rFonts w:hint="eastAsia"/>
                <w:sz w:val="21"/>
                <w:szCs w:val="21"/>
              </w:rPr>
              <w:t>±4与±0.02</w:t>
            </w:r>
            <w:r>
              <w:rPr>
                <w:i/>
                <w:iCs/>
                <w:sz w:val="21"/>
                <w:szCs w:val="21"/>
              </w:rPr>
              <w:t>B</w:t>
            </w:r>
            <w:r>
              <w:rPr>
                <w:rFonts w:hint="eastAsia"/>
                <w:sz w:val="21"/>
                <w:szCs w:val="21"/>
              </w:rPr>
              <w:t>之间的较大值</w:t>
            </w:r>
          </w:p>
        </w:tc>
      </w:tr>
      <w:tr w14:paraId="7D20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20" w:type="pct"/>
            <w:vMerge w:val="continue"/>
            <w:noWrap/>
            <w:vAlign w:val="center"/>
          </w:tcPr>
          <w:p w14:paraId="5A8D29F9">
            <w:pPr>
              <w:pStyle w:val="183"/>
              <w:rPr>
                <w:sz w:val="21"/>
                <w:szCs w:val="21"/>
              </w:rPr>
            </w:pPr>
          </w:p>
        </w:tc>
        <w:tc>
          <w:tcPr>
            <w:tcW w:w="867" w:type="pct"/>
            <w:vMerge w:val="continue"/>
            <w:vAlign w:val="center"/>
          </w:tcPr>
          <w:p w14:paraId="199D00A6">
            <w:pPr>
              <w:pStyle w:val="183"/>
              <w:rPr>
                <w:sz w:val="21"/>
                <w:szCs w:val="21"/>
              </w:rPr>
            </w:pPr>
          </w:p>
        </w:tc>
        <w:tc>
          <w:tcPr>
            <w:tcW w:w="2046" w:type="pct"/>
            <w:noWrap/>
            <w:vAlign w:val="center"/>
          </w:tcPr>
          <w:p w14:paraId="20DA088D">
            <w:pPr>
              <w:pStyle w:val="183"/>
              <w:rPr>
                <w:sz w:val="21"/>
                <w:szCs w:val="21"/>
              </w:rPr>
            </w:pPr>
            <w:r>
              <w:rPr>
                <w:rFonts w:hint="eastAsia"/>
                <w:sz w:val="21"/>
                <w:szCs w:val="21"/>
              </w:rPr>
              <w:t>截面宽度</w:t>
            </w:r>
          </w:p>
        </w:tc>
        <w:tc>
          <w:tcPr>
            <w:tcW w:w="1667" w:type="pct"/>
            <w:noWrap/>
            <w:vAlign w:val="center"/>
          </w:tcPr>
          <w:p w14:paraId="2A782EED">
            <w:pPr>
              <w:pStyle w:val="183"/>
              <w:rPr>
                <w:sz w:val="21"/>
                <w:szCs w:val="21"/>
              </w:rPr>
            </w:pPr>
            <w:r>
              <w:rPr>
                <w:rFonts w:hint="eastAsia"/>
                <w:sz w:val="21"/>
                <w:szCs w:val="21"/>
              </w:rPr>
              <w:t>±</w:t>
            </w:r>
            <w:r>
              <w:rPr>
                <w:sz w:val="21"/>
                <w:szCs w:val="21"/>
              </w:rPr>
              <w:t>5</w:t>
            </w:r>
          </w:p>
        </w:tc>
      </w:tr>
      <w:tr w14:paraId="6C7E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20" w:type="pct"/>
            <w:vMerge w:val="continue"/>
            <w:noWrap/>
            <w:vAlign w:val="center"/>
          </w:tcPr>
          <w:p w14:paraId="00034FF1">
            <w:pPr>
              <w:pStyle w:val="183"/>
              <w:rPr>
                <w:sz w:val="21"/>
                <w:szCs w:val="21"/>
              </w:rPr>
            </w:pPr>
          </w:p>
        </w:tc>
        <w:tc>
          <w:tcPr>
            <w:tcW w:w="867" w:type="pct"/>
            <w:vMerge w:val="continue"/>
            <w:vAlign w:val="center"/>
          </w:tcPr>
          <w:p w14:paraId="6C6D19EC">
            <w:pPr>
              <w:pStyle w:val="183"/>
              <w:rPr>
                <w:sz w:val="21"/>
                <w:szCs w:val="21"/>
              </w:rPr>
            </w:pPr>
          </w:p>
        </w:tc>
        <w:tc>
          <w:tcPr>
            <w:tcW w:w="2046" w:type="pct"/>
            <w:noWrap/>
            <w:vAlign w:val="center"/>
          </w:tcPr>
          <w:p w14:paraId="07F38AF4">
            <w:pPr>
              <w:pStyle w:val="183"/>
              <w:rPr>
                <w:sz w:val="21"/>
                <w:szCs w:val="21"/>
              </w:rPr>
            </w:pPr>
            <w:r>
              <w:rPr>
                <w:rFonts w:hint="eastAsia"/>
                <w:sz w:val="21"/>
                <w:szCs w:val="21"/>
              </w:rPr>
              <w:t>墙体高度/楼盖屋盖构件跨度方向长度</w:t>
            </w:r>
          </w:p>
        </w:tc>
        <w:tc>
          <w:tcPr>
            <w:tcW w:w="1667" w:type="pct"/>
            <w:noWrap/>
            <w:vAlign w:val="center"/>
          </w:tcPr>
          <w:p w14:paraId="3C35B357">
            <w:pPr>
              <w:pStyle w:val="183"/>
              <w:rPr>
                <w:sz w:val="21"/>
                <w:szCs w:val="21"/>
              </w:rPr>
            </w:pPr>
            <w:r>
              <w:rPr>
                <w:rFonts w:hint="eastAsia"/>
                <w:sz w:val="21"/>
                <w:szCs w:val="21"/>
              </w:rPr>
              <w:t>±</w:t>
            </w:r>
            <w:r>
              <w:rPr>
                <w:sz w:val="21"/>
                <w:szCs w:val="21"/>
              </w:rPr>
              <w:t>10</w:t>
            </w:r>
          </w:p>
        </w:tc>
      </w:tr>
      <w:tr w14:paraId="21AC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20" w:type="pct"/>
            <w:vMerge w:val="continue"/>
            <w:noWrap/>
            <w:vAlign w:val="center"/>
          </w:tcPr>
          <w:p w14:paraId="20650369">
            <w:pPr>
              <w:pStyle w:val="183"/>
              <w:rPr>
                <w:sz w:val="21"/>
                <w:szCs w:val="21"/>
              </w:rPr>
            </w:pPr>
          </w:p>
        </w:tc>
        <w:tc>
          <w:tcPr>
            <w:tcW w:w="867" w:type="pct"/>
            <w:vMerge w:val="continue"/>
            <w:vAlign w:val="center"/>
          </w:tcPr>
          <w:p w14:paraId="481C5F82">
            <w:pPr>
              <w:pStyle w:val="183"/>
              <w:rPr>
                <w:sz w:val="21"/>
                <w:szCs w:val="21"/>
              </w:rPr>
            </w:pPr>
          </w:p>
        </w:tc>
        <w:tc>
          <w:tcPr>
            <w:tcW w:w="2046" w:type="pct"/>
            <w:noWrap/>
            <w:vAlign w:val="center"/>
          </w:tcPr>
          <w:p w14:paraId="3F7539FD">
            <w:pPr>
              <w:pStyle w:val="183"/>
              <w:rPr>
                <w:sz w:val="21"/>
                <w:szCs w:val="21"/>
              </w:rPr>
            </w:pPr>
            <w:r>
              <w:rPr>
                <w:rFonts w:hint="eastAsia"/>
                <w:sz w:val="21"/>
                <w:szCs w:val="21"/>
              </w:rPr>
              <w:t>任一截面对角线差</w:t>
            </w:r>
          </w:p>
        </w:tc>
        <w:tc>
          <w:tcPr>
            <w:tcW w:w="1667" w:type="pct"/>
            <w:noWrap/>
            <w:vAlign w:val="center"/>
          </w:tcPr>
          <w:p w14:paraId="1F29112D">
            <w:pPr>
              <w:pStyle w:val="183"/>
              <w:rPr>
                <w:sz w:val="21"/>
                <w:szCs w:val="21"/>
              </w:rPr>
            </w:pPr>
            <w:r>
              <w:rPr>
                <w:rFonts w:hint="eastAsia"/>
                <w:sz w:val="21"/>
                <w:szCs w:val="21"/>
              </w:rPr>
              <w:t>±</w:t>
            </w:r>
            <w:r>
              <w:rPr>
                <w:sz w:val="21"/>
                <w:szCs w:val="21"/>
              </w:rPr>
              <w:t>5</w:t>
            </w:r>
          </w:p>
        </w:tc>
      </w:tr>
      <w:tr w14:paraId="2F94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420" w:type="pct"/>
            <w:vMerge w:val="continue"/>
            <w:noWrap/>
            <w:vAlign w:val="center"/>
          </w:tcPr>
          <w:p w14:paraId="4A426FB6">
            <w:pPr>
              <w:pStyle w:val="183"/>
              <w:rPr>
                <w:sz w:val="21"/>
                <w:szCs w:val="21"/>
              </w:rPr>
            </w:pPr>
          </w:p>
        </w:tc>
        <w:tc>
          <w:tcPr>
            <w:tcW w:w="867" w:type="pct"/>
            <w:vMerge w:val="restart"/>
            <w:vAlign w:val="center"/>
          </w:tcPr>
          <w:p w14:paraId="4AB9B12A">
            <w:pPr>
              <w:pStyle w:val="183"/>
              <w:rPr>
                <w:sz w:val="21"/>
                <w:szCs w:val="21"/>
              </w:rPr>
            </w:pPr>
            <w:r>
              <w:rPr>
                <w:rFonts w:hint="eastAsia"/>
                <w:sz w:val="21"/>
                <w:szCs w:val="21"/>
              </w:rPr>
              <w:t>正交胶合木墙体、正交胶合木楼盖、正交胶合木屋盖</w:t>
            </w:r>
          </w:p>
        </w:tc>
        <w:tc>
          <w:tcPr>
            <w:tcW w:w="2046" w:type="pct"/>
            <w:noWrap/>
            <w:vAlign w:val="center"/>
          </w:tcPr>
          <w:p w14:paraId="5E82D639">
            <w:pPr>
              <w:pStyle w:val="183"/>
              <w:rPr>
                <w:sz w:val="21"/>
                <w:szCs w:val="21"/>
              </w:rPr>
            </w:pPr>
            <w:r>
              <w:rPr>
                <w:rFonts w:hint="eastAsia"/>
                <w:sz w:val="21"/>
                <w:szCs w:val="21"/>
              </w:rPr>
              <w:t>截面厚度</w:t>
            </w:r>
          </w:p>
        </w:tc>
        <w:tc>
          <w:tcPr>
            <w:tcW w:w="1667" w:type="pct"/>
            <w:noWrap/>
            <w:vAlign w:val="center"/>
          </w:tcPr>
          <w:p w14:paraId="5DDE8C44">
            <w:pPr>
              <w:pStyle w:val="183"/>
              <w:rPr>
                <w:sz w:val="21"/>
                <w:szCs w:val="21"/>
              </w:rPr>
            </w:pPr>
            <w:r>
              <w:rPr>
                <w:rFonts w:hint="eastAsia"/>
                <w:sz w:val="21"/>
                <w:szCs w:val="21"/>
              </w:rPr>
              <w:t>±1.6与±0.02</w:t>
            </w:r>
            <w:r>
              <w:rPr>
                <w:i/>
                <w:iCs/>
                <w:sz w:val="21"/>
                <w:szCs w:val="21"/>
              </w:rPr>
              <w:t>B</w:t>
            </w:r>
            <w:r>
              <w:rPr>
                <w:rFonts w:hint="eastAsia"/>
                <w:sz w:val="21"/>
                <w:szCs w:val="21"/>
              </w:rPr>
              <w:t>之间的较大值</w:t>
            </w:r>
          </w:p>
        </w:tc>
      </w:tr>
      <w:tr w14:paraId="539E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0" w:type="pct"/>
            <w:vMerge w:val="continue"/>
            <w:noWrap/>
            <w:vAlign w:val="center"/>
          </w:tcPr>
          <w:p w14:paraId="5A66AA72">
            <w:pPr>
              <w:pStyle w:val="183"/>
              <w:rPr>
                <w:sz w:val="21"/>
                <w:szCs w:val="21"/>
              </w:rPr>
            </w:pPr>
          </w:p>
        </w:tc>
        <w:tc>
          <w:tcPr>
            <w:tcW w:w="867" w:type="pct"/>
            <w:vMerge w:val="continue"/>
            <w:vAlign w:val="center"/>
          </w:tcPr>
          <w:p w14:paraId="57B91474">
            <w:pPr>
              <w:pStyle w:val="183"/>
              <w:rPr>
                <w:sz w:val="21"/>
                <w:szCs w:val="21"/>
              </w:rPr>
            </w:pPr>
          </w:p>
        </w:tc>
        <w:tc>
          <w:tcPr>
            <w:tcW w:w="2046" w:type="pct"/>
            <w:noWrap/>
            <w:vAlign w:val="center"/>
          </w:tcPr>
          <w:p w14:paraId="553D2C25">
            <w:pPr>
              <w:pStyle w:val="183"/>
              <w:rPr>
                <w:sz w:val="21"/>
                <w:szCs w:val="21"/>
              </w:rPr>
            </w:pPr>
            <w:r>
              <w:rPr>
                <w:rFonts w:hint="eastAsia"/>
                <w:sz w:val="21"/>
                <w:szCs w:val="21"/>
              </w:rPr>
              <w:t>截面宽度（弱轴方向）</w:t>
            </w:r>
          </w:p>
        </w:tc>
        <w:tc>
          <w:tcPr>
            <w:tcW w:w="1667" w:type="pct"/>
            <w:noWrap/>
            <w:vAlign w:val="center"/>
          </w:tcPr>
          <w:p w14:paraId="337668D7">
            <w:pPr>
              <w:pStyle w:val="183"/>
              <w:rPr>
                <w:sz w:val="21"/>
                <w:szCs w:val="21"/>
              </w:rPr>
            </w:pPr>
            <w:r>
              <w:rPr>
                <w:rFonts w:hint="eastAsia"/>
                <w:sz w:val="21"/>
                <w:szCs w:val="21"/>
              </w:rPr>
              <w:t>±</w:t>
            </w:r>
            <w:r>
              <w:rPr>
                <w:sz w:val="21"/>
                <w:szCs w:val="21"/>
              </w:rPr>
              <w:t>3.2</w:t>
            </w:r>
          </w:p>
        </w:tc>
      </w:tr>
      <w:tr w14:paraId="387D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20" w:type="pct"/>
            <w:vMerge w:val="continue"/>
            <w:noWrap/>
            <w:vAlign w:val="center"/>
          </w:tcPr>
          <w:p w14:paraId="061430AB">
            <w:pPr>
              <w:pStyle w:val="183"/>
              <w:rPr>
                <w:sz w:val="21"/>
                <w:szCs w:val="21"/>
              </w:rPr>
            </w:pPr>
          </w:p>
        </w:tc>
        <w:tc>
          <w:tcPr>
            <w:tcW w:w="867" w:type="pct"/>
            <w:vMerge w:val="continue"/>
            <w:vAlign w:val="center"/>
          </w:tcPr>
          <w:p w14:paraId="1119AB8B">
            <w:pPr>
              <w:pStyle w:val="183"/>
              <w:rPr>
                <w:sz w:val="21"/>
                <w:szCs w:val="21"/>
              </w:rPr>
            </w:pPr>
          </w:p>
        </w:tc>
        <w:tc>
          <w:tcPr>
            <w:tcW w:w="2046" w:type="pct"/>
            <w:noWrap/>
            <w:vAlign w:val="center"/>
          </w:tcPr>
          <w:p w14:paraId="6FA817A0">
            <w:pPr>
              <w:pStyle w:val="183"/>
              <w:rPr>
                <w:sz w:val="21"/>
                <w:szCs w:val="21"/>
              </w:rPr>
            </w:pPr>
            <w:r>
              <w:rPr>
                <w:rFonts w:hint="eastAsia"/>
                <w:sz w:val="21"/>
                <w:szCs w:val="21"/>
              </w:rPr>
              <w:t>墙体高度/楼盖屋盖长度（强轴方向）</w:t>
            </w:r>
          </w:p>
        </w:tc>
        <w:tc>
          <w:tcPr>
            <w:tcW w:w="1667" w:type="pct"/>
            <w:noWrap/>
            <w:vAlign w:val="center"/>
          </w:tcPr>
          <w:p w14:paraId="20BA79A0">
            <w:pPr>
              <w:pStyle w:val="183"/>
              <w:rPr>
                <w:sz w:val="21"/>
                <w:szCs w:val="21"/>
              </w:rPr>
            </w:pPr>
            <w:r>
              <w:rPr>
                <w:rFonts w:hint="eastAsia"/>
                <w:sz w:val="21"/>
                <w:szCs w:val="21"/>
              </w:rPr>
              <w:t>±</w:t>
            </w:r>
            <w:r>
              <w:rPr>
                <w:sz w:val="21"/>
                <w:szCs w:val="21"/>
              </w:rPr>
              <w:t>6.4</w:t>
            </w:r>
          </w:p>
        </w:tc>
      </w:tr>
      <w:tr w14:paraId="64FF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20" w:type="pct"/>
            <w:vMerge w:val="continue"/>
            <w:noWrap/>
            <w:vAlign w:val="center"/>
          </w:tcPr>
          <w:p w14:paraId="274F634B">
            <w:pPr>
              <w:pStyle w:val="183"/>
              <w:rPr>
                <w:sz w:val="21"/>
                <w:szCs w:val="21"/>
              </w:rPr>
            </w:pPr>
          </w:p>
        </w:tc>
        <w:tc>
          <w:tcPr>
            <w:tcW w:w="867" w:type="pct"/>
            <w:vMerge w:val="continue"/>
            <w:vAlign w:val="center"/>
          </w:tcPr>
          <w:p w14:paraId="13FE34CD">
            <w:pPr>
              <w:pStyle w:val="183"/>
              <w:rPr>
                <w:sz w:val="21"/>
                <w:szCs w:val="21"/>
              </w:rPr>
            </w:pPr>
          </w:p>
        </w:tc>
        <w:tc>
          <w:tcPr>
            <w:tcW w:w="2046" w:type="pct"/>
            <w:noWrap/>
            <w:vAlign w:val="center"/>
          </w:tcPr>
          <w:p w14:paraId="29EDE2F6">
            <w:pPr>
              <w:pStyle w:val="183"/>
              <w:rPr>
                <w:sz w:val="21"/>
                <w:szCs w:val="21"/>
              </w:rPr>
            </w:pPr>
            <w:r>
              <w:rPr>
                <w:rFonts w:hint="eastAsia"/>
                <w:sz w:val="21"/>
                <w:szCs w:val="21"/>
              </w:rPr>
              <w:t>任一截面对角线差</w:t>
            </w:r>
          </w:p>
        </w:tc>
        <w:tc>
          <w:tcPr>
            <w:tcW w:w="1667" w:type="pct"/>
            <w:noWrap/>
            <w:vAlign w:val="center"/>
          </w:tcPr>
          <w:p w14:paraId="5B9F3D03">
            <w:pPr>
              <w:pStyle w:val="183"/>
              <w:rPr>
                <w:sz w:val="21"/>
                <w:szCs w:val="21"/>
              </w:rPr>
            </w:pPr>
            <w:r>
              <w:rPr>
                <w:rFonts w:hint="eastAsia"/>
                <w:sz w:val="21"/>
                <w:szCs w:val="21"/>
              </w:rPr>
              <w:t>±</w:t>
            </w:r>
            <w:r>
              <w:rPr>
                <w:sz w:val="21"/>
                <w:szCs w:val="21"/>
              </w:rPr>
              <w:t>3.2</w:t>
            </w:r>
          </w:p>
        </w:tc>
      </w:tr>
      <w:tr w14:paraId="4025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287" w:type="pct"/>
            <w:gridSpan w:val="2"/>
            <w:vMerge w:val="restart"/>
            <w:noWrap/>
            <w:vAlign w:val="center"/>
          </w:tcPr>
          <w:p w14:paraId="29E84E47">
            <w:pPr>
              <w:pStyle w:val="183"/>
              <w:rPr>
                <w:sz w:val="21"/>
                <w:szCs w:val="21"/>
              </w:rPr>
            </w:pPr>
            <w:r>
              <w:rPr>
                <w:rFonts w:hint="eastAsia"/>
                <w:sz w:val="21"/>
                <w:szCs w:val="21"/>
              </w:rPr>
              <w:t>木拱</w:t>
            </w:r>
          </w:p>
        </w:tc>
        <w:tc>
          <w:tcPr>
            <w:tcW w:w="2046" w:type="pct"/>
            <w:noWrap/>
            <w:vAlign w:val="center"/>
          </w:tcPr>
          <w:p w14:paraId="58BDDC3A">
            <w:pPr>
              <w:pStyle w:val="183"/>
              <w:rPr>
                <w:sz w:val="21"/>
                <w:szCs w:val="21"/>
              </w:rPr>
            </w:pPr>
            <w:r>
              <w:rPr>
                <w:rFonts w:hint="eastAsia"/>
                <w:sz w:val="21"/>
                <w:szCs w:val="21"/>
              </w:rPr>
              <w:t>截面高度</w:t>
            </w:r>
          </w:p>
        </w:tc>
        <w:tc>
          <w:tcPr>
            <w:tcW w:w="1667" w:type="pct"/>
            <w:noWrap/>
            <w:vAlign w:val="center"/>
          </w:tcPr>
          <w:p w14:paraId="58B239AE">
            <w:pPr>
              <w:pStyle w:val="183"/>
              <w:rPr>
                <w:sz w:val="21"/>
                <w:szCs w:val="21"/>
              </w:rPr>
            </w:pPr>
            <w:r>
              <w:rPr>
                <w:rFonts w:hint="eastAsia"/>
                <w:sz w:val="21"/>
                <w:szCs w:val="21"/>
              </w:rPr>
              <w:t>+4与+</w:t>
            </w:r>
            <w:r>
              <w:rPr>
                <w:sz w:val="21"/>
                <w:szCs w:val="21"/>
              </w:rPr>
              <w:t>0.01</w:t>
            </w:r>
            <w:r>
              <w:rPr>
                <w:i/>
                <w:sz w:val="21"/>
                <w:szCs w:val="21"/>
              </w:rPr>
              <w:t>B</w:t>
            </w:r>
            <w:r>
              <w:rPr>
                <w:rFonts w:hint="eastAsia"/>
                <w:sz w:val="21"/>
                <w:szCs w:val="21"/>
              </w:rPr>
              <w:t>之间的较大值，-</w:t>
            </w:r>
            <w:r>
              <w:rPr>
                <w:sz w:val="21"/>
                <w:szCs w:val="21"/>
              </w:rPr>
              <w:t>2</w:t>
            </w:r>
            <w:r>
              <w:rPr>
                <w:rFonts w:hint="eastAsia"/>
                <w:sz w:val="21"/>
                <w:szCs w:val="21"/>
              </w:rPr>
              <w:t>与-</w:t>
            </w:r>
            <w:r>
              <w:rPr>
                <w:sz w:val="21"/>
                <w:szCs w:val="21"/>
              </w:rPr>
              <w:t>0.005</w:t>
            </w:r>
            <w:r>
              <w:rPr>
                <w:i/>
                <w:sz w:val="21"/>
                <w:szCs w:val="21"/>
              </w:rPr>
              <w:t>B</w:t>
            </w:r>
            <w:r>
              <w:rPr>
                <w:rFonts w:hint="eastAsia"/>
                <w:sz w:val="21"/>
                <w:szCs w:val="21"/>
              </w:rPr>
              <w:t>之间的较小值</w:t>
            </w:r>
          </w:p>
        </w:tc>
      </w:tr>
      <w:tr w14:paraId="4DEF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287" w:type="pct"/>
            <w:gridSpan w:val="2"/>
            <w:vMerge w:val="continue"/>
            <w:noWrap/>
            <w:vAlign w:val="center"/>
          </w:tcPr>
          <w:p w14:paraId="1D26EA54">
            <w:pPr>
              <w:pStyle w:val="183"/>
              <w:rPr>
                <w:sz w:val="21"/>
                <w:szCs w:val="21"/>
              </w:rPr>
            </w:pPr>
          </w:p>
        </w:tc>
        <w:tc>
          <w:tcPr>
            <w:tcW w:w="2046" w:type="pct"/>
            <w:noWrap/>
            <w:vAlign w:val="center"/>
          </w:tcPr>
          <w:p w14:paraId="257BC11E">
            <w:pPr>
              <w:pStyle w:val="183"/>
              <w:rPr>
                <w:sz w:val="21"/>
                <w:szCs w:val="21"/>
              </w:rPr>
            </w:pPr>
            <w:r>
              <w:rPr>
                <w:rFonts w:hint="eastAsia"/>
                <w:sz w:val="21"/>
                <w:szCs w:val="21"/>
              </w:rPr>
              <w:t>截面宽度</w:t>
            </w:r>
          </w:p>
        </w:tc>
        <w:tc>
          <w:tcPr>
            <w:tcW w:w="1667" w:type="pct"/>
            <w:noWrap/>
            <w:vAlign w:val="center"/>
          </w:tcPr>
          <w:p w14:paraId="524983E8">
            <w:pPr>
              <w:pStyle w:val="183"/>
              <w:rPr>
                <w:sz w:val="21"/>
                <w:szCs w:val="21"/>
              </w:rPr>
            </w:pPr>
            <w:r>
              <w:rPr>
                <w:rFonts w:hint="eastAsia"/>
                <w:sz w:val="21"/>
                <w:szCs w:val="21"/>
              </w:rPr>
              <w:t>±</w:t>
            </w:r>
            <w:r>
              <w:rPr>
                <w:sz w:val="21"/>
                <w:szCs w:val="21"/>
              </w:rPr>
              <w:t>2</w:t>
            </w:r>
          </w:p>
        </w:tc>
      </w:tr>
      <w:tr w14:paraId="29F4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287" w:type="pct"/>
            <w:gridSpan w:val="2"/>
            <w:vMerge w:val="continue"/>
            <w:noWrap/>
            <w:vAlign w:val="center"/>
          </w:tcPr>
          <w:p w14:paraId="5F24D393">
            <w:pPr>
              <w:pStyle w:val="183"/>
              <w:rPr>
                <w:sz w:val="21"/>
                <w:szCs w:val="21"/>
              </w:rPr>
            </w:pPr>
          </w:p>
        </w:tc>
        <w:tc>
          <w:tcPr>
            <w:tcW w:w="2046" w:type="pct"/>
            <w:noWrap/>
            <w:vAlign w:val="center"/>
          </w:tcPr>
          <w:p w14:paraId="56FDAE38">
            <w:pPr>
              <w:pStyle w:val="183"/>
              <w:rPr>
                <w:sz w:val="21"/>
                <w:szCs w:val="21"/>
              </w:rPr>
            </w:pPr>
            <w:r>
              <w:rPr>
                <w:rFonts w:hint="eastAsia"/>
                <w:sz w:val="21"/>
                <w:szCs w:val="21"/>
              </w:rPr>
              <w:t>构件长度</w:t>
            </w:r>
          </w:p>
        </w:tc>
        <w:tc>
          <w:tcPr>
            <w:tcW w:w="1667" w:type="pct"/>
            <w:noWrap/>
            <w:vAlign w:val="center"/>
          </w:tcPr>
          <w:p w14:paraId="7BF056B3">
            <w:pPr>
              <w:pStyle w:val="183"/>
              <w:rPr>
                <w:sz w:val="21"/>
                <w:szCs w:val="21"/>
              </w:rPr>
            </w:pPr>
            <w:r>
              <w:rPr>
                <w:rFonts w:hint="eastAsia"/>
                <w:sz w:val="21"/>
                <w:szCs w:val="21"/>
              </w:rPr>
              <w:t>跨度不大于2m时为±2，跨度大于2m但不大于15m时为±0.001</w:t>
            </w:r>
            <w:r>
              <w:rPr>
                <w:i/>
                <w:iCs/>
                <w:sz w:val="21"/>
                <w:szCs w:val="21"/>
              </w:rPr>
              <w:t>L</w:t>
            </w:r>
            <w:r>
              <w:rPr>
                <w:rFonts w:hint="eastAsia"/>
                <w:sz w:val="21"/>
                <w:szCs w:val="21"/>
              </w:rPr>
              <w:t>，跨度大于15m时为±15</w:t>
            </w:r>
          </w:p>
        </w:tc>
      </w:tr>
      <w:tr w14:paraId="7F3A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287" w:type="pct"/>
            <w:gridSpan w:val="2"/>
            <w:vMerge w:val="continue"/>
            <w:noWrap/>
            <w:vAlign w:val="center"/>
          </w:tcPr>
          <w:p w14:paraId="0A976B43">
            <w:pPr>
              <w:pStyle w:val="183"/>
              <w:rPr>
                <w:sz w:val="21"/>
                <w:szCs w:val="21"/>
              </w:rPr>
            </w:pPr>
          </w:p>
        </w:tc>
        <w:tc>
          <w:tcPr>
            <w:tcW w:w="2046" w:type="pct"/>
            <w:noWrap/>
            <w:vAlign w:val="center"/>
          </w:tcPr>
          <w:p w14:paraId="4BE0C01C">
            <w:pPr>
              <w:pStyle w:val="183"/>
              <w:rPr>
                <w:sz w:val="21"/>
                <w:szCs w:val="21"/>
              </w:rPr>
            </w:pPr>
            <w:r>
              <w:rPr>
                <w:rFonts w:hint="eastAsia"/>
                <w:sz w:val="21"/>
                <w:szCs w:val="21"/>
              </w:rPr>
              <w:t>矢高</w:t>
            </w:r>
          </w:p>
        </w:tc>
        <w:tc>
          <w:tcPr>
            <w:tcW w:w="1667" w:type="pct"/>
            <w:noWrap/>
            <w:vAlign w:val="center"/>
          </w:tcPr>
          <w:p w14:paraId="42106638">
            <w:pPr>
              <w:pStyle w:val="183"/>
              <w:rPr>
                <w:sz w:val="21"/>
                <w:szCs w:val="21"/>
              </w:rPr>
            </w:pPr>
            <w:r>
              <w:rPr>
                <w:rFonts w:hint="eastAsia"/>
                <w:sz w:val="21"/>
                <w:szCs w:val="21"/>
              </w:rPr>
              <w:t>构件长度在6m以内时为±5mm，长度每增加6m，允许偏差增大±2mm，总偏差不大于±16mm</w:t>
            </w:r>
          </w:p>
        </w:tc>
      </w:tr>
      <w:tr w14:paraId="44C8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287" w:type="pct"/>
            <w:gridSpan w:val="2"/>
            <w:vMerge w:val="restart"/>
            <w:noWrap/>
            <w:vAlign w:val="center"/>
          </w:tcPr>
          <w:p w14:paraId="0F39BD1A">
            <w:pPr>
              <w:pStyle w:val="183"/>
              <w:rPr>
                <w:sz w:val="21"/>
                <w:szCs w:val="21"/>
              </w:rPr>
            </w:pPr>
            <w:r>
              <w:rPr>
                <w:rFonts w:hint="eastAsia"/>
                <w:sz w:val="21"/>
                <w:szCs w:val="21"/>
              </w:rPr>
              <w:t>木桁架</w:t>
            </w:r>
          </w:p>
        </w:tc>
        <w:tc>
          <w:tcPr>
            <w:tcW w:w="2046" w:type="pct"/>
            <w:noWrap/>
            <w:vAlign w:val="center"/>
          </w:tcPr>
          <w:p w14:paraId="3C1EB535">
            <w:pPr>
              <w:pStyle w:val="183"/>
              <w:rPr>
                <w:sz w:val="21"/>
                <w:szCs w:val="21"/>
              </w:rPr>
            </w:pPr>
            <w:r>
              <w:rPr>
                <w:rFonts w:hint="eastAsia"/>
                <w:sz w:val="21"/>
                <w:szCs w:val="21"/>
              </w:rPr>
              <w:t>高度</w:t>
            </w:r>
          </w:p>
        </w:tc>
        <w:tc>
          <w:tcPr>
            <w:tcW w:w="1667" w:type="pct"/>
            <w:noWrap/>
            <w:vAlign w:val="center"/>
          </w:tcPr>
          <w:p w14:paraId="620E74E4">
            <w:pPr>
              <w:pStyle w:val="183"/>
              <w:rPr>
                <w:sz w:val="21"/>
                <w:szCs w:val="21"/>
              </w:rPr>
            </w:pPr>
            <w:r>
              <w:rPr>
                <w:rFonts w:hint="eastAsia"/>
                <w:sz w:val="21"/>
                <w:szCs w:val="21"/>
              </w:rPr>
              <w:t>跨度不大于15m时为±10，跨度大于15m时为±15</w:t>
            </w:r>
          </w:p>
        </w:tc>
      </w:tr>
      <w:tr w14:paraId="17AD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287" w:type="pct"/>
            <w:gridSpan w:val="2"/>
            <w:vMerge w:val="continue"/>
            <w:noWrap/>
            <w:vAlign w:val="center"/>
          </w:tcPr>
          <w:p w14:paraId="1C5A9AA5">
            <w:pPr>
              <w:pStyle w:val="183"/>
              <w:rPr>
                <w:sz w:val="21"/>
                <w:szCs w:val="21"/>
              </w:rPr>
            </w:pPr>
          </w:p>
        </w:tc>
        <w:tc>
          <w:tcPr>
            <w:tcW w:w="2046" w:type="pct"/>
            <w:noWrap/>
            <w:vAlign w:val="center"/>
          </w:tcPr>
          <w:p w14:paraId="2831784E">
            <w:pPr>
              <w:pStyle w:val="183"/>
              <w:rPr>
                <w:sz w:val="21"/>
                <w:szCs w:val="21"/>
              </w:rPr>
            </w:pPr>
            <w:r>
              <w:rPr>
                <w:rFonts w:hint="eastAsia"/>
                <w:sz w:val="21"/>
                <w:szCs w:val="21"/>
              </w:rPr>
              <w:t>起拱长度（两支座节点下弦中心线水平长度）</w:t>
            </w:r>
          </w:p>
        </w:tc>
        <w:tc>
          <w:tcPr>
            <w:tcW w:w="1667" w:type="pct"/>
            <w:noWrap/>
            <w:vAlign w:val="center"/>
          </w:tcPr>
          <w:p w14:paraId="74774E61">
            <w:pPr>
              <w:pStyle w:val="183"/>
              <w:rPr>
                <w:sz w:val="21"/>
                <w:szCs w:val="21"/>
              </w:rPr>
            </w:pPr>
            <w:r>
              <w:rPr>
                <w:rFonts w:hint="eastAsia"/>
                <w:sz w:val="21"/>
                <w:szCs w:val="21"/>
              </w:rPr>
              <w:t>±</w:t>
            </w:r>
            <w:r>
              <w:rPr>
                <w:sz w:val="21"/>
                <w:szCs w:val="21"/>
              </w:rPr>
              <w:t>20</w:t>
            </w:r>
          </w:p>
        </w:tc>
      </w:tr>
      <w:tr w14:paraId="5BE3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287" w:type="pct"/>
            <w:gridSpan w:val="2"/>
            <w:vMerge w:val="continue"/>
            <w:noWrap/>
            <w:vAlign w:val="center"/>
          </w:tcPr>
          <w:p w14:paraId="5EC4FDAB">
            <w:pPr>
              <w:pStyle w:val="183"/>
              <w:rPr>
                <w:sz w:val="21"/>
                <w:szCs w:val="21"/>
              </w:rPr>
            </w:pPr>
          </w:p>
        </w:tc>
        <w:tc>
          <w:tcPr>
            <w:tcW w:w="2046" w:type="pct"/>
            <w:noWrap/>
            <w:vAlign w:val="center"/>
          </w:tcPr>
          <w:p w14:paraId="08280780">
            <w:pPr>
              <w:pStyle w:val="183"/>
              <w:rPr>
                <w:sz w:val="21"/>
                <w:szCs w:val="21"/>
              </w:rPr>
            </w:pPr>
            <w:r>
              <w:rPr>
                <w:rFonts w:hint="eastAsia"/>
                <w:sz w:val="21"/>
                <w:szCs w:val="21"/>
              </w:rPr>
              <w:t>起拱高度</w:t>
            </w:r>
          </w:p>
        </w:tc>
        <w:tc>
          <w:tcPr>
            <w:tcW w:w="1667" w:type="pct"/>
            <w:noWrap/>
            <w:vAlign w:val="center"/>
          </w:tcPr>
          <w:p w14:paraId="5D7580F7">
            <w:pPr>
              <w:pStyle w:val="183"/>
              <w:rPr>
                <w:sz w:val="21"/>
                <w:szCs w:val="21"/>
              </w:rPr>
            </w:pPr>
            <w:r>
              <w:rPr>
                <w:rFonts w:hint="eastAsia"/>
                <w:sz w:val="21"/>
                <w:szCs w:val="21"/>
              </w:rPr>
              <w:t>-</w:t>
            </w:r>
            <w:r>
              <w:rPr>
                <w:sz w:val="21"/>
                <w:szCs w:val="21"/>
              </w:rPr>
              <w:t>10</w:t>
            </w:r>
          </w:p>
        </w:tc>
      </w:tr>
    </w:tbl>
    <w:p w14:paraId="638F0040">
      <w:pPr>
        <w:spacing w:line="360" w:lineRule="atLeast"/>
        <w:textAlignment w:val="baseline"/>
        <w:rPr>
          <w:rFonts w:ascii="宋体" w:hAnsi="Times New Roman"/>
          <w:kern w:val="0"/>
          <w:sz w:val="18"/>
          <w:szCs w:val="20"/>
        </w:rPr>
      </w:pPr>
      <w:r>
        <w:rPr>
          <w:rFonts w:hint="eastAsia" w:ascii="宋体" w:hAnsi="Times New Roman"/>
          <w:kern w:val="0"/>
          <w:sz w:val="18"/>
          <w:szCs w:val="20"/>
        </w:rPr>
        <w:t>注：</w:t>
      </w:r>
      <w:r>
        <w:rPr>
          <w:rFonts w:ascii="宋体" w:hAnsi="Times New Roman"/>
          <w:i/>
          <w:iCs/>
          <w:kern w:val="0"/>
          <w:sz w:val="18"/>
          <w:szCs w:val="20"/>
        </w:rPr>
        <w:t>L</w:t>
      </w:r>
      <w:r>
        <w:rPr>
          <w:rFonts w:hint="eastAsia" w:ascii="宋体" w:hAnsi="Times New Roman"/>
          <w:kern w:val="0"/>
          <w:sz w:val="18"/>
          <w:szCs w:val="20"/>
        </w:rPr>
        <w:t>为构件长度，</w:t>
      </w:r>
      <w:r>
        <w:rPr>
          <w:rFonts w:ascii="宋体" w:hAnsi="Times New Roman"/>
          <w:i/>
          <w:iCs/>
          <w:kern w:val="0"/>
          <w:sz w:val="18"/>
          <w:szCs w:val="20"/>
        </w:rPr>
        <w:t>B</w:t>
      </w:r>
      <w:r>
        <w:rPr>
          <w:rFonts w:hint="eastAsia" w:ascii="宋体" w:hAnsi="Times New Roman"/>
          <w:kern w:val="0"/>
          <w:sz w:val="18"/>
          <w:szCs w:val="20"/>
        </w:rPr>
        <w:t>为构件截面高度或截面厚度。</w:t>
      </w:r>
    </w:p>
    <w:p w14:paraId="6BF446A2">
      <w:pPr>
        <w:spacing w:line="360" w:lineRule="atLeast"/>
        <w:textAlignment w:val="baseline"/>
        <w:rPr>
          <w:rFonts w:ascii="宋体" w:hAnsi="Times New Roman"/>
          <w:kern w:val="0"/>
          <w:sz w:val="18"/>
          <w:szCs w:val="20"/>
        </w:rPr>
      </w:pPr>
    </w:p>
    <w:p w14:paraId="55AEE856">
      <w:pPr>
        <w:pStyle w:val="170"/>
        <w:ind w:left="0"/>
      </w:pPr>
      <w:r>
        <w:rPr>
          <w:rFonts w:hint="eastAsia"/>
        </w:rPr>
        <w:t>承重构件的预留孔洞的中心线偏差不应大于0.2倍的孔洞直径或边长，孔洞直径或边长的偏差不应大于1mm。</w:t>
      </w:r>
    </w:p>
    <w:p w14:paraId="7FC1CBEB">
      <w:pPr>
        <w:pStyle w:val="110"/>
        <w:spacing w:before="156" w:after="156"/>
      </w:pPr>
      <w:bookmarkStart w:id="53" w:name="_Toc222392762"/>
      <w:r>
        <w:rPr>
          <w:rFonts w:hint="eastAsia"/>
        </w:rPr>
        <w:t>理化性能</w:t>
      </w:r>
      <w:bookmarkEnd w:id="53"/>
    </w:p>
    <w:p w14:paraId="5EDC24BC">
      <w:pPr>
        <w:pStyle w:val="70"/>
        <w:spacing w:before="156" w:after="156"/>
        <w:ind w:left="0"/>
        <w:rPr>
          <w:rFonts w:hAnsi="宋体"/>
        </w:rPr>
      </w:pPr>
      <w:r>
        <w:rPr>
          <w:rFonts w:hint="eastAsia" w:ascii="宋体" w:hAnsi="宋体" w:eastAsia="宋体"/>
        </w:rPr>
        <w:t>不同使用环境下的承重构件胶合时应选用符合GB/T</w:t>
      </w:r>
      <w:r>
        <w:rPr>
          <w:rFonts w:ascii="宋体" w:hAnsi="宋体" w:eastAsia="宋体"/>
        </w:rPr>
        <w:t xml:space="preserve"> </w:t>
      </w:r>
      <w:r>
        <w:rPr>
          <w:rFonts w:hint="eastAsia" w:ascii="宋体" w:hAnsi="宋体" w:eastAsia="宋体"/>
        </w:rPr>
        <w:t>26899中规定的相应等级性能指标的胶粘剂，并应满足以下要求：</w:t>
      </w:r>
    </w:p>
    <w:p w14:paraId="0943BBA1">
      <w:pPr>
        <w:pStyle w:val="170"/>
        <w:numPr>
          <w:ilvl w:val="0"/>
          <w:numId w:val="32"/>
        </w:numPr>
        <w:ind w:left="777" w:leftChars="200" w:hanging="357"/>
      </w:pPr>
      <w:r>
        <w:rPr>
          <w:rFonts w:hint="eastAsia"/>
        </w:rPr>
        <w:t>胶层的剥离性能应符合GB/T</w:t>
      </w:r>
      <w:r>
        <w:t xml:space="preserve"> </w:t>
      </w:r>
      <w:r>
        <w:rPr>
          <w:rFonts w:hint="eastAsia"/>
        </w:rPr>
        <w:t>50708和GB/T</w:t>
      </w:r>
      <w:r>
        <w:t xml:space="preserve"> </w:t>
      </w:r>
      <w:r>
        <w:rPr>
          <w:rFonts w:hint="eastAsia"/>
        </w:rPr>
        <w:t>26899的规定，试件两端面的累积剥离比例不应超过5%，任何单一胶层中出现的最大剥离长度，应小于或等于该胶层总长度的25%。</w:t>
      </w:r>
    </w:p>
    <w:p w14:paraId="11845610">
      <w:pPr>
        <w:pStyle w:val="170"/>
        <w:numPr>
          <w:ilvl w:val="0"/>
          <w:numId w:val="32"/>
        </w:numPr>
        <w:ind w:left="777" w:leftChars="200" w:hanging="357"/>
      </w:pPr>
      <w:r>
        <w:rPr>
          <w:rFonts w:hint="eastAsia"/>
        </w:rPr>
        <w:t>胶层的剪切强度应符合GB/T</w:t>
      </w:r>
      <w:r>
        <w:t xml:space="preserve"> </w:t>
      </w:r>
      <w:r>
        <w:rPr>
          <w:rFonts w:hint="eastAsia"/>
        </w:rPr>
        <w:t>26899和GB/T</w:t>
      </w:r>
      <w:r>
        <w:t xml:space="preserve"> </w:t>
      </w:r>
      <w:r>
        <w:rPr>
          <w:rFonts w:hint="eastAsia"/>
        </w:rPr>
        <w:t>50329的规定。</w:t>
      </w:r>
    </w:p>
    <w:p w14:paraId="4FEC2423">
      <w:pPr>
        <w:pStyle w:val="70"/>
        <w:spacing w:before="156" w:after="156"/>
        <w:ind w:left="0"/>
        <w:rPr>
          <w:rFonts w:ascii="宋体" w:hAnsi="宋体" w:eastAsia="宋体"/>
        </w:rPr>
      </w:pPr>
      <w:r>
        <w:rPr>
          <w:rFonts w:hint="eastAsia" w:ascii="宋体" w:hAnsi="宋体" w:eastAsia="宋体"/>
        </w:rPr>
        <w:t>承重构件的木材含水率应符合GB</w:t>
      </w:r>
      <w:r>
        <w:rPr>
          <w:rFonts w:ascii="宋体" w:hAnsi="宋体" w:eastAsia="宋体"/>
        </w:rPr>
        <w:t xml:space="preserve"> 50005</w:t>
      </w:r>
      <w:r>
        <w:rPr>
          <w:rFonts w:hint="eastAsia" w:ascii="宋体" w:hAnsi="宋体" w:eastAsia="宋体"/>
        </w:rPr>
        <w:t>和设计文件的规定。承重构件出厂时的含水率宜接近使用环境的平衡含水率。</w:t>
      </w:r>
    </w:p>
    <w:p w14:paraId="45418792">
      <w:pPr>
        <w:pStyle w:val="70"/>
        <w:spacing w:before="156" w:after="156"/>
        <w:ind w:left="0"/>
        <w:rPr>
          <w:rFonts w:hAnsi="宋体"/>
        </w:rPr>
      </w:pPr>
      <w:r>
        <w:rPr>
          <w:rFonts w:hint="eastAsia" w:ascii="宋体" w:hAnsi="宋体" w:eastAsia="宋体"/>
        </w:rPr>
        <w:t>室内承重构件的平均甲醛释放量应符合</w:t>
      </w:r>
      <w:r>
        <w:rPr>
          <w:rFonts w:ascii="宋体" w:hAnsi="宋体" w:eastAsia="宋体"/>
        </w:rPr>
        <w:t>GB/T 26899</w:t>
      </w:r>
      <w:r>
        <w:rPr>
          <w:rFonts w:hint="eastAsia" w:ascii="宋体" w:hAnsi="宋体" w:eastAsia="宋体"/>
        </w:rPr>
        <w:t>和</w:t>
      </w:r>
      <w:r>
        <w:rPr>
          <w:rFonts w:ascii="宋体" w:hAnsi="宋体" w:eastAsia="宋体"/>
        </w:rPr>
        <w:t>GB 18580</w:t>
      </w:r>
      <w:r>
        <w:rPr>
          <w:rFonts w:hint="eastAsia" w:ascii="宋体" w:hAnsi="宋体" w:eastAsia="宋体"/>
        </w:rPr>
        <w:t>的规定；室外承重构件的平均甲醛释放量应不大于</w:t>
      </w:r>
      <w:r>
        <w:rPr>
          <w:rFonts w:ascii="宋体" w:hAnsi="宋体" w:eastAsia="宋体"/>
        </w:rPr>
        <w:t>0.124mg/m³</w:t>
      </w:r>
      <w:r>
        <w:rPr>
          <w:rFonts w:hint="eastAsia" w:ascii="宋体" w:hAnsi="宋体" w:eastAsia="宋体"/>
        </w:rPr>
        <w:t>。</w:t>
      </w:r>
    </w:p>
    <w:p w14:paraId="75132070">
      <w:pPr>
        <w:pStyle w:val="110"/>
        <w:spacing w:before="156" w:after="156"/>
      </w:pPr>
      <w:bookmarkStart w:id="54" w:name="_Toc222392763"/>
      <w:r>
        <w:rPr>
          <w:rFonts w:hint="eastAsia"/>
        </w:rPr>
        <w:t>力学性能</w:t>
      </w:r>
      <w:bookmarkEnd w:id="54"/>
    </w:p>
    <w:p w14:paraId="1DEB74F4">
      <w:pPr>
        <w:pStyle w:val="70"/>
        <w:spacing w:before="156" w:after="156"/>
        <w:ind w:left="0"/>
        <w:rPr>
          <w:rFonts w:hAnsi="宋体"/>
        </w:rPr>
      </w:pPr>
      <w:r>
        <w:rPr>
          <w:rFonts w:hint="eastAsia" w:ascii="宋体" w:hAnsi="宋体" w:eastAsia="宋体"/>
        </w:rPr>
        <w:t>连接的力学性能要求应符合表</w:t>
      </w:r>
      <w:r>
        <w:rPr>
          <w:rFonts w:ascii="宋体" w:hAnsi="宋体" w:eastAsia="宋体"/>
        </w:rPr>
        <w:t>4</w:t>
      </w:r>
      <w:r>
        <w:rPr>
          <w:rFonts w:hint="eastAsia" w:ascii="宋体" w:hAnsi="宋体" w:eastAsia="宋体"/>
        </w:rPr>
        <w:t>的规定。</w:t>
      </w:r>
    </w:p>
    <w:p w14:paraId="0B063FBA">
      <w:pPr>
        <w:pStyle w:val="117"/>
        <w:spacing w:before="156" w:after="156"/>
        <w:ind w:left="0"/>
      </w:pPr>
      <w:r>
        <w:rPr>
          <w:rFonts w:hint="eastAsia"/>
        </w:rPr>
        <w:t>连接的力学性能要求</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3057"/>
        <w:gridCol w:w="3438"/>
      </w:tblGrid>
      <w:tr w14:paraId="795E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4" w:type="pct"/>
            <w:gridSpan w:val="2"/>
            <w:vAlign w:val="center"/>
          </w:tcPr>
          <w:p w14:paraId="7E4B8957">
            <w:pPr>
              <w:adjustRightInd/>
              <w:spacing w:line="240" w:lineRule="auto"/>
              <w:jc w:val="center"/>
              <w:rPr>
                <w:rFonts w:ascii="宋体" w:hAnsi="宋体"/>
                <w:bCs/>
                <w:color w:val="000000"/>
              </w:rPr>
            </w:pPr>
            <w:r>
              <w:rPr>
                <w:rFonts w:hint="eastAsia" w:ascii="宋体" w:hAnsi="宋体"/>
                <w:bCs/>
                <w:color w:val="000000"/>
              </w:rPr>
              <w:t>项目</w:t>
            </w:r>
          </w:p>
        </w:tc>
        <w:tc>
          <w:tcPr>
            <w:tcW w:w="1796" w:type="pct"/>
            <w:vAlign w:val="center"/>
          </w:tcPr>
          <w:p w14:paraId="3745594D">
            <w:pPr>
              <w:adjustRightInd/>
              <w:spacing w:line="240" w:lineRule="auto"/>
              <w:jc w:val="center"/>
              <w:rPr>
                <w:rFonts w:ascii="宋体" w:hAnsi="宋体"/>
                <w:bCs/>
                <w:color w:val="000000"/>
              </w:rPr>
            </w:pPr>
            <w:r>
              <w:rPr>
                <w:rFonts w:hint="eastAsia" w:ascii="宋体" w:hAnsi="宋体"/>
                <w:bCs/>
                <w:color w:val="000000"/>
              </w:rPr>
              <w:t>要求</w:t>
            </w:r>
          </w:p>
        </w:tc>
      </w:tr>
      <w:tr w14:paraId="0B7A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296E11AF">
            <w:pPr>
              <w:adjustRightInd/>
              <w:spacing w:line="240" w:lineRule="auto"/>
              <w:jc w:val="center"/>
              <w:rPr>
                <w:rFonts w:ascii="宋体" w:hAnsi="宋体"/>
                <w:bCs/>
                <w:color w:val="000000"/>
              </w:rPr>
            </w:pPr>
            <w:r>
              <w:rPr>
                <w:rFonts w:hint="eastAsia" w:ascii="宋体" w:hAnsi="宋体"/>
                <w:bCs/>
                <w:color w:val="000000"/>
              </w:rPr>
              <w:t>齿连接</w:t>
            </w:r>
          </w:p>
        </w:tc>
        <w:tc>
          <w:tcPr>
            <w:tcW w:w="1596" w:type="pct"/>
            <w:vAlign w:val="center"/>
          </w:tcPr>
          <w:p w14:paraId="3E958E2F">
            <w:pPr>
              <w:adjustRightInd/>
              <w:spacing w:line="240" w:lineRule="auto"/>
              <w:jc w:val="center"/>
              <w:rPr>
                <w:rFonts w:ascii="宋体" w:hAnsi="宋体"/>
                <w:bCs/>
                <w:color w:val="000000"/>
              </w:rPr>
            </w:pPr>
            <w:r>
              <w:rPr>
                <w:rFonts w:hint="eastAsia" w:ascii="宋体" w:hAnsi="宋体"/>
                <w:bCs/>
                <w:color w:val="000000"/>
              </w:rPr>
              <w:t>受弯承载力</w:t>
            </w:r>
          </w:p>
        </w:tc>
        <w:tc>
          <w:tcPr>
            <w:tcW w:w="1796" w:type="pct"/>
            <w:vMerge w:val="restart"/>
            <w:vAlign w:val="center"/>
          </w:tcPr>
          <w:p w14:paraId="5304F819">
            <w:pPr>
              <w:adjustRightInd/>
              <w:spacing w:line="240" w:lineRule="auto"/>
              <w:jc w:val="center"/>
              <w:rPr>
                <w:rFonts w:ascii="宋体" w:hAnsi="宋体"/>
                <w:bCs/>
                <w:color w:val="000000"/>
              </w:rPr>
            </w:pPr>
            <w:r>
              <w:rPr>
                <w:rFonts w:ascii="宋体" w:hAnsi="宋体"/>
                <w:bCs/>
                <w:color w:val="000000"/>
              </w:rPr>
              <w:t>GB 50005</w:t>
            </w:r>
            <w:r>
              <w:rPr>
                <w:rFonts w:hint="eastAsia" w:ascii="宋体" w:hAnsi="宋体"/>
                <w:bCs/>
                <w:color w:val="000000"/>
              </w:rPr>
              <w:t>，设计文件</w:t>
            </w:r>
          </w:p>
        </w:tc>
      </w:tr>
      <w:tr w14:paraId="7B63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272CF984">
            <w:pPr>
              <w:adjustRightInd/>
              <w:spacing w:line="240" w:lineRule="auto"/>
              <w:jc w:val="center"/>
              <w:rPr>
                <w:rFonts w:ascii="宋体" w:hAnsi="宋体"/>
                <w:bCs/>
                <w:color w:val="000000"/>
              </w:rPr>
            </w:pPr>
          </w:p>
        </w:tc>
        <w:tc>
          <w:tcPr>
            <w:tcW w:w="1597" w:type="pct"/>
            <w:vAlign w:val="center"/>
          </w:tcPr>
          <w:p w14:paraId="4916966D">
            <w:pPr>
              <w:adjustRightInd/>
              <w:spacing w:line="240" w:lineRule="auto"/>
              <w:jc w:val="center"/>
              <w:rPr>
                <w:rFonts w:ascii="宋体" w:hAnsi="宋体"/>
                <w:bCs/>
                <w:color w:val="000000"/>
              </w:rPr>
            </w:pPr>
            <w:r>
              <w:rPr>
                <w:rFonts w:hint="eastAsia" w:ascii="宋体" w:hAnsi="宋体"/>
                <w:bCs/>
                <w:color w:val="000000"/>
              </w:rPr>
              <w:t>抗剪承载力</w:t>
            </w:r>
          </w:p>
        </w:tc>
        <w:tc>
          <w:tcPr>
            <w:tcW w:w="1796" w:type="pct"/>
            <w:vMerge w:val="continue"/>
            <w:vAlign w:val="center"/>
          </w:tcPr>
          <w:p w14:paraId="033A0823">
            <w:pPr>
              <w:adjustRightInd/>
              <w:spacing w:line="240" w:lineRule="auto"/>
              <w:jc w:val="center"/>
              <w:rPr>
                <w:rFonts w:ascii="宋体" w:hAnsi="宋体"/>
                <w:bCs/>
                <w:color w:val="000000"/>
              </w:rPr>
            </w:pPr>
          </w:p>
        </w:tc>
      </w:tr>
      <w:tr w14:paraId="1B90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2B5C5E8C">
            <w:pPr>
              <w:adjustRightInd/>
              <w:spacing w:line="240" w:lineRule="auto"/>
              <w:jc w:val="center"/>
              <w:rPr>
                <w:rFonts w:ascii="宋体" w:hAnsi="宋体"/>
                <w:bCs/>
                <w:color w:val="000000"/>
              </w:rPr>
            </w:pPr>
          </w:p>
        </w:tc>
        <w:tc>
          <w:tcPr>
            <w:tcW w:w="1597" w:type="pct"/>
            <w:vAlign w:val="center"/>
          </w:tcPr>
          <w:p w14:paraId="362DAD44">
            <w:pPr>
              <w:adjustRightInd/>
              <w:spacing w:line="240" w:lineRule="auto"/>
              <w:jc w:val="center"/>
              <w:rPr>
                <w:rFonts w:ascii="宋体" w:hAnsi="宋体"/>
                <w:bCs/>
                <w:color w:val="000000"/>
              </w:rPr>
            </w:pPr>
            <w:r>
              <w:rPr>
                <w:rFonts w:hint="eastAsia" w:ascii="宋体" w:hAnsi="宋体"/>
                <w:bCs/>
                <w:color w:val="000000"/>
              </w:rPr>
              <w:t>承压承载力</w:t>
            </w:r>
          </w:p>
        </w:tc>
        <w:tc>
          <w:tcPr>
            <w:tcW w:w="1796" w:type="pct"/>
            <w:vMerge w:val="continue"/>
            <w:vAlign w:val="center"/>
          </w:tcPr>
          <w:p w14:paraId="34801E77">
            <w:pPr>
              <w:adjustRightInd/>
              <w:spacing w:line="240" w:lineRule="auto"/>
              <w:jc w:val="center"/>
              <w:rPr>
                <w:rFonts w:ascii="宋体" w:hAnsi="宋体"/>
                <w:bCs/>
                <w:color w:val="000000"/>
              </w:rPr>
            </w:pPr>
          </w:p>
        </w:tc>
      </w:tr>
      <w:tr w14:paraId="198C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Align w:val="center"/>
          </w:tcPr>
          <w:p w14:paraId="6BC2A561">
            <w:pPr>
              <w:adjustRightInd/>
              <w:spacing w:line="240" w:lineRule="auto"/>
              <w:jc w:val="center"/>
              <w:rPr>
                <w:rFonts w:ascii="宋体" w:hAnsi="宋体"/>
                <w:bCs/>
                <w:color w:val="000000"/>
              </w:rPr>
            </w:pPr>
            <w:r>
              <w:rPr>
                <w:rFonts w:hint="eastAsia" w:ascii="宋体" w:hAnsi="宋体"/>
                <w:bCs/>
                <w:color w:val="000000"/>
              </w:rPr>
              <w:t>销连接</w:t>
            </w:r>
          </w:p>
        </w:tc>
        <w:tc>
          <w:tcPr>
            <w:tcW w:w="1597" w:type="pct"/>
            <w:vAlign w:val="center"/>
          </w:tcPr>
          <w:p w14:paraId="048B1F88">
            <w:pPr>
              <w:adjustRightInd/>
              <w:spacing w:line="240" w:lineRule="auto"/>
              <w:jc w:val="center"/>
              <w:rPr>
                <w:rFonts w:ascii="宋体" w:hAnsi="宋体"/>
                <w:bCs/>
                <w:color w:val="000000"/>
              </w:rPr>
            </w:pPr>
            <w:r>
              <w:rPr>
                <w:rFonts w:hint="eastAsia" w:ascii="宋体" w:hAnsi="宋体"/>
                <w:bCs/>
                <w:color w:val="000000"/>
              </w:rPr>
              <w:t>承载能力</w:t>
            </w:r>
          </w:p>
        </w:tc>
        <w:tc>
          <w:tcPr>
            <w:tcW w:w="1796" w:type="pct"/>
            <w:vMerge w:val="continue"/>
            <w:vAlign w:val="center"/>
          </w:tcPr>
          <w:p w14:paraId="015F7988">
            <w:pPr>
              <w:adjustRightInd/>
              <w:spacing w:line="240" w:lineRule="auto"/>
              <w:jc w:val="center"/>
              <w:rPr>
                <w:rFonts w:ascii="宋体" w:hAnsi="宋体"/>
                <w:bCs/>
                <w:color w:val="000000"/>
              </w:rPr>
            </w:pPr>
          </w:p>
        </w:tc>
      </w:tr>
      <w:tr w14:paraId="146C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60EFEBD1">
            <w:pPr>
              <w:adjustRightInd/>
              <w:spacing w:line="240" w:lineRule="auto"/>
              <w:jc w:val="center"/>
              <w:rPr>
                <w:rFonts w:ascii="宋体" w:hAnsi="宋体"/>
                <w:bCs/>
                <w:color w:val="000000"/>
              </w:rPr>
            </w:pPr>
            <w:r>
              <w:rPr>
                <w:rFonts w:hint="eastAsia" w:ascii="宋体" w:hAnsi="宋体"/>
                <w:bCs/>
                <w:color w:val="000000"/>
              </w:rPr>
              <w:t>齿板连接</w:t>
            </w:r>
          </w:p>
        </w:tc>
        <w:tc>
          <w:tcPr>
            <w:tcW w:w="1597" w:type="pct"/>
            <w:vAlign w:val="center"/>
          </w:tcPr>
          <w:p w14:paraId="4C67F501">
            <w:pPr>
              <w:adjustRightInd/>
              <w:spacing w:line="240" w:lineRule="auto"/>
              <w:jc w:val="center"/>
              <w:rPr>
                <w:rFonts w:ascii="宋体" w:hAnsi="宋体"/>
                <w:bCs/>
                <w:color w:val="000000"/>
              </w:rPr>
            </w:pPr>
            <w:r>
              <w:rPr>
                <w:rFonts w:hint="eastAsia" w:ascii="宋体" w:hAnsi="宋体"/>
                <w:bCs/>
                <w:color w:val="000000"/>
              </w:rPr>
              <w:t>板齿承载力</w:t>
            </w:r>
          </w:p>
        </w:tc>
        <w:tc>
          <w:tcPr>
            <w:tcW w:w="1796" w:type="pct"/>
            <w:vMerge w:val="continue"/>
            <w:vAlign w:val="center"/>
          </w:tcPr>
          <w:p w14:paraId="0745F153">
            <w:pPr>
              <w:adjustRightInd/>
              <w:spacing w:line="240" w:lineRule="auto"/>
              <w:jc w:val="center"/>
              <w:rPr>
                <w:rFonts w:ascii="宋体" w:hAnsi="宋体"/>
                <w:bCs/>
                <w:color w:val="000000"/>
              </w:rPr>
            </w:pPr>
          </w:p>
        </w:tc>
      </w:tr>
      <w:tr w14:paraId="5BD3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082EFC34">
            <w:pPr>
              <w:adjustRightInd/>
              <w:spacing w:line="240" w:lineRule="auto"/>
              <w:jc w:val="center"/>
              <w:rPr>
                <w:rFonts w:ascii="宋体" w:hAnsi="宋体"/>
                <w:bCs/>
                <w:color w:val="000000"/>
              </w:rPr>
            </w:pPr>
          </w:p>
        </w:tc>
        <w:tc>
          <w:tcPr>
            <w:tcW w:w="1597" w:type="pct"/>
            <w:vAlign w:val="center"/>
          </w:tcPr>
          <w:p w14:paraId="10380473">
            <w:pPr>
              <w:adjustRightInd/>
              <w:spacing w:line="240" w:lineRule="auto"/>
              <w:jc w:val="center"/>
              <w:rPr>
                <w:rFonts w:ascii="宋体" w:hAnsi="宋体"/>
                <w:bCs/>
                <w:color w:val="000000"/>
              </w:rPr>
            </w:pPr>
            <w:r>
              <w:rPr>
                <w:rFonts w:hint="eastAsia" w:ascii="宋体" w:hAnsi="宋体"/>
                <w:bCs/>
                <w:color w:val="000000"/>
              </w:rPr>
              <w:t>齿板承载力</w:t>
            </w:r>
          </w:p>
        </w:tc>
        <w:tc>
          <w:tcPr>
            <w:tcW w:w="1796" w:type="pct"/>
            <w:vMerge w:val="continue"/>
            <w:vAlign w:val="center"/>
          </w:tcPr>
          <w:p w14:paraId="616AF54C">
            <w:pPr>
              <w:adjustRightInd/>
              <w:spacing w:line="240" w:lineRule="auto"/>
              <w:jc w:val="center"/>
              <w:rPr>
                <w:rFonts w:ascii="宋体" w:hAnsi="宋体"/>
                <w:bCs/>
                <w:color w:val="000000"/>
              </w:rPr>
            </w:pPr>
          </w:p>
        </w:tc>
      </w:tr>
      <w:tr w14:paraId="623D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156FA14C">
            <w:pPr>
              <w:adjustRightInd/>
              <w:spacing w:line="240" w:lineRule="auto"/>
              <w:jc w:val="center"/>
              <w:rPr>
                <w:rFonts w:ascii="宋体" w:hAnsi="宋体"/>
                <w:bCs/>
                <w:color w:val="000000"/>
              </w:rPr>
            </w:pPr>
          </w:p>
        </w:tc>
        <w:tc>
          <w:tcPr>
            <w:tcW w:w="1597" w:type="pct"/>
            <w:vAlign w:val="center"/>
          </w:tcPr>
          <w:p w14:paraId="61288283">
            <w:pPr>
              <w:adjustRightInd/>
              <w:spacing w:line="240" w:lineRule="auto"/>
              <w:jc w:val="center"/>
              <w:rPr>
                <w:rFonts w:ascii="宋体" w:hAnsi="宋体"/>
                <w:bCs/>
                <w:color w:val="000000"/>
              </w:rPr>
            </w:pPr>
            <w:r>
              <w:rPr>
                <w:rFonts w:hint="eastAsia" w:ascii="宋体" w:hAnsi="宋体"/>
                <w:bCs/>
                <w:color w:val="000000"/>
              </w:rPr>
              <w:t>板齿抗滑移承载力</w:t>
            </w:r>
          </w:p>
        </w:tc>
        <w:tc>
          <w:tcPr>
            <w:tcW w:w="1796" w:type="pct"/>
            <w:vMerge w:val="continue"/>
            <w:vAlign w:val="center"/>
          </w:tcPr>
          <w:p w14:paraId="27D24B94">
            <w:pPr>
              <w:adjustRightInd/>
              <w:spacing w:line="240" w:lineRule="auto"/>
              <w:jc w:val="center"/>
              <w:rPr>
                <w:rFonts w:ascii="宋体" w:hAnsi="宋体"/>
                <w:bCs/>
                <w:color w:val="000000"/>
              </w:rPr>
            </w:pPr>
          </w:p>
        </w:tc>
      </w:tr>
    </w:tbl>
    <w:p w14:paraId="36AF28F3">
      <w:pPr>
        <w:pStyle w:val="170"/>
        <w:numPr>
          <w:ilvl w:val="0"/>
          <w:numId w:val="0"/>
        </w:numPr>
      </w:pPr>
    </w:p>
    <w:p w14:paraId="0C89032E">
      <w:pPr>
        <w:pStyle w:val="70"/>
        <w:spacing w:before="156" w:after="156"/>
        <w:ind w:left="0"/>
        <w:rPr>
          <w:rFonts w:hAnsi="宋体"/>
        </w:rPr>
      </w:pPr>
      <w:r>
        <w:rPr>
          <w:rFonts w:hint="eastAsia" w:ascii="宋体" w:hAnsi="宋体" w:eastAsia="宋体"/>
        </w:rPr>
        <w:t>构件的力学性能要求应符合表</w:t>
      </w:r>
      <w:r>
        <w:rPr>
          <w:rFonts w:ascii="宋体" w:hAnsi="宋体" w:eastAsia="宋体"/>
        </w:rPr>
        <w:t>5</w:t>
      </w:r>
      <w:r>
        <w:rPr>
          <w:rFonts w:hint="eastAsia" w:ascii="宋体" w:hAnsi="宋体" w:eastAsia="宋体"/>
        </w:rPr>
        <w:t>的规定。</w:t>
      </w:r>
    </w:p>
    <w:p w14:paraId="1DFC13AA">
      <w:pPr>
        <w:pStyle w:val="117"/>
        <w:spacing w:before="156" w:after="156"/>
        <w:ind w:left="0"/>
      </w:pPr>
      <w:r>
        <w:rPr>
          <w:rFonts w:hint="eastAsia"/>
        </w:rPr>
        <w:t>构件的力学性能要求</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6"/>
        <w:gridCol w:w="3055"/>
        <w:gridCol w:w="3439"/>
      </w:tblGrid>
      <w:tr w14:paraId="100E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3" w:type="pct"/>
            <w:gridSpan w:val="2"/>
            <w:vAlign w:val="center"/>
          </w:tcPr>
          <w:p w14:paraId="13F600EF">
            <w:pPr>
              <w:adjustRightInd/>
              <w:spacing w:line="240" w:lineRule="auto"/>
              <w:jc w:val="center"/>
              <w:rPr>
                <w:rFonts w:ascii="宋体" w:hAnsi="宋体"/>
                <w:bCs/>
                <w:color w:val="000000"/>
              </w:rPr>
            </w:pPr>
            <w:r>
              <w:rPr>
                <w:rFonts w:hint="eastAsia" w:ascii="宋体" w:hAnsi="宋体"/>
                <w:bCs/>
                <w:color w:val="000000"/>
              </w:rPr>
              <w:t>项目</w:t>
            </w:r>
          </w:p>
        </w:tc>
        <w:tc>
          <w:tcPr>
            <w:tcW w:w="1797" w:type="pct"/>
            <w:vAlign w:val="center"/>
          </w:tcPr>
          <w:p w14:paraId="32E88528">
            <w:pPr>
              <w:adjustRightInd/>
              <w:spacing w:line="240" w:lineRule="auto"/>
              <w:jc w:val="center"/>
              <w:rPr>
                <w:rFonts w:ascii="宋体" w:hAnsi="宋体"/>
                <w:bCs/>
                <w:color w:val="000000"/>
              </w:rPr>
            </w:pPr>
            <w:r>
              <w:rPr>
                <w:rFonts w:hint="eastAsia" w:ascii="宋体" w:hAnsi="宋体"/>
                <w:bCs/>
                <w:color w:val="000000"/>
              </w:rPr>
              <w:t>要求</w:t>
            </w:r>
          </w:p>
        </w:tc>
      </w:tr>
      <w:tr w14:paraId="13EB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42D644F3">
            <w:pPr>
              <w:adjustRightInd/>
              <w:spacing w:line="240" w:lineRule="auto"/>
              <w:jc w:val="center"/>
              <w:rPr>
                <w:rFonts w:ascii="宋体" w:hAnsi="宋体"/>
                <w:bCs/>
                <w:color w:val="000000"/>
              </w:rPr>
            </w:pPr>
            <w:r>
              <w:rPr>
                <w:rFonts w:hint="eastAsia" w:ascii="宋体" w:hAnsi="宋体"/>
                <w:bCs/>
                <w:color w:val="000000"/>
              </w:rPr>
              <w:t>受弯构件</w:t>
            </w:r>
          </w:p>
        </w:tc>
        <w:tc>
          <w:tcPr>
            <w:tcW w:w="1596" w:type="pct"/>
            <w:vAlign w:val="center"/>
          </w:tcPr>
          <w:p w14:paraId="33BA56EE">
            <w:pPr>
              <w:adjustRightInd/>
              <w:spacing w:line="240" w:lineRule="auto"/>
              <w:jc w:val="center"/>
              <w:rPr>
                <w:rFonts w:ascii="宋体" w:hAnsi="宋体"/>
                <w:bCs/>
                <w:color w:val="000000"/>
              </w:rPr>
            </w:pPr>
            <w:r>
              <w:rPr>
                <w:rFonts w:hint="eastAsia" w:ascii="宋体" w:hAnsi="宋体"/>
                <w:bCs/>
                <w:color w:val="000000"/>
              </w:rPr>
              <w:t>受弯承载力</w:t>
            </w:r>
          </w:p>
        </w:tc>
        <w:tc>
          <w:tcPr>
            <w:tcW w:w="1797" w:type="pct"/>
            <w:vMerge w:val="restart"/>
            <w:vAlign w:val="center"/>
          </w:tcPr>
          <w:p w14:paraId="7F5CC526">
            <w:pPr>
              <w:adjustRightInd/>
              <w:spacing w:line="240" w:lineRule="auto"/>
              <w:jc w:val="center"/>
              <w:rPr>
                <w:rFonts w:ascii="宋体" w:hAnsi="宋体"/>
                <w:bCs/>
                <w:color w:val="000000"/>
              </w:rPr>
            </w:pPr>
            <w:r>
              <w:rPr>
                <w:rFonts w:ascii="宋体" w:hAnsi="宋体"/>
                <w:bCs/>
                <w:color w:val="000000"/>
              </w:rPr>
              <w:t>GB 50005</w:t>
            </w:r>
            <w:r>
              <w:rPr>
                <w:rFonts w:hint="eastAsia" w:ascii="宋体" w:hAnsi="宋体"/>
                <w:bCs/>
                <w:color w:val="000000"/>
              </w:rPr>
              <w:t>，设计文件</w:t>
            </w:r>
          </w:p>
        </w:tc>
      </w:tr>
      <w:tr w14:paraId="694C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582BEAD8">
            <w:pPr>
              <w:adjustRightInd/>
              <w:spacing w:line="240" w:lineRule="auto"/>
              <w:jc w:val="center"/>
              <w:rPr>
                <w:rFonts w:ascii="宋体" w:hAnsi="宋体"/>
                <w:bCs/>
                <w:color w:val="000000"/>
              </w:rPr>
            </w:pPr>
          </w:p>
        </w:tc>
        <w:tc>
          <w:tcPr>
            <w:tcW w:w="1596" w:type="pct"/>
            <w:vAlign w:val="center"/>
          </w:tcPr>
          <w:p w14:paraId="5C68DF13">
            <w:pPr>
              <w:adjustRightInd/>
              <w:spacing w:line="240" w:lineRule="auto"/>
              <w:jc w:val="center"/>
              <w:rPr>
                <w:rFonts w:ascii="宋体" w:hAnsi="宋体"/>
                <w:bCs/>
                <w:color w:val="000000"/>
              </w:rPr>
            </w:pPr>
            <w:r>
              <w:rPr>
                <w:rFonts w:hint="eastAsia" w:ascii="宋体" w:hAnsi="宋体"/>
                <w:bCs/>
                <w:color w:val="000000"/>
              </w:rPr>
              <w:t>抗剪承载力</w:t>
            </w:r>
          </w:p>
        </w:tc>
        <w:tc>
          <w:tcPr>
            <w:tcW w:w="1797" w:type="pct"/>
            <w:vMerge w:val="continue"/>
            <w:vAlign w:val="center"/>
          </w:tcPr>
          <w:p w14:paraId="3657030C">
            <w:pPr>
              <w:adjustRightInd/>
              <w:spacing w:line="240" w:lineRule="auto"/>
              <w:jc w:val="center"/>
              <w:rPr>
                <w:rFonts w:ascii="宋体" w:hAnsi="宋体"/>
                <w:bCs/>
                <w:color w:val="000000"/>
              </w:rPr>
            </w:pPr>
          </w:p>
        </w:tc>
      </w:tr>
      <w:tr w14:paraId="2B8D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7CAD1328">
            <w:pPr>
              <w:adjustRightInd/>
              <w:spacing w:line="240" w:lineRule="auto"/>
              <w:jc w:val="center"/>
              <w:rPr>
                <w:rFonts w:ascii="宋体" w:hAnsi="宋体"/>
                <w:bCs/>
                <w:color w:val="000000"/>
              </w:rPr>
            </w:pPr>
          </w:p>
        </w:tc>
        <w:tc>
          <w:tcPr>
            <w:tcW w:w="1596" w:type="pct"/>
            <w:vAlign w:val="center"/>
          </w:tcPr>
          <w:p w14:paraId="00A019B1">
            <w:pPr>
              <w:adjustRightInd/>
              <w:spacing w:line="240" w:lineRule="auto"/>
              <w:jc w:val="center"/>
              <w:rPr>
                <w:rFonts w:ascii="宋体" w:hAnsi="宋体"/>
                <w:bCs/>
                <w:color w:val="000000"/>
              </w:rPr>
            </w:pPr>
            <w:r>
              <w:rPr>
                <w:rFonts w:hint="eastAsia" w:ascii="宋体" w:hAnsi="宋体"/>
                <w:bCs/>
                <w:color w:val="000000"/>
              </w:rPr>
              <w:t>挠度</w:t>
            </w:r>
          </w:p>
        </w:tc>
        <w:tc>
          <w:tcPr>
            <w:tcW w:w="1797" w:type="pct"/>
            <w:vMerge w:val="continue"/>
            <w:vAlign w:val="center"/>
          </w:tcPr>
          <w:p w14:paraId="70847354">
            <w:pPr>
              <w:adjustRightInd/>
              <w:spacing w:line="240" w:lineRule="auto"/>
              <w:jc w:val="center"/>
              <w:rPr>
                <w:rFonts w:ascii="宋体" w:hAnsi="宋体"/>
                <w:bCs/>
                <w:color w:val="000000"/>
              </w:rPr>
            </w:pPr>
          </w:p>
        </w:tc>
      </w:tr>
      <w:tr w14:paraId="0E1F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Align w:val="center"/>
          </w:tcPr>
          <w:p w14:paraId="19D4168B">
            <w:pPr>
              <w:adjustRightInd/>
              <w:spacing w:line="240" w:lineRule="auto"/>
              <w:jc w:val="center"/>
              <w:rPr>
                <w:rFonts w:ascii="宋体" w:hAnsi="宋体"/>
                <w:bCs/>
                <w:color w:val="000000"/>
              </w:rPr>
            </w:pPr>
            <w:r>
              <w:rPr>
                <w:rFonts w:hint="eastAsia" w:ascii="宋体" w:hAnsi="宋体"/>
                <w:bCs/>
                <w:color w:val="000000"/>
              </w:rPr>
              <w:t>轴心受压构件</w:t>
            </w:r>
          </w:p>
        </w:tc>
        <w:tc>
          <w:tcPr>
            <w:tcW w:w="1596" w:type="pct"/>
            <w:vAlign w:val="center"/>
          </w:tcPr>
          <w:p w14:paraId="7A711ED8">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3228FD06">
            <w:pPr>
              <w:adjustRightInd/>
              <w:spacing w:line="240" w:lineRule="auto"/>
              <w:jc w:val="center"/>
              <w:rPr>
                <w:rFonts w:ascii="宋体" w:hAnsi="宋体"/>
                <w:bCs/>
                <w:color w:val="000000"/>
              </w:rPr>
            </w:pPr>
          </w:p>
        </w:tc>
      </w:tr>
      <w:tr w14:paraId="6E86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Align w:val="center"/>
          </w:tcPr>
          <w:p w14:paraId="628AA31F">
            <w:pPr>
              <w:adjustRightInd/>
              <w:spacing w:line="240" w:lineRule="auto"/>
              <w:jc w:val="center"/>
              <w:rPr>
                <w:rFonts w:ascii="宋体" w:hAnsi="宋体"/>
                <w:bCs/>
                <w:color w:val="000000"/>
              </w:rPr>
            </w:pPr>
            <w:r>
              <w:rPr>
                <w:rFonts w:hint="eastAsia" w:ascii="宋体" w:hAnsi="宋体"/>
                <w:bCs/>
                <w:color w:val="000000"/>
              </w:rPr>
              <w:t>轴心受拉构件</w:t>
            </w:r>
          </w:p>
        </w:tc>
        <w:tc>
          <w:tcPr>
            <w:tcW w:w="1596" w:type="pct"/>
            <w:vAlign w:val="center"/>
          </w:tcPr>
          <w:p w14:paraId="2C09F443">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0150DC3E">
            <w:pPr>
              <w:adjustRightInd/>
              <w:spacing w:line="240" w:lineRule="auto"/>
              <w:jc w:val="center"/>
              <w:rPr>
                <w:rFonts w:ascii="宋体" w:hAnsi="宋体"/>
                <w:bCs/>
                <w:color w:val="000000"/>
              </w:rPr>
            </w:pPr>
          </w:p>
        </w:tc>
      </w:tr>
      <w:tr w14:paraId="3C27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Align w:val="center"/>
          </w:tcPr>
          <w:p w14:paraId="16747561">
            <w:pPr>
              <w:adjustRightInd/>
              <w:spacing w:line="240" w:lineRule="auto"/>
              <w:jc w:val="center"/>
              <w:rPr>
                <w:rFonts w:ascii="宋体" w:hAnsi="宋体"/>
                <w:bCs/>
                <w:color w:val="000000"/>
              </w:rPr>
            </w:pPr>
            <w:r>
              <w:rPr>
                <w:rFonts w:hint="eastAsia" w:ascii="宋体" w:hAnsi="宋体"/>
                <w:bCs/>
                <w:color w:val="000000"/>
              </w:rPr>
              <w:t>拉弯和压弯构件</w:t>
            </w:r>
          </w:p>
        </w:tc>
        <w:tc>
          <w:tcPr>
            <w:tcW w:w="1596" w:type="pct"/>
            <w:vAlign w:val="center"/>
          </w:tcPr>
          <w:p w14:paraId="6F5BEEE3">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30B161B3">
            <w:pPr>
              <w:adjustRightInd/>
              <w:spacing w:line="240" w:lineRule="auto"/>
              <w:jc w:val="center"/>
              <w:rPr>
                <w:rFonts w:ascii="宋体" w:hAnsi="宋体"/>
                <w:bCs/>
                <w:color w:val="000000"/>
              </w:rPr>
            </w:pPr>
          </w:p>
        </w:tc>
      </w:tr>
      <w:tr w14:paraId="0D32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Align w:val="center"/>
          </w:tcPr>
          <w:p w14:paraId="1D349785">
            <w:pPr>
              <w:adjustRightInd/>
              <w:spacing w:line="240" w:lineRule="auto"/>
              <w:jc w:val="center"/>
              <w:rPr>
                <w:rFonts w:ascii="宋体" w:hAnsi="宋体"/>
                <w:bCs/>
                <w:color w:val="000000"/>
              </w:rPr>
            </w:pPr>
            <w:r>
              <w:rPr>
                <w:rFonts w:hint="eastAsia" w:ascii="宋体" w:hAnsi="宋体"/>
                <w:bCs/>
                <w:color w:val="000000"/>
              </w:rPr>
              <w:t>桁架</w:t>
            </w:r>
          </w:p>
        </w:tc>
        <w:tc>
          <w:tcPr>
            <w:tcW w:w="1596" w:type="pct"/>
            <w:vAlign w:val="center"/>
          </w:tcPr>
          <w:p w14:paraId="1F2A1C49">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783D44AA">
            <w:pPr>
              <w:adjustRightInd/>
              <w:spacing w:line="240" w:lineRule="auto"/>
              <w:jc w:val="center"/>
              <w:rPr>
                <w:rFonts w:ascii="宋体" w:hAnsi="宋体"/>
                <w:bCs/>
                <w:color w:val="000000"/>
              </w:rPr>
            </w:pPr>
          </w:p>
        </w:tc>
      </w:tr>
    </w:tbl>
    <w:p w14:paraId="3AC9239B">
      <w:pPr>
        <w:pStyle w:val="70"/>
        <w:numPr>
          <w:ilvl w:val="0"/>
          <w:numId w:val="0"/>
        </w:numPr>
        <w:spacing w:before="156" w:after="156"/>
        <w:outlineLvl w:val="9"/>
        <w:rPr>
          <w:rFonts w:ascii="宋体" w:hAnsi="宋体" w:eastAsia="宋体"/>
        </w:rPr>
      </w:pPr>
    </w:p>
    <w:p w14:paraId="0833A300">
      <w:pPr>
        <w:pStyle w:val="110"/>
        <w:spacing w:before="156" w:after="156"/>
      </w:pPr>
      <w:bookmarkStart w:id="55" w:name="_Toc202286555"/>
      <w:bookmarkEnd w:id="55"/>
      <w:bookmarkStart w:id="56" w:name="_Toc202286692"/>
      <w:bookmarkEnd w:id="56"/>
      <w:bookmarkStart w:id="57" w:name="_Toc202286601"/>
      <w:bookmarkEnd w:id="57"/>
      <w:bookmarkStart w:id="58" w:name="_Toc202286722"/>
      <w:bookmarkEnd w:id="58"/>
      <w:bookmarkStart w:id="59" w:name="_Toc222392764"/>
      <w:r>
        <w:rPr>
          <w:rFonts w:hint="eastAsia"/>
        </w:rPr>
        <w:t>防护性能</w:t>
      </w:r>
      <w:bookmarkEnd w:id="59"/>
    </w:p>
    <w:p w14:paraId="7F19A64E">
      <w:pPr>
        <w:pStyle w:val="70"/>
        <w:spacing w:before="156" w:after="156"/>
        <w:ind w:left="0"/>
        <w:rPr>
          <w:rFonts w:hAnsi="宋体"/>
        </w:rPr>
      </w:pPr>
      <w:r>
        <w:rPr>
          <w:rFonts w:hint="eastAsia" w:ascii="宋体" w:hAnsi="宋体" w:eastAsia="宋体"/>
        </w:rPr>
        <w:t>承重构件的防火性能应符合设计文件规定的木构件燃烧性能、耐火极限指标和防火构造要求，且应符合GB</w:t>
      </w:r>
      <w:r>
        <w:rPr>
          <w:rFonts w:ascii="宋体" w:hAnsi="宋体" w:eastAsia="宋体"/>
        </w:rPr>
        <w:t xml:space="preserve"> </w:t>
      </w:r>
      <w:r>
        <w:rPr>
          <w:rFonts w:hint="eastAsia" w:ascii="宋体" w:hAnsi="宋体" w:eastAsia="宋体"/>
        </w:rPr>
        <w:t>50016和GB</w:t>
      </w:r>
      <w:r>
        <w:rPr>
          <w:rFonts w:ascii="宋体" w:hAnsi="宋体" w:eastAsia="宋体"/>
        </w:rPr>
        <w:t xml:space="preserve"> </w:t>
      </w:r>
      <w:r>
        <w:rPr>
          <w:rFonts w:hint="eastAsia" w:ascii="宋体" w:hAnsi="宋体" w:eastAsia="宋体"/>
        </w:rPr>
        <w:t>50005的规定。</w:t>
      </w:r>
    </w:p>
    <w:p w14:paraId="3F352AE8">
      <w:pPr>
        <w:pStyle w:val="70"/>
        <w:spacing w:before="156" w:after="156"/>
        <w:ind w:left="0"/>
        <w:rPr>
          <w:rFonts w:hAnsi="宋体"/>
        </w:rPr>
      </w:pPr>
      <w:r>
        <w:rPr>
          <w:rFonts w:hint="eastAsia" w:ascii="宋体" w:hAnsi="宋体" w:eastAsia="宋体"/>
        </w:rPr>
        <w:t>承重构件使用的阻燃药剂应符合GB/T</w:t>
      </w:r>
      <w:r>
        <w:rPr>
          <w:rFonts w:ascii="宋体" w:hAnsi="宋体" w:eastAsia="宋体"/>
        </w:rPr>
        <w:t xml:space="preserve"> </w:t>
      </w:r>
      <w:r>
        <w:rPr>
          <w:rFonts w:hint="eastAsia" w:ascii="宋体" w:hAnsi="宋体" w:eastAsia="宋体"/>
        </w:rPr>
        <w:t>29407的规定，应有产品质量检测报告。阻燃处理宜采用加压浸渍法。如采用喷涂法，防火涂层厚度应均匀，且平均厚度不应小于设计文件的规定值。</w:t>
      </w:r>
    </w:p>
    <w:p w14:paraId="5FB15214">
      <w:pPr>
        <w:pStyle w:val="70"/>
        <w:spacing w:before="156" w:after="156"/>
        <w:ind w:left="0"/>
        <w:rPr>
          <w:rFonts w:hAnsi="宋体"/>
        </w:rPr>
      </w:pPr>
      <w:r>
        <w:rPr>
          <w:rFonts w:hint="eastAsia" w:ascii="宋体" w:hAnsi="宋体" w:eastAsia="宋体"/>
        </w:rPr>
        <w:t>用于承重构件的防腐木材应采用天然抗白蚁木材、经防腐处理的木材或天然耐久木材。承重构件使用的防腐、防虫药剂应符合GB/T</w:t>
      </w:r>
      <w:r>
        <w:rPr>
          <w:rFonts w:ascii="宋体" w:hAnsi="宋体" w:eastAsia="宋体"/>
        </w:rPr>
        <w:t xml:space="preserve"> 27654</w:t>
      </w:r>
      <w:r>
        <w:rPr>
          <w:rFonts w:hint="eastAsia" w:ascii="宋体" w:hAnsi="宋体" w:eastAsia="宋体"/>
        </w:rPr>
        <w:t>和GB/T</w:t>
      </w:r>
      <w:r>
        <w:rPr>
          <w:rFonts w:ascii="宋体" w:hAnsi="宋体" w:eastAsia="宋体"/>
        </w:rPr>
        <w:t xml:space="preserve"> 27651</w:t>
      </w:r>
      <w:r>
        <w:rPr>
          <w:rFonts w:hint="eastAsia" w:ascii="宋体" w:hAnsi="宋体" w:eastAsia="宋体"/>
        </w:rPr>
        <w:t>的规定，耐久性应符合设计文件的规定。</w:t>
      </w:r>
    </w:p>
    <w:p w14:paraId="2F645233">
      <w:pPr>
        <w:pStyle w:val="70"/>
        <w:spacing w:before="156" w:after="156"/>
        <w:ind w:left="0"/>
        <w:rPr>
          <w:rFonts w:hAnsi="宋体"/>
        </w:rPr>
      </w:pPr>
      <w:r>
        <w:rPr>
          <w:rFonts w:hint="eastAsia" w:ascii="宋体" w:hAnsi="宋体" w:eastAsia="宋体"/>
        </w:rPr>
        <w:t>防腐防虫处理的承重构件，应避免重新切割或钻孔。由于技术上的原因，确有必要作局部修整时，必须对木材暴露的表面，按设计文件要求涂刷同品牌或同品种药剂。</w:t>
      </w:r>
    </w:p>
    <w:p w14:paraId="039156A7">
      <w:pPr>
        <w:pStyle w:val="70"/>
        <w:spacing w:before="156" w:after="156"/>
        <w:ind w:left="0"/>
        <w:rPr>
          <w:rFonts w:hAnsi="宋体"/>
        </w:rPr>
      </w:pPr>
      <w:r>
        <w:rPr>
          <w:rFonts w:hint="eastAsia" w:ascii="宋体" w:hAnsi="宋体" w:eastAsia="宋体"/>
        </w:rPr>
        <w:t>防腐、防虫药剂在木材中的载药量和透入度应符合设计文件的规定，并应符合</w:t>
      </w:r>
      <w:r>
        <w:rPr>
          <w:rFonts w:ascii="宋体" w:hAnsi="宋体" w:eastAsia="宋体"/>
        </w:rPr>
        <w:t xml:space="preserve">GB/T </w:t>
      </w:r>
      <w:r>
        <w:rPr>
          <w:rFonts w:hint="eastAsia" w:ascii="宋体" w:hAnsi="宋体" w:eastAsia="宋体"/>
        </w:rPr>
        <w:t>27651和</w:t>
      </w:r>
      <w:r>
        <w:rPr>
          <w:rFonts w:ascii="宋体" w:hAnsi="宋体" w:eastAsia="宋体"/>
        </w:rPr>
        <w:t xml:space="preserve">GB </w:t>
      </w:r>
      <w:r>
        <w:rPr>
          <w:rFonts w:hint="eastAsia" w:ascii="宋体" w:hAnsi="宋体" w:eastAsia="宋体"/>
        </w:rPr>
        <w:t>50206的规定。</w:t>
      </w:r>
    </w:p>
    <w:p w14:paraId="66767886">
      <w:pPr>
        <w:pStyle w:val="70"/>
        <w:spacing w:before="156" w:after="156"/>
        <w:ind w:left="0"/>
        <w:rPr>
          <w:rFonts w:hAnsi="宋体"/>
        </w:rPr>
      </w:pPr>
      <w:r>
        <w:rPr>
          <w:rFonts w:hint="eastAsia" w:ascii="宋体" w:hAnsi="宋体" w:eastAsia="宋体"/>
        </w:rPr>
        <w:t>承重构件的防潮层设置与防潮构造应符合GB 50206和GB/T 51233的规定。</w:t>
      </w:r>
    </w:p>
    <w:p w14:paraId="0FA7E59D">
      <w:pPr>
        <w:pStyle w:val="109"/>
        <w:spacing w:before="312" w:after="312"/>
      </w:pPr>
      <w:bookmarkStart w:id="60" w:name="_Toc222392765"/>
      <w:bookmarkStart w:id="61" w:name="_Toc89120425"/>
      <w:r>
        <w:rPr>
          <w:rFonts w:hint="eastAsia"/>
        </w:rPr>
        <w:t>检验方法</w:t>
      </w:r>
      <w:bookmarkEnd w:id="60"/>
    </w:p>
    <w:p w14:paraId="583EF93C">
      <w:pPr>
        <w:pStyle w:val="110"/>
        <w:spacing w:before="156" w:after="156"/>
      </w:pPr>
      <w:bookmarkStart w:id="62" w:name="_Toc222392766"/>
      <w:r>
        <w:rPr>
          <w:rFonts w:hint="eastAsia"/>
        </w:rPr>
        <w:t>外观质量与尺寸</w:t>
      </w:r>
      <w:bookmarkEnd w:id="61"/>
      <w:r>
        <w:rPr>
          <w:rFonts w:hint="eastAsia"/>
        </w:rPr>
        <w:t>偏差</w:t>
      </w:r>
      <w:bookmarkEnd w:id="62"/>
    </w:p>
    <w:p w14:paraId="32DED4CE">
      <w:pPr>
        <w:pStyle w:val="170"/>
        <w:ind w:left="0"/>
      </w:pPr>
      <w:r>
        <w:rPr>
          <w:rFonts w:hint="eastAsia"/>
        </w:rPr>
        <w:t>承重构件的外观质量应根据GB 50206中A级、B级和C级的要求进行检验，其中C级胶合木结构层板错位应采用塞尺、量器、目测等进行检验，并应符合GB 50206的要求。</w:t>
      </w:r>
    </w:p>
    <w:p w14:paraId="29B2B856">
      <w:pPr>
        <w:pStyle w:val="170"/>
        <w:ind w:left="0"/>
      </w:pPr>
      <w:r>
        <w:rPr>
          <w:rFonts w:hint="eastAsia"/>
        </w:rPr>
        <w:t>承重构件尺寸偏差的检验应符合表</w:t>
      </w:r>
      <w:r>
        <w:t>6</w:t>
      </w:r>
      <w:r>
        <w:rPr>
          <w:rFonts w:hint="eastAsia"/>
        </w:rPr>
        <w:t>的规定。</w:t>
      </w:r>
    </w:p>
    <w:p w14:paraId="2F6FD836">
      <w:pPr>
        <w:pStyle w:val="117"/>
        <w:spacing w:before="156" w:after="156"/>
        <w:ind w:left="0"/>
      </w:pPr>
      <w:r>
        <w:rPr>
          <w:rFonts w:hint="eastAsia"/>
        </w:rPr>
        <w:t>承重构件尺寸偏差检验方法</w:t>
      </w:r>
    </w:p>
    <w:tbl>
      <w:tblPr>
        <w:tblStyle w:val="30"/>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60"/>
        <w:gridCol w:w="3919"/>
        <w:gridCol w:w="3194"/>
      </w:tblGrid>
      <w:tr w14:paraId="0F7A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tcBorders>
              <w:top w:val="single" w:color="auto" w:sz="4" w:space="0"/>
              <w:left w:val="single" w:color="auto" w:sz="4" w:space="0"/>
              <w:bottom w:val="single" w:color="auto" w:sz="4" w:space="0"/>
              <w:right w:val="single" w:color="auto" w:sz="4" w:space="0"/>
            </w:tcBorders>
            <w:noWrap/>
            <w:vAlign w:val="center"/>
          </w:tcPr>
          <w:p w14:paraId="11F8696D">
            <w:pPr>
              <w:spacing w:line="360" w:lineRule="atLeast"/>
              <w:jc w:val="center"/>
              <w:textAlignment w:val="baseline"/>
            </w:pPr>
            <w:r>
              <w:rPr>
                <w:rFonts w:hint="eastAsia"/>
              </w:rPr>
              <w:t>构件类型</w:t>
            </w:r>
          </w:p>
        </w:tc>
        <w:tc>
          <w:tcPr>
            <w:tcW w:w="2046" w:type="pct"/>
            <w:tcBorders>
              <w:top w:val="single" w:color="auto" w:sz="4" w:space="0"/>
              <w:left w:val="single" w:color="auto" w:sz="4" w:space="0"/>
              <w:bottom w:val="single" w:color="auto" w:sz="4" w:space="0"/>
              <w:right w:val="single" w:color="auto" w:sz="4" w:space="0"/>
            </w:tcBorders>
            <w:noWrap/>
            <w:vAlign w:val="center"/>
          </w:tcPr>
          <w:p w14:paraId="1CCD7C71">
            <w:pPr>
              <w:spacing w:line="360" w:lineRule="atLeast"/>
              <w:jc w:val="center"/>
              <w:textAlignment w:val="baseline"/>
            </w:pPr>
            <w:r>
              <w:rPr>
                <w:rFonts w:hint="eastAsia"/>
              </w:rPr>
              <w:t>项目</w:t>
            </w:r>
          </w:p>
        </w:tc>
        <w:tc>
          <w:tcPr>
            <w:tcW w:w="1667" w:type="pct"/>
            <w:tcBorders>
              <w:top w:val="single" w:color="auto" w:sz="4" w:space="0"/>
              <w:left w:val="single" w:color="auto" w:sz="4" w:space="0"/>
              <w:bottom w:val="single" w:color="auto" w:sz="4" w:space="0"/>
              <w:right w:val="single" w:color="auto" w:sz="4" w:space="0"/>
            </w:tcBorders>
            <w:noWrap/>
            <w:vAlign w:val="center"/>
          </w:tcPr>
          <w:p w14:paraId="26A2EA35">
            <w:pPr>
              <w:spacing w:line="360" w:lineRule="atLeast"/>
              <w:jc w:val="center"/>
              <w:textAlignment w:val="baseline"/>
            </w:pPr>
            <w:r>
              <w:rPr>
                <w:rFonts w:hint="eastAsia"/>
              </w:rPr>
              <w:t>检验方法</w:t>
            </w:r>
          </w:p>
        </w:tc>
      </w:tr>
      <w:tr w14:paraId="7151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restart"/>
            <w:noWrap/>
            <w:vAlign w:val="center"/>
          </w:tcPr>
          <w:p w14:paraId="380B61C8">
            <w:pPr>
              <w:pStyle w:val="183"/>
              <w:jc w:val="both"/>
              <w:rPr>
                <w:sz w:val="21"/>
                <w:szCs w:val="21"/>
              </w:rPr>
            </w:pPr>
            <w:r>
              <w:rPr>
                <w:rFonts w:hint="eastAsia"/>
                <w:sz w:val="21"/>
                <w:szCs w:val="21"/>
              </w:rPr>
              <w:t>木柱、木梁</w:t>
            </w:r>
          </w:p>
        </w:tc>
        <w:tc>
          <w:tcPr>
            <w:tcW w:w="867" w:type="pct"/>
            <w:vMerge w:val="restart"/>
            <w:vAlign w:val="center"/>
          </w:tcPr>
          <w:p w14:paraId="7FB4BF3A">
            <w:pPr>
              <w:pStyle w:val="183"/>
              <w:rPr>
                <w:sz w:val="21"/>
                <w:szCs w:val="21"/>
              </w:rPr>
            </w:pPr>
            <w:r>
              <w:rPr>
                <w:rFonts w:hint="eastAsia"/>
                <w:sz w:val="21"/>
                <w:szCs w:val="21"/>
              </w:rPr>
              <w:t>原木柱、方木柱、原木梁、锯材木梁</w:t>
            </w:r>
          </w:p>
        </w:tc>
        <w:tc>
          <w:tcPr>
            <w:tcW w:w="2046" w:type="pct"/>
            <w:noWrap/>
            <w:vAlign w:val="center"/>
          </w:tcPr>
          <w:p w14:paraId="60F3419F">
            <w:pPr>
              <w:pStyle w:val="183"/>
              <w:rPr>
                <w:sz w:val="21"/>
                <w:szCs w:val="21"/>
              </w:rPr>
            </w:pPr>
            <w:r>
              <w:rPr>
                <w:rFonts w:hint="eastAsia"/>
                <w:sz w:val="21"/>
                <w:szCs w:val="21"/>
              </w:rPr>
              <w:t>截面高度</w:t>
            </w:r>
          </w:p>
        </w:tc>
        <w:tc>
          <w:tcPr>
            <w:tcW w:w="1667" w:type="pct"/>
            <w:noWrap/>
          </w:tcPr>
          <w:p w14:paraId="77C5DA5A">
            <w:pPr>
              <w:pStyle w:val="183"/>
              <w:rPr>
                <w:sz w:val="21"/>
                <w:szCs w:val="21"/>
              </w:rPr>
            </w:pPr>
            <w:r>
              <w:rPr>
                <w:rFonts w:hint="eastAsia"/>
                <w:sz w:val="21"/>
                <w:szCs w:val="21"/>
              </w:rPr>
              <w:t>尺量</w:t>
            </w:r>
          </w:p>
        </w:tc>
      </w:tr>
      <w:tr w14:paraId="6BA5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067314F9">
            <w:pPr>
              <w:pStyle w:val="183"/>
              <w:rPr>
                <w:sz w:val="21"/>
                <w:szCs w:val="21"/>
              </w:rPr>
            </w:pPr>
          </w:p>
        </w:tc>
        <w:tc>
          <w:tcPr>
            <w:tcW w:w="867" w:type="pct"/>
            <w:vMerge w:val="continue"/>
            <w:vAlign w:val="center"/>
          </w:tcPr>
          <w:p w14:paraId="2493D4A5">
            <w:pPr>
              <w:pStyle w:val="183"/>
              <w:rPr>
                <w:sz w:val="21"/>
                <w:szCs w:val="21"/>
              </w:rPr>
            </w:pPr>
          </w:p>
        </w:tc>
        <w:tc>
          <w:tcPr>
            <w:tcW w:w="2046" w:type="pct"/>
            <w:noWrap/>
            <w:vAlign w:val="center"/>
          </w:tcPr>
          <w:p w14:paraId="6A63C005">
            <w:pPr>
              <w:pStyle w:val="183"/>
              <w:rPr>
                <w:sz w:val="21"/>
                <w:szCs w:val="21"/>
              </w:rPr>
            </w:pPr>
            <w:r>
              <w:rPr>
                <w:rFonts w:hint="eastAsia"/>
                <w:sz w:val="21"/>
                <w:szCs w:val="21"/>
              </w:rPr>
              <w:t>截面宽度</w:t>
            </w:r>
          </w:p>
        </w:tc>
        <w:tc>
          <w:tcPr>
            <w:tcW w:w="1667" w:type="pct"/>
            <w:noWrap/>
          </w:tcPr>
          <w:p w14:paraId="688CBBD8">
            <w:pPr>
              <w:pStyle w:val="183"/>
              <w:rPr>
                <w:sz w:val="21"/>
                <w:szCs w:val="21"/>
              </w:rPr>
            </w:pPr>
            <w:r>
              <w:rPr>
                <w:rFonts w:hint="eastAsia"/>
                <w:sz w:val="21"/>
                <w:szCs w:val="21"/>
              </w:rPr>
              <w:t>尺量</w:t>
            </w:r>
          </w:p>
        </w:tc>
      </w:tr>
      <w:tr w14:paraId="500E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4C6A472D">
            <w:pPr>
              <w:pStyle w:val="183"/>
              <w:rPr>
                <w:sz w:val="21"/>
                <w:szCs w:val="21"/>
              </w:rPr>
            </w:pPr>
          </w:p>
        </w:tc>
        <w:tc>
          <w:tcPr>
            <w:tcW w:w="867" w:type="pct"/>
            <w:vMerge w:val="continue"/>
            <w:vAlign w:val="center"/>
          </w:tcPr>
          <w:p w14:paraId="7CE69608">
            <w:pPr>
              <w:pStyle w:val="183"/>
              <w:rPr>
                <w:sz w:val="21"/>
                <w:szCs w:val="21"/>
              </w:rPr>
            </w:pPr>
          </w:p>
        </w:tc>
        <w:tc>
          <w:tcPr>
            <w:tcW w:w="2046" w:type="pct"/>
            <w:noWrap/>
            <w:vAlign w:val="center"/>
          </w:tcPr>
          <w:p w14:paraId="18A40EE8">
            <w:pPr>
              <w:pStyle w:val="183"/>
              <w:rPr>
                <w:sz w:val="21"/>
                <w:szCs w:val="21"/>
              </w:rPr>
            </w:pPr>
            <w:r>
              <w:rPr>
                <w:rFonts w:hint="eastAsia"/>
                <w:sz w:val="21"/>
                <w:szCs w:val="21"/>
              </w:rPr>
              <w:t>构件长度</w:t>
            </w:r>
          </w:p>
        </w:tc>
        <w:tc>
          <w:tcPr>
            <w:tcW w:w="1667" w:type="pct"/>
            <w:noWrap/>
          </w:tcPr>
          <w:p w14:paraId="73CB0543">
            <w:pPr>
              <w:pStyle w:val="183"/>
              <w:rPr>
                <w:sz w:val="21"/>
                <w:szCs w:val="21"/>
              </w:rPr>
            </w:pPr>
            <w:r>
              <w:rPr>
                <w:rFonts w:hint="eastAsia"/>
                <w:sz w:val="21"/>
                <w:szCs w:val="21"/>
              </w:rPr>
              <w:t>尺量</w:t>
            </w:r>
          </w:p>
        </w:tc>
      </w:tr>
      <w:tr w14:paraId="6181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1C930D14">
            <w:pPr>
              <w:pStyle w:val="183"/>
              <w:rPr>
                <w:sz w:val="21"/>
                <w:szCs w:val="21"/>
              </w:rPr>
            </w:pPr>
          </w:p>
        </w:tc>
        <w:tc>
          <w:tcPr>
            <w:tcW w:w="867" w:type="pct"/>
            <w:vMerge w:val="continue"/>
            <w:vAlign w:val="center"/>
          </w:tcPr>
          <w:p w14:paraId="5E584246">
            <w:pPr>
              <w:pStyle w:val="183"/>
              <w:rPr>
                <w:sz w:val="21"/>
                <w:szCs w:val="21"/>
              </w:rPr>
            </w:pPr>
          </w:p>
        </w:tc>
        <w:tc>
          <w:tcPr>
            <w:tcW w:w="2046" w:type="pct"/>
            <w:noWrap/>
            <w:vAlign w:val="center"/>
          </w:tcPr>
          <w:p w14:paraId="23B04B52">
            <w:pPr>
              <w:pStyle w:val="183"/>
              <w:rPr>
                <w:sz w:val="21"/>
                <w:szCs w:val="21"/>
              </w:rPr>
            </w:pPr>
            <w:r>
              <w:rPr>
                <w:rFonts w:hint="eastAsia"/>
                <w:sz w:val="21"/>
                <w:szCs w:val="21"/>
              </w:rPr>
              <w:t>受压或压弯构件纵向弯曲</w:t>
            </w:r>
          </w:p>
        </w:tc>
        <w:tc>
          <w:tcPr>
            <w:tcW w:w="1667" w:type="pct"/>
            <w:noWrap/>
          </w:tcPr>
          <w:p w14:paraId="28C018B7">
            <w:pPr>
              <w:pStyle w:val="183"/>
              <w:rPr>
                <w:sz w:val="21"/>
                <w:szCs w:val="21"/>
              </w:rPr>
            </w:pPr>
            <w:r>
              <w:rPr>
                <w:rFonts w:hint="eastAsia"/>
                <w:sz w:val="21"/>
                <w:szCs w:val="21"/>
              </w:rPr>
              <w:t>拉线尺量</w:t>
            </w:r>
          </w:p>
        </w:tc>
      </w:tr>
      <w:tr w14:paraId="4D62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058073A0">
            <w:pPr>
              <w:pStyle w:val="183"/>
              <w:rPr>
                <w:sz w:val="21"/>
                <w:szCs w:val="21"/>
              </w:rPr>
            </w:pPr>
          </w:p>
        </w:tc>
        <w:tc>
          <w:tcPr>
            <w:tcW w:w="867" w:type="pct"/>
            <w:vMerge w:val="continue"/>
            <w:vAlign w:val="center"/>
          </w:tcPr>
          <w:p w14:paraId="62D16CDC">
            <w:pPr>
              <w:pStyle w:val="183"/>
              <w:rPr>
                <w:sz w:val="21"/>
                <w:szCs w:val="21"/>
              </w:rPr>
            </w:pPr>
          </w:p>
        </w:tc>
        <w:tc>
          <w:tcPr>
            <w:tcW w:w="2046" w:type="pct"/>
            <w:noWrap/>
            <w:vAlign w:val="center"/>
          </w:tcPr>
          <w:p w14:paraId="7EE2C659">
            <w:pPr>
              <w:pStyle w:val="183"/>
              <w:rPr>
                <w:sz w:val="21"/>
                <w:szCs w:val="21"/>
              </w:rPr>
            </w:pPr>
            <w:r>
              <w:rPr>
                <w:rFonts w:hint="eastAsia"/>
                <w:sz w:val="21"/>
                <w:szCs w:val="21"/>
              </w:rPr>
              <w:t>支座节点受剪面长度</w:t>
            </w:r>
          </w:p>
        </w:tc>
        <w:tc>
          <w:tcPr>
            <w:tcW w:w="1667" w:type="pct"/>
            <w:noWrap/>
          </w:tcPr>
          <w:p w14:paraId="08DB3208">
            <w:pPr>
              <w:pStyle w:val="183"/>
              <w:rPr>
                <w:sz w:val="21"/>
                <w:szCs w:val="21"/>
              </w:rPr>
            </w:pPr>
            <w:r>
              <w:rPr>
                <w:rFonts w:hint="eastAsia"/>
                <w:sz w:val="21"/>
                <w:szCs w:val="21"/>
              </w:rPr>
              <w:t>尺量</w:t>
            </w:r>
          </w:p>
        </w:tc>
      </w:tr>
      <w:tr w14:paraId="2190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24F01D19">
            <w:pPr>
              <w:pStyle w:val="183"/>
              <w:rPr>
                <w:sz w:val="21"/>
                <w:szCs w:val="21"/>
              </w:rPr>
            </w:pPr>
          </w:p>
        </w:tc>
        <w:tc>
          <w:tcPr>
            <w:tcW w:w="867" w:type="pct"/>
            <w:vMerge w:val="continue"/>
            <w:vAlign w:val="center"/>
          </w:tcPr>
          <w:p w14:paraId="04D48665">
            <w:pPr>
              <w:pStyle w:val="183"/>
              <w:rPr>
                <w:sz w:val="21"/>
                <w:szCs w:val="21"/>
              </w:rPr>
            </w:pPr>
          </w:p>
        </w:tc>
        <w:tc>
          <w:tcPr>
            <w:tcW w:w="2046" w:type="pct"/>
            <w:noWrap/>
            <w:vAlign w:val="center"/>
          </w:tcPr>
          <w:p w14:paraId="6CE28ED3">
            <w:pPr>
              <w:pStyle w:val="183"/>
              <w:rPr>
                <w:sz w:val="21"/>
                <w:szCs w:val="21"/>
              </w:rPr>
            </w:pPr>
            <w:r>
              <w:rPr>
                <w:rFonts w:hint="eastAsia"/>
                <w:sz w:val="21"/>
                <w:szCs w:val="21"/>
              </w:rPr>
              <w:t>支座节点受剪面宽度</w:t>
            </w:r>
          </w:p>
        </w:tc>
        <w:tc>
          <w:tcPr>
            <w:tcW w:w="1667" w:type="pct"/>
            <w:noWrap/>
          </w:tcPr>
          <w:p w14:paraId="3D29CDFE">
            <w:pPr>
              <w:pStyle w:val="183"/>
              <w:rPr>
                <w:sz w:val="21"/>
                <w:szCs w:val="21"/>
              </w:rPr>
            </w:pPr>
            <w:r>
              <w:rPr>
                <w:rFonts w:hint="eastAsia"/>
                <w:sz w:val="21"/>
                <w:szCs w:val="21"/>
              </w:rPr>
              <w:t>尺量</w:t>
            </w:r>
          </w:p>
        </w:tc>
      </w:tr>
      <w:tr w14:paraId="03A5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247C0901">
            <w:pPr>
              <w:pStyle w:val="183"/>
              <w:rPr>
                <w:sz w:val="21"/>
                <w:szCs w:val="21"/>
              </w:rPr>
            </w:pPr>
          </w:p>
        </w:tc>
        <w:tc>
          <w:tcPr>
            <w:tcW w:w="867" w:type="pct"/>
            <w:vMerge w:val="restart"/>
            <w:vAlign w:val="center"/>
          </w:tcPr>
          <w:p w14:paraId="5362E5B4">
            <w:pPr>
              <w:pStyle w:val="183"/>
              <w:rPr>
                <w:sz w:val="21"/>
                <w:szCs w:val="21"/>
              </w:rPr>
            </w:pPr>
            <w:r>
              <w:rPr>
                <w:rFonts w:hint="eastAsia"/>
                <w:sz w:val="21"/>
                <w:szCs w:val="21"/>
              </w:rPr>
              <w:t>胶合木柱、胶合木梁</w:t>
            </w:r>
          </w:p>
        </w:tc>
        <w:tc>
          <w:tcPr>
            <w:tcW w:w="2046" w:type="pct"/>
            <w:noWrap/>
            <w:vAlign w:val="center"/>
          </w:tcPr>
          <w:p w14:paraId="17687BD2">
            <w:pPr>
              <w:pStyle w:val="183"/>
              <w:rPr>
                <w:sz w:val="21"/>
                <w:szCs w:val="21"/>
              </w:rPr>
            </w:pPr>
            <w:r>
              <w:rPr>
                <w:rFonts w:hint="eastAsia"/>
                <w:sz w:val="21"/>
                <w:szCs w:val="21"/>
              </w:rPr>
              <w:t>截面高度</w:t>
            </w:r>
          </w:p>
        </w:tc>
        <w:tc>
          <w:tcPr>
            <w:tcW w:w="1667" w:type="pct"/>
            <w:noWrap/>
          </w:tcPr>
          <w:p w14:paraId="4450F634">
            <w:pPr>
              <w:pStyle w:val="183"/>
              <w:rPr>
                <w:sz w:val="21"/>
                <w:szCs w:val="21"/>
              </w:rPr>
            </w:pPr>
            <w:r>
              <w:rPr>
                <w:rFonts w:hint="eastAsia"/>
                <w:sz w:val="21"/>
                <w:szCs w:val="21"/>
              </w:rPr>
              <w:t>尺量</w:t>
            </w:r>
          </w:p>
        </w:tc>
      </w:tr>
      <w:tr w14:paraId="38AA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3B38E199">
            <w:pPr>
              <w:pStyle w:val="183"/>
              <w:rPr>
                <w:sz w:val="21"/>
                <w:szCs w:val="21"/>
              </w:rPr>
            </w:pPr>
          </w:p>
        </w:tc>
        <w:tc>
          <w:tcPr>
            <w:tcW w:w="867" w:type="pct"/>
            <w:vMerge w:val="continue"/>
            <w:vAlign w:val="center"/>
          </w:tcPr>
          <w:p w14:paraId="6B5C1274">
            <w:pPr>
              <w:pStyle w:val="183"/>
              <w:rPr>
                <w:sz w:val="21"/>
                <w:szCs w:val="21"/>
              </w:rPr>
            </w:pPr>
          </w:p>
        </w:tc>
        <w:tc>
          <w:tcPr>
            <w:tcW w:w="2046" w:type="pct"/>
            <w:noWrap/>
            <w:vAlign w:val="center"/>
          </w:tcPr>
          <w:p w14:paraId="7C0FC06F">
            <w:pPr>
              <w:pStyle w:val="183"/>
              <w:rPr>
                <w:sz w:val="21"/>
                <w:szCs w:val="21"/>
              </w:rPr>
            </w:pPr>
            <w:r>
              <w:rPr>
                <w:rFonts w:hint="eastAsia"/>
                <w:sz w:val="21"/>
                <w:szCs w:val="21"/>
              </w:rPr>
              <w:t>截面宽度</w:t>
            </w:r>
          </w:p>
        </w:tc>
        <w:tc>
          <w:tcPr>
            <w:tcW w:w="1667" w:type="pct"/>
            <w:noWrap/>
          </w:tcPr>
          <w:p w14:paraId="03C7C376">
            <w:pPr>
              <w:pStyle w:val="183"/>
              <w:rPr>
                <w:sz w:val="21"/>
                <w:szCs w:val="21"/>
              </w:rPr>
            </w:pPr>
            <w:r>
              <w:rPr>
                <w:rFonts w:hint="eastAsia"/>
                <w:sz w:val="21"/>
                <w:szCs w:val="21"/>
              </w:rPr>
              <w:t>尺量</w:t>
            </w:r>
          </w:p>
        </w:tc>
      </w:tr>
      <w:tr w14:paraId="7CBB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704E2770">
            <w:pPr>
              <w:pStyle w:val="183"/>
              <w:rPr>
                <w:sz w:val="21"/>
                <w:szCs w:val="21"/>
              </w:rPr>
            </w:pPr>
          </w:p>
        </w:tc>
        <w:tc>
          <w:tcPr>
            <w:tcW w:w="867" w:type="pct"/>
            <w:vMerge w:val="continue"/>
            <w:vAlign w:val="center"/>
          </w:tcPr>
          <w:p w14:paraId="26D45447">
            <w:pPr>
              <w:pStyle w:val="183"/>
              <w:rPr>
                <w:sz w:val="21"/>
                <w:szCs w:val="21"/>
              </w:rPr>
            </w:pPr>
          </w:p>
        </w:tc>
        <w:tc>
          <w:tcPr>
            <w:tcW w:w="2046" w:type="pct"/>
            <w:noWrap/>
            <w:vAlign w:val="center"/>
          </w:tcPr>
          <w:p w14:paraId="55950317">
            <w:pPr>
              <w:pStyle w:val="183"/>
              <w:rPr>
                <w:sz w:val="21"/>
                <w:szCs w:val="21"/>
              </w:rPr>
            </w:pPr>
            <w:r>
              <w:rPr>
                <w:rFonts w:hint="eastAsia"/>
                <w:sz w:val="21"/>
                <w:szCs w:val="21"/>
              </w:rPr>
              <w:t>构件长度</w:t>
            </w:r>
          </w:p>
        </w:tc>
        <w:tc>
          <w:tcPr>
            <w:tcW w:w="1667" w:type="pct"/>
            <w:noWrap/>
          </w:tcPr>
          <w:p w14:paraId="70D617CA">
            <w:pPr>
              <w:pStyle w:val="183"/>
              <w:rPr>
                <w:sz w:val="21"/>
                <w:szCs w:val="21"/>
              </w:rPr>
            </w:pPr>
            <w:r>
              <w:rPr>
                <w:rFonts w:hint="eastAsia"/>
                <w:sz w:val="21"/>
                <w:szCs w:val="21"/>
              </w:rPr>
              <w:t>尺量</w:t>
            </w:r>
          </w:p>
        </w:tc>
      </w:tr>
      <w:tr w14:paraId="6D14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70723E53">
            <w:pPr>
              <w:pStyle w:val="183"/>
              <w:rPr>
                <w:sz w:val="21"/>
                <w:szCs w:val="21"/>
              </w:rPr>
            </w:pPr>
          </w:p>
        </w:tc>
        <w:tc>
          <w:tcPr>
            <w:tcW w:w="867" w:type="pct"/>
            <w:vMerge w:val="continue"/>
            <w:vAlign w:val="center"/>
          </w:tcPr>
          <w:p w14:paraId="749EBCEB">
            <w:pPr>
              <w:pStyle w:val="183"/>
              <w:rPr>
                <w:sz w:val="21"/>
                <w:szCs w:val="21"/>
              </w:rPr>
            </w:pPr>
          </w:p>
        </w:tc>
        <w:tc>
          <w:tcPr>
            <w:tcW w:w="2046" w:type="pct"/>
            <w:noWrap/>
            <w:vAlign w:val="center"/>
          </w:tcPr>
          <w:p w14:paraId="1AE9A00E">
            <w:pPr>
              <w:pStyle w:val="183"/>
              <w:rPr>
                <w:sz w:val="21"/>
                <w:szCs w:val="21"/>
              </w:rPr>
            </w:pPr>
            <w:r>
              <w:rPr>
                <w:rFonts w:hint="eastAsia"/>
                <w:sz w:val="21"/>
                <w:szCs w:val="21"/>
              </w:rPr>
              <w:t>受压或压弯构件纵向弯曲</w:t>
            </w:r>
          </w:p>
        </w:tc>
        <w:tc>
          <w:tcPr>
            <w:tcW w:w="1667" w:type="pct"/>
            <w:noWrap/>
          </w:tcPr>
          <w:p w14:paraId="2990174B">
            <w:pPr>
              <w:pStyle w:val="183"/>
              <w:rPr>
                <w:sz w:val="21"/>
                <w:szCs w:val="21"/>
              </w:rPr>
            </w:pPr>
            <w:r>
              <w:rPr>
                <w:rFonts w:hint="eastAsia"/>
                <w:sz w:val="21"/>
                <w:szCs w:val="21"/>
              </w:rPr>
              <w:t>拉线尺量</w:t>
            </w:r>
          </w:p>
        </w:tc>
      </w:tr>
      <w:tr w14:paraId="2685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36F6DC5E">
            <w:pPr>
              <w:pStyle w:val="183"/>
              <w:rPr>
                <w:sz w:val="21"/>
                <w:szCs w:val="21"/>
              </w:rPr>
            </w:pPr>
          </w:p>
        </w:tc>
        <w:tc>
          <w:tcPr>
            <w:tcW w:w="867" w:type="pct"/>
            <w:vMerge w:val="continue"/>
            <w:vAlign w:val="center"/>
          </w:tcPr>
          <w:p w14:paraId="7DD71E69">
            <w:pPr>
              <w:pStyle w:val="183"/>
              <w:rPr>
                <w:sz w:val="21"/>
                <w:szCs w:val="21"/>
              </w:rPr>
            </w:pPr>
          </w:p>
        </w:tc>
        <w:tc>
          <w:tcPr>
            <w:tcW w:w="2046" w:type="pct"/>
            <w:noWrap/>
            <w:vAlign w:val="center"/>
          </w:tcPr>
          <w:p w14:paraId="00ED3261">
            <w:pPr>
              <w:pStyle w:val="183"/>
              <w:rPr>
                <w:sz w:val="21"/>
                <w:szCs w:val="21"/>
              </w:rPr>
            </w:pPr>
            <w:r>
              <w:rPr>
                <w:rFonts w:hint="eastAsia"/>
                <w:sz w:val="21"/>
                <w:szCs w:val="21"/>
              </w:rPr>
              <w:t>支座节点受剪面长度</w:t>
            </w:r>
          </w:p>
        </w:tc>
        <w:tc>
          <w:tcPr>
            <w:tcW w:w="1667" w:type="pct"/>
            <w:noWrap/>
          </w:tcPr>
          <w:p w14:paraId="1160DBBD">
            <w:pPr>
              <w:pStyle w:val="183"/>
              <w:rPr>
                <w:sz w:val="21"/>
                <w:szCs w:val="21"/>
              </w:rPr>
            </w:pPr>
            <w:r>
              <w:rPr>
                <w:rFonts w:hint="eastAsia"/>
                <w:sz w:val="21"/>
                <w:szCs w:val="21"/>
              </w:rPr>
              <w:t>尺量</w:t>
            </w:r>
          </w:p>
        </w:tc>
      </w:tr>
      <w:tr w14:paraId="7867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22697DFD">
            <w:pPr>
              <w:pStyle w:val="183"/>
              <w:rPr>
                <w:sz w:val="21"/>
                <w:szCs w:val="21"/>
              </w:rPr>
            </w:pPr>
          </w:p>
        </w:tc>
        <w:tc>
          <w:tcPr>
            <w:tcW w:w="867" w:type="pct"/>
            <w:vMerge w:val="continue"/>
            <w:vAlign w:val="center"/>
          </w:tcPr>
          <w:p w14:paraId="3CB74D10">
            <w:pPr>
              <w:pStyle w:val="183"/>
              <w:rPr>
                <w:sz w:val="21"/>
                <w:szCs w:val="21"/>
              </w:rPr>
            </w:pPr>
          </w:p>
        </w:tc>
        <w:tc>
          <w:tcPr>
            <w:tcW w:w="2046" w:type="pct"/>
            <w:noWrap/>
            <w:vAlign w:val="center"/>
          </w:tcPr>
          <w:p w14:paraId="19664D32">
            <w:pPr>
              <w:pStyle w:val="183"/>
              <w:rPr>
                <w:sz w:val="21"/>
                <w:szCs w:val="21"/>
              </w:rPr>
            </w:pPr>
            <w:r>
              <w:rPr>
                <w:rFonts w:hint="eastAsia"/>
                <w:sz w:val="21"/>
                <w:szCs w:val="21"/>
              </w:rPr>
              <w:t>支座节点受剪面宽度</w:t>
            </w:r>
          </w:p>
        </w:tc>
        <w:tc>
          <w:tcPr>
            <w:tcW w:w="1667" w:type="pct"/>
            <w:noWrap/>
          </w:tcPr>
          <w:p w14:paraId="442BBE7F">
            <w:pPr>
              <w:pStyle w:val="183"/>
              <w:rPr>
                <w:sz w:val="21"/>
                <w:szCs w:val="21"/>
              </w:rPr>
            </w:pPr>
            <w:r>
              <w:rPr>
                <w:rFonts w:hint="eastAsia"/>
                <w:sz w:val="21"/>
                <w:szCs w:val="21"/>
              </w:rPr>
              <w:t>尺量</w:t>
            </w:r>
          </w:p>
        </w:tc>
      </w:tr>
      <w:tr w14:paraId="5DC3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restart"/>
            <w:noWrap/>
            <w:vAlign w:val="center"/>
          </w:tcPr>
          <w:p w14:paraId="5780D078">
            <w:pPr>
              <w:pStyle w:val="183"/>
              <w:jc w:val="both"/>
              <w:rPr>
                <w:sz w:val="21"/>
                <w:szCs w:val="21"/>
              </w:rPr>
            </w:pPr>
            <w:r>
              <w:rPr>
                <w:rFonts w:hint="eastAsia"/>
                <w:sz w:val="21"/>
                <w:szCs w:val="21"/>
              </w:rPr>
              <w:t>木墙、木楼盖、木屋盖</w:t>
            </w:r>
          </w:p>
        </w:tc>
        <w:tc>
          <w:tcPr>
            <w:tcW w:w="867" w:type="pct"/>
            <w:vMerge w:val="restart"/>
            <w:vAlign w:val="center"/>
          </w:tcPr>
          <w:p w14:paraId="698BB7D2">
            <w:pPr>
              <w:pStyle w:val="183"/>
              <w:rPr>
                <w:sz w:val="21"/>
                <w:szCs w:val="21"/>
              </w:rPr>
            </w:pPr>
            <w:r>
              <w:rPr>
                <w:rFonts w:hint="eastAsia"/>
                <w:sz w:val="21"/>
                <w:szCs w:val="21"/>
              </w:rPr>
              <w:t>木基结构板剪力墙、井干式木结构墙体、木基结构板楼盖、木基结构板屋盖</w:t>
            </w:r>
          </w:p>
        </w:tc>
        <w:tc>
          <w:tcPr>
            <w:tcW w:w="2046" w:type="pct"/>
            <w:noWrap/>
            <w:vAlign w:val="center"/>
          </w:tcPr>
          <w:p w14:paraId="5E872F3B">
            <w:pPr>
              <w:pStyle w:val="183"/>
              <w:rPr>
                <w:sz w:val="21"/>
                <w:szCs w:val="21"/>
              </w:rPr>
            </w:pPr>
            <w:r>
              <w:rPr>
                <w:rFonts w:hint="eastAsia"/>
                <w:sz w:val="21"/>
                <w:szCs w:val="21"/>
              </w:rPr>
              <w:t>截面厚度</w:t>
            </w:r>
          </w:p>
        </w:tc>
        <w:tc>
          <w:tcPr>
            <w:tcW w:w="1667" w:type="pct"/>
            <w:noWrap/>
            <w:vAlign w:val="center"/>
          </w:tcPr>
          <w:p w14:paraId="6A0F21A3">
            <w:pPr>
              <w:pStyle w:val="183"/>
              <w:rPr>
                <w:sz w:val="21"/>
                <w:szCs w:val="21"/>
              </w:rPr>
            </w:pPr>
            <w:r>
              <w:rPr>
                <w:rFonts w:hint="eastAsia"/>
                <w:sz w:val="21"/>
                <w:szCs w:val="21"/>
              </w:rPr>
              <w:t>尺量</w:t>
            </w:r>
          </w:p>
        </w:tc>
      </w:tr>
      <w:tr w14:paraId="5364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2E8F757B">
            <w:pPr>
              <w:pStyle w:val="183"/>
              <w:rPr>
                <w:sz w:val="21"/>
                <w:szCs w:val="21"/>
              </w:rPr>
            </w:pPr>
          </w:p>
        </w:tc>
        <w:tc>
          <w:tcPr>
            <w:tcW w:w="867" w:type="pct"/>
            <w:vMerge w:val="continue"/>
            <w:vAlign w:val="center"/>
          </w:tcPr>
          <w:p w14:paraId="2C6442D6">
            <w:pPr>
              <w:pStyle w:val="183"/>
              <w:rPr>
                <w:sz w:val="21"/>
                <w:szCs w:val="21"/>
              </w:rPr>
            </w:pPr>
          </w:p>
        </w:tc>
        <w:tc>
          <w:tcPr>
            <w:tcW w:w="2046" w:type="pct"/>
            <w:noWrap/>
            <w:vAlign w:val="center"/>
          </w:tcPr>
          <w:p w14:paraId="36A4EEA2">
            <w:pPr>
              <w:pStyle w:val="183"/>
              <w:rPr>
                <w:sz w:val="21"/>
                <w:szCs w:val="21"/>
              </w:rPr>
            </w:pPr>
            <w:r>
              <w:rPr>
                <w:rFonts w:hint="eastAsia"/>
                <w:sz w:val="21"/>
                <w:szCs w:val="21"/>
              </w:rPr>
              <w:t>截面宽度</w:t>
            </w:r>
          </w:p>
        </w:tc>
        <w:tc>
          <w:tcPr>
            <w:tcW w:w="1667" w:type="pct"/>
            <w:noWrap/>
            <w:vAlign w:val="center"/>
          </w:tcPr>
          <w:p w14:paraId="7A40412C">
            <w:pPr>
              <w:pStyle w:val="183"/>
              <w:rPr>
                <w:sz w:val="21"/>
                <w:szCs w:val="21"/>
              </w:rPr>
            </w:pPr>
            <w:r>
              <w:rPr>
                <w:rFonts w:hint="eastAsia"/>
                <w:sz w:val="21"/>
                <w:szCs w:val="21"/>
              </w:rPr>
              <w:t>尺量</w:t>
            </w:r>
          </w:p>
        </w:tc>
      </w:tr>
      <w:tr w14:paraId="2B43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544F875B">
            <w:pPr>
              <w:pStyle w:val="183"/>
              <w:rPr>
                <w:sz w:val="21"/>
                <w:szCs w:val="21"/>
              </w:rPr>
            </w:pPr>
          </w:p>
        </w:tc>
        <w:tc>
          <w:tcPr>
            <w:tcW w:w="867" w:type="pct"/>
            <w:vMerge w:val="continue"/>
            <w:vAlign w:val="center"/>
          </w:tcPr>
          <w:p w14:paraId="4F288593">
            <w:pPr>
              <w:pStyle w:val="183"/>
              <w:rPr>
                <w:sz w:val="21"/>
                <w:szCs w:val="21"/>
              </w:rPr>
            </w:pPr>
          </w:p>
        </w:tc>
        <w:tc>
          <w:tcPr>
            <w:tcW w:w="2046" w:type="pct"/>
            <w:noWrap/>
            <w:vAlign w:val="center"/>
          </w:tcPr>
          <w:p w14:paraId="700B717D">
            <w:pPr>
              <w:pStyle w:val="183"/>
              <w:rPr>
                <w:sz w:val="21"/>
                <w:szCs w:val="21"/>
              </w:rPr>
            </w:pPr>
            <w:r>
              <w:rPr>
                <w:rFonts w:hint="eastAsia"/>
                <w:sz w:val="21"/>
                <w:szCs w:val="21"/>
              </w:rPr>
              <w:t>墙体高度/楼盖屋盖构件跨度方向长度</w:t>
            </w:r>
          </w:p>
        </w:tc>
        <w:tc>
          <w:tcPr>
            <w:tcW w:w="1667" w:type="pct"/>
            <w:noWrap/>
            <w:vAlign w:val="center"/>
          </w:tcPr>
          <w:p w14:paraId="0F39FC34">
            <w:pPr>
              <w:pStyle w:val="183"/>
              <w:rPr>
                <w:sz w:val="21"/>
                <w:szCs w:val="21"/>
              </w:rPr>
            </w:pPr>
            <w:r>
              <w:rPr>
                <w:rFonts w:hint="eastAsia"/>
                <w:sz w:val="21"/>
                <w:szCs w:val="21"/>
              </w:rPr>
              <w:t>尺量</w:t>
            </w:r>
          </w:p>
        </w:tc>
      </w:tr>
      <w:tr w14:paraId="27BA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6A5E6212">
            <w:pPr>
              <w:pStyle w:val="183"/>
              <w:rPr>
                <w:sz w:val="21"/>
                <w:szCs w:val="21"/>
              </w:rPr>
            </w:pPr>
          </w:p>
        </w:tc>
        <w:tc>
          <w:tcPr>
            <w:tcW w:w="867" w:type="pct"/>
            <w:vMerge w:val="continue"/>
            <w:vAlign w:val="center"/>
          </w:tcPr>
          <w:p w14:paraId="7066C76D">
            <w:pPr>
              <w:pStyle w:val="183"/>
              <w:rPr>
                <w:sz w:val="21"/>
                <w:szCs w:val="21"/>
              </w:rPr>
            </w:pPr>
          </w:p>
        </w:tc>
        <w:tc>
          <w:tcPr>
            <w:tcW w:w="2046" w:type="pct"/>
            <w:noWrap/>
            <w:vAlign w:val="center"/>
          </w:tcPr>
          <w:p w14:paraId="2ACFD857">
            <w:pPr>
              <w:pStyle w:val="183"/>
              <w:rPr>
                <w:sz w:val="21"/>
                <w:szCs w:val="21"/>
              </w:rPr>
            </w:pPr>
            <w:r>
              <w:rPr>
                <w:rFonts w:hint="eastAsia"/>
                <w:sz w:val="21"/>
                <w:szCs w:val="21"/>
              </w:rPr>
              <w:t>两条对角线</w:t>
            </w:r>
          </w:p>
        </w:tc>
        <w:tc>
          <w:tcPr>
            <w:tcW w:w="1667" w:type="pct"/>
            <w:noWrap/>
            <w:vAlign w:val="center"/>
          </w:tcPr>
          <w:p w14:paraId="247C6235">
            <w:pPr>
              <w:pStyle w:val="183"/>
              <w:rPr>
                <w:sz w:val="21"/>
                <w:szCs w:val="21"/>
              </w:rPr>
            </w:pPr>
            <w:r>
              <w:rPr>
                <w:rFonts w:hint="eastAsia"/>
                <w:sz w:val="21"/>
                <w:szCs w:val="21"/>
              </w:rPr>
              <w:t>拉线尺量</w:t>
            </w:r>
          </w:p>
        </w:tc>
      </w:tr>
      <w:tr w14:paraId="7505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7A8AC97E">
            <w:pPr>
              <w:pStyle w:val="183"/>
              <w:rPr>
                <w:sz w:val="21"/>
                <w:szCs w:val="21"/>
              </w:rPr>
            </w:pPr>
          </w:p>
        </w:tc>
        <w:tc>
          <w:tcPr>
            <w:tcW w:w="867" w:type="pct"/>
            <w:vMerge w:val="restart"/>
            <w:vAlign w:val="center"/>
          </w:tcPr>
          <w:p w14:paraId="25A1221F">
            <w:pPr>
              <w:pStyle w:val="183"/>
              <w:rPr>
                <w:sz w:val="21"/>
                <w:szCs w:val="21"/>
              </w:rPr>
            </w:pPr>
            <w:r>
              <w:rPr>
                <w:rFonts w:hint="eastAsia"/>
                <w:sz w:val="21"/>
                <w:szCs w:val="21"/>
              </w:rPr>
              <w:t>正交胶合木墙体、正交胶合木楼盖、正交胶合木屋盖</w:t>
            </w:r>
          </w:p>
        </w:tc>
        <w:tc>
          <w:tcPr>
            <w:tcW w:w="2046" w:type="pct"/>
            <w:noWrap/>
            <w:vAlign w:val="center"/>
          </w:tcPr>
          <w:p w14:paraId="1D7D267C">
            <w:pPr>
              <w:pStyle w:val="183"/>
              <w:rPr>
                <w:sz w:val="21"/>
                <w:szCs w:val="21"/>
              </w:rPr>
            </w:pPr>
            <w:r>
              <w:rPr>
                <w:rFonts w:hint="eastAsia"/>
                <w:sz w:val="21"/>
                <w:szCs w:val="21"/>
              </w:rPr>
              <w:t>截面厚度</w:t>
            </w:r>
          </w:p>
        </w:tc>
        <w:tc>
          <w:tcPr>
            <w:tcW w:w="1667" w:type="pct"/>
            <w:noWrap/>
            <w:vAlign w:val="center"/>
          </w:tcPr>
          <w:p w14:paraId="5BD3FCF2">
            <w:pPr>
              <w:pStyle w:val="183"/>
              <w:rPr>
                <w:sz w:val="21"/>
                <w:szCs w:val="21"/>
              </w:rPr>
            </w:pPr>
            <w:r>
              <w:rPr>
                <w:rFonts w:hint="eastAsia"/>
                <w:sz w:val="21"/>
                <w:szCs w:val="21"/>
              </w:rPr>
              <w:t>尺量</w:t>
            </w:r>
          </w:p>
        </w:tc>
      </w:tr>
      <w:tr w14:paraId="5D4C5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3EE91EA4">
            <w:pPr>
              <w:pStyle w:val="183"/>
              <w:rPr>
                <w:sz w:val="21"/>
                <w:szCs w:val="21"/>
              </w:rPr>
            </w:pPr>
          </w:p>
        </w:tc>
        <w:tc>
          <w:tcPr>
            <w:tcW w:w="867" w:type="pct"/>
            <w:vMerge w:val="continue"/>
            <w:vAlign w:val="center"/>
          </w:tcPr>
          <w:p w14:paraId="00BDC342">
            <w:pPr>
              <w:pStyle w:val="183"/>
              <w:rPr>
                <w:sz w:val="21"/>
                <w:szCs w:val="21"/>
              </w:rPr>
            </w:pPr>
          </w:p>
        </w:tc>
        <w:tc>
          <w:tcPr>
            <w:tcW w:w="2046" w:type="pct"/>
            <w:noWrap/>
            <w:vAlign w:val="center"/>
          </w:tcPr>
          <w:p w14:paraId="46D6864D">
            <w:pPr>
              <w:pStyle w:val="183"/>
              <w:rPr>
                <w:sz w:val="21"/>
                <w:szCs w:val="21"/>
              </w:rPr>
            </w:pPr>
            <w:r>
              <w:rPr>
                <w:rFonts w:hint="eastAsia"/>
                <w:sz w:val="21"/>
                <w:szCs w:val="21"/>
              </w:rPr>
              <w:t>截面宽度（弱轴方向）</w:t>
            </w:r>
          </w:p>
        </w:tc>
        <w:tc>
          <w:tcPr>
            <w:tcW w:w="1667" w:type="pct"/>
            <w:noWrap/>
            <w:vAlign w:val="center"/>
          </w:tcPr>
          <w:p w14:paraId="4231652A">
            <w:pPr>
              <w:pStyle w:val="183"/>
              <w:rPr>
                <w:sz w:val="21"/>
                <w:szCs w:val="21"/>
              </w:rPr>
            </w:pPr>
            <w:r>
              <w:rPr>
                <w:rFonts w:hint="eastAsia"/>
                <w:sz w:val="21"/>
                <w:szCs w:val="21"/>
              </w:rPr>
              <w:t>尺量</w:t>
            </w:r>
          </w:p>
        </w:tc>
      </w:tr>
      <w:tr w14:paraId="5575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70B5DE0F">
            <w:pPr>
              <w:pStyle w:val="183"/>
              <w:rPr>
                <w:sz w:val="21"/>
                <w:szCs w:val="21"/>
              </w:rPr>
            </w:pPr>
          </w:p>
        </w:tc>
        <w:tc>
          <w:tcPr>
            <w:tcW w:w="867" w:type="pct"/>
            <w:vMerge w:val="continue"/>
            <w:vAlign w:val="center"/>
          </w:tcPr>
          <w:p w14:paraId="2CC31C92">
            <w:pPr>
              <w:pStyle w:val="183"/>
              <w:rPr>
                <w:sz w:val="21"/>
                <w:szCs w:val="21"/>
              </w:rPr>
            </w:pPr>
          </w:p>
        </w:tc>
        <w:tc>
          <w:tcPr>
            <w:tcW w:w="2046" w:type="pct"/>
            <w:noWrap/>
            <w:vAlign w:val="center"/>
          </w:tcPr>
          <w:p w14:paraId="5A6D9E6D">
            <w:pPr>
              <w:pStyle w:val="183"/>
              <w:rPr>
                <w:sz w:val="21"/>
                <w:szCs w:val="21"/>
              </w:rPr>
            </w:pPr>
            <w:r>
              <w:rPr>
                <w:rFonts w:hint="eastAsia"/>
                <w:sz w:val="21"/>
                <w:szCs w:val="21"/>
              </w:rPr>
              <w:t>墙体高度/楼盖屋盖长度（强轴方向）</w:t>
            </w:r>
          </w:p>
        </w:tc>
        <w:tc>
          <w:tcPr>
            <w:tcW w:w="1667" w:type="pct"/>
            <w:noWrap/>
            <w:vAlign w:val="center"/>
          </w:tcPr>
          <w:p w14:paraId="3AD21973">
            <w:pPr>
              <w:pStyle w:val="183"/>
              <w:rPr>
                <w:sz w:val="21"/>
                <w:szCs w:val="21"/>
              </w:rPr>
            </w:pPr>
            <w:r>
              <w:rPr>
                <w:rFonts w:hint="eastAsia"/>
                <w:sz w:val="21"/>
                <w:szCs w:val="21"/>
              </w:rPr>
              <w:t>尺量</w:t>
            </w:r>
          </w:p>
        </w:tc>
      </w:tr>
      <w:tr w14:paraId="45C8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20" w:type="pct"/>
            <w:vMerge w:val="continue"/>
            <w:noWrap/>
            <w:vAlign w:val="center"/>
          </w:tcPr>
          <w:p w14:paraId="74991445">
            <w:pPr>
              <w:pStyle w:val="183"/>
              <w:rPr>
                <w:sz w:val="21"/>
                <w:szCs w:val="21"/>
              </w:rPr>
            </w:pPr>
          </w:p>
        </w:tc>
        <w:tc>
          <w:tcPr>
            <w:tcW w:w="867" w:type="pct"/>
            <w:vMerge w:val="continue"/>
            <w:vAlign w:val="center"/>
          </w:tcPr>
          <w:p w14:paraId="3D2B028B">
            <w:pPr>
              <w:pStyle w:val="183"/>
              <w:rPr>
                <w:sz w:val="21"/>
                <w:szCs w:val="21"/>
              </w:rPr>
            </w:pPr>
          </w:p>
        </w:tc>
        <w:tc>
          <w:tcPr>
            <w:tcW w:w="2046" w:type="pct"/>
            <w:noWrap/>
            <w:vAlign w:val="center"/>
          </w:tcPr>
          <w:p w14:paraId="4697ACCE">
            <w:pPr>
              <w:pStyle w:val="183"/>
              <w:rPr>
                <w:sz w:val="21"/>
                <w:szCs w:val="21"/>
              </w:rPr>
            </w:pPr>
            <w:r>
              <w:rPr>
                <w:rFonts w:hint="eastAsia"/>
                <w:sz w:val="21"/>
                <w:szCs w:val="21"/>
              </w:rPr>
              <w:t>两条对角线</w:t>
            </w:r>
          </w:p>
        </w:tc>
        <w:tc>
          <w:tcPr>
            <w:tcW w:w="1667" w:type="pct"/>
            <w:noWrap/>
            <w:vAlign w:val="center"/>
          </w:tcPr>
          <w:p w14:paraId="0F3C75CF">
            <w:pPr>
              <w:pStyle w:val="183"/>
              <w:rPr>
                <w:sz w:val="21"/>
                <w:szCs w:val="21"/>
              </w:rPr>
            </w:pPr>
            <w:r>
              <w:rPr>
                <w:rFonts w:hint="eastAsia"/>
                <w:sz w:val="21"/>
                <w:szCs w:val="21"/>
              </w:rPr>
              <w:t>拉线尺量</w:t>
            </w:r>
          </w:p>
        </w:tc>
      </w:tr>
      <w:tr w14:paraId="512E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restart"/>
            <w:noWrap/>
            <w:vAlign w:val="center"/>
          </w:tcPr>
          <w:p w14:paraId="3180BE13">
            <w:pPr>
              <w:pStyle w:val="183"/>
              <w:rPr>
                <w:sz w:val="21"/>
                <w:szCs w:val="21"/>
              </w:rPr>
            </w:pPr>
            <w:r>
              <w:rPr>
                <w:rFonts w:hint="eastAsia"/>
                <w:sz w:val="21"/>
                <w:szCs w:val="21"/>
              </w:rPr>
              <w:t>木桁架</w:t>
            </w:r>
          </w:p>
        </w:tc>
        <w:tc>
          <w:tcPr>
            <w:tcW w:w="2046" w:type="pct"/>
            <w:noWrap/>
            <w:vAlign w:val="center"/>
          </w:tcPr>
          <w:p w14:paraId="0000D5B2">
            <w:pPr>
              <w:pStyle w:val="183"/>
              <w:rPr>
                <w:sz w:val="21"/>
                <w:szCs w:val="21"/>
              </w:rPr>
            </w:pPr>
            <w:r>
              <w:rPr>
                <w:rFonts w:hint="eastAsia"/>
                <w:sz w:val="21"/>
                <w:szCs w:val="21"/>
              </w:rPr>
              <w:t>高度</w:t>
            </w:r>
          </w:p>
        </w:tc>
        <w:tc>
          <w:tcPr>
            <w:tcW w:w="1667" w:type="pct"/>
            <w:noWrap/>
            <w:vAlign w:val="center"/>
          </w:tcPr>
          <w:p w14:paraId="223B5F5F">
            <w:pPr>
              <w:pStyle w:val="183"/>
              <w:rPr>
                <w:sz w:val="21"/>
                <w:szCs w:val="21"/>
              </w:rPr>
            </w:pPr>
            <w:r>
              <w:rPr>
                <w:rFonts w:hint="eastAsia"/>
                <w:sz w:val="21"/>
                <w:szCs w:val="21"/>
              </w:rPr>
              <w:t>尺量</w:t>
            </w:r>
          </w:p>
        </w:tc>
      </w:tr>
      <w:tr w14:paraId="6B59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continue"/>
            <w:noWrap/>
            <w:vAlign w:val="center"/>
          </w:tcPr>
          <w:p w14:paraId="23C5D605">
            <w:pPr>
              <w:pStyle w:val="183"/>
              <w:rPr>
                <w:sz w:val="21"/>
                <w:szCs w:val="21"/>
              </w:rPr>
            </w:pPr>
          </w:p>
        </w:tc>
        <w:tc>
          <w:tcPr>
            <w:tcW w:w="2046" w:type="pct"/>
            <w:noWrap/>
            <w:vAlign w:val="center"/>
          </w:tcPr>
          <w:p w14:paraId="778C08B1">
            <w:pPr>
              <w:pStyle w:val="183"/>
              <w:rPr>
                <w:sz w:val="21"/>
                <w:szCs w:val="21"/>
              </w:rPr>
            </w:pPr>
            <w:r>
              <w:rPr>
                <w:rFonts w:hint="eastAsia"/>
                <w:sz w:val="21"/>
                <w:szCs w:val="21"/>
              </w:rPr>
              <w:t>起拱长度（两支座节点下弦中心线水平长度）</w:t>
            </w:r>
          </w:p>
        </w:tc>
        <w:tc>
          <w:tcPr>
            <w:tcW w:w="1667" w:type="pct"/>
            <w:noWrap/>
            <w:vAlign w:val="center"/>
          </w:tcPr>
          <w:p w14:paraId="4F1998F4">
            <w:pPr>
              <w:pStyle w:val="183"/>
              <w:rPr>
                <w:sz w:val="21"/>
                <w:szCs w:val="21"/>
              </w:rPr>
            </w:pPr>
            <w:r>
              <w:rPr>
                <w:rFonts w:hint="eastAsia"/>
                <w:sz w:val="21"/>
                <w:szCs w:val="21"/>
              </w:rPr>
              <w:t>拉线尺量</w:t>
            </w:r>
          </w:p>
        </w:tc>
      </w:tr>
      <w:tr w14:paraId="5E47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7" w:type="pct"/>
            <w:gridSpan w:val="2"/>
            <w:vMerge w:val="continue"/>
            <w:noWrap/>
            <w:vAlign w:val="center"/>
          </w:tcPr>
          <w:p w14:paraId="03D15051">
            <w:pPr>
              <w:pStyle w:val="183"/>
              <w:rPr>
                <w:sz w:val="21"/>
                <w:szCs w:val="21"/>
              </w:rPr>
            </w:pPr>
          </w:p>
        </w:tc>
        <w:tc>
          <w:tcPr>
            <w:tcW w:w="2046" w:type="pct"/>
            <w:noWrap/>
            <w:vAlign w:val="center"/>
          </w:tcPr>
          <w:p w14:paraId="44ABD44F">
            <w:pPr>
              <w:pStyle w:val="183"/>
              <w:rPr>
                <w:sz w:val="21"/>
                <w:szCs w:val="21"/>
              </w:rPr>
            </w:pPr>
            <w:r>
              <w:rPr>
                <w:rFonts w:hint="eastAsia"/>
                <w:sz w:val="21"/>
                <w:szCs w:val="21"/>
              </w:rPr>
              <w:t>起拱高度</w:t>
            </w:r>
          </w:p>
        </w:tc>
        <w:tc>
          <w:tcPr>
            <w:tcW w:w="1667" w:type="pct"/>
            <w:noWrap/>
            <w:vAlign w:val="center"/>
          </w:tcPr>
          <w:p w14:paraId="48B89222">
            <w:pPr>
              <w:pStyle w:val="183"/>
              <w:rPr>
                <w:sz w:val="21"/>
                <w:szCs w:val="21"/>
              </w:rPr>
            </w:pPr>
            <w:r>
              <w:rPr>
                <w:rFonts w:hint="eastAsia"/>
                <w:sz w:val="21"/>
                <w:szCs w:val="21"/>
              </w:rPr>
              <w:t>拉线尺量</w:t>
            </w:r>
          </w:p>
        </w:tc>
      </w:tr>
      <w:tr w14:paraId="6593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restart"/>
            <w:noWrap/>
            <w:vAlign w:val="center"/>
          </w:tcPr>
          <w:p w14:paraId="28B3FA83">
            <w:pPr>
              <w:pStyle w:val="183"/>
              <w:rPr>
                <w:sz w:val="21"/>
                <w:szCs w:val="21"/>
              </w:rPr>
            </w:pPr>
            <w:r>
              <w:rPr>
                <w:rFonts w:hint="eastAsia"/>
                <w:sz w:val="21"/>
                <w:szCs w:val="21"/>
              </w:rPr>
              <w:t>木拱</w:t>
            </w:r>
          </w:p>
        </w:tc>
        <w:tc>
          <w:tcPr>
            <w:tcW w:w="2046" w:type="pct"/>
            <w:noWrap/>
            <w:vAlign w:val="center"/>
          </w:tcPr>
          <w:p w14:paraId="0647E73E">
            <w:pPr>
              <w:pStyle w:val="183"/>
              <w:rPr>
                <w:sz w:val="21"/>
                <w:szCs w:val="21"/>
              </w:rPr>
            </w:pPr>
            <w:r>
              <w:rPr>
                <w:rFonts w:hint="eastAsia"/>
                <w:sz w:val="21"/>
                <w:szCs w:val="21"/>
              </w:rPr>
              <w:t>截面高度</w:t>
            </w:r>
          </w:p>
        </w:tc>
        <w:tc>
          <w:tcPr>
            <w:tcW w:w="1667" w:type="pct"/>
            <w:noWrap/>
          </w:tcPr>
          <w:p w14:paraId="7D863F6B">
            <w:pPr>
              <w:pStyle w:val="183"/>
              <w:rPr>
                <w:sz w:val="21"/>
                <w:szCs w:val="21"/>
              </w:rPr>
            </w:pPr>
            <w:r>
              <w:rPr>
                <w:rFonts w:hint="eastAsia"/>
                <w:sz w:val="21"/>
                <w:szCs w:val="21"/>
              </w:rPr>
              <w:t>尺量</w:t>
            </w:r>
          </w:p>
        </w:tc>
      </w:tr>
      <w:tr w14:paraId="3EFD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continue"/>
            <w:noWrap/>
            <w:vAlign w:val="center"/>
          </w:tcPr>
          <w:p w14:paraId="569C5B8A">
            <w:pPr>
              <w:pStyle w:val="183"/>
              <w:rPr>
                <w:sz w:val="21"/>
                <w:szCs w:val="21"/>
              </w:rPr>
            </w:pPr>
          </w:p>
        </w:tc>
        <w:tc>
          <w:tcPr>
            <w:tcW w:w="2046" w:type="pct"/>
            <w:noWrap/>
            <w:vAlign w:val="center"/>
          </w:tcPr>
          <w:p w14:paraId="3D4ADA3D">
            <w:pPr>
              <w:pStyle w:val="183"/>
              <w:rPr>
                <w:sz w:val="21"/>
                <w:szCs w:val="21"/>
              </w:rPr>
            </w:pPr>
            <w:r>
              <w:rPr>
                <w:rFonts w:hint="eastAsia"/>
                <w:sz w:val="21"/>
                <w:szCs w:val="21"/>
              </w:rPr>
              <w:t>截面宽度</w:t>
            </w:r>
          </w:p>
        </w:tc>
        <w:tc>
          <w:tcPr>
            <w:tcW w:w="1667" w:type="pct"/>
            <w:noWrap/>
          </w:tcPr>
          <w:p w14:paraId="217B440A">
            <w:pPr>
              <w:pStyle w:val="183"/>
              <w:rPr>
                <w:sz w:val="21"/>
                <w:szCs w:val="21"/>
              </w:rPr>
            </w:pPr>
            <w:r>
              <w:rPr>
                <w:rFonts w:hint="eastAsia"/>
                <w:sz w:val="21"/>
                <w:szCs w:val="21"/>
              </w:rPr>
              <w:t>尺量</w:t>
            </w:r>
          </w:p>
        </w:tc>
      </w:tr>
      <w:tr w14:paraId="005C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continue"/>
            <w:noWrap/>
            <w:vAlign w:val="center"/>
          </w:tcPr>
          <w:p w14:paraId="43BA523B">
            <w:pPr>
              <w:pStyle w:val="183"/>
              <w:rPr>
                <w:sz w:val="21"/>
                <w:szCs w:val="21"/>
              </w:rPr>
            </w:pPr>
          </w:p>
        </w:tc>
        <w:tc>
          <w:tcPr>
            <w:tcW w:w="2046" w:type="pct"/>
            <w:noWrap/>
            <w:vAlign w:val="center"/>
          </w:tcPr>
          <w:p w14:paraId="72803272">
            <w:pPr>
              <w:pStyle w:val="183"/>
              <w:rPr>
                <w:sz w:val="21"/>
                <w:szCs w:val="21"/>
              </w:rPr>
            </w:pPr>
            <w:r>
              <w:rPr>
                <w:rFonts w:hint="eastAsia"/>
                <w:sz w:val="21"/>
                <w:szCs w:val="21"/>
              </w:rPr>
              <w:t>构件长度</w:t>
            </w:r>
          </w:p>
        </w:tc>
        <w:tc>
          <w:tcPr>
            <w:tcW w:w="1667" w:type="pct"/>
            <w:noWrap/>
            <w:vAlign w:val="center"/>
          </w:tcPr>
          <w:p w14:paraId="4F2E8114">
            <w:pPr>
              <w:pStyle w:val="183"/>
              <w:rPr>
                <w:sz w:val="21"/>
                <w:szCs w:val="21"/>
              </w:rPr>
            </w:pPr>
            <w:r>
              <w:rPr>
                <w:rFonts w:hint="eastAsia"/>
                <w:sz w:val="21"/>
                <w:szCs w:val="21"/>
              </w:rPr>
              <w:t>尺量</w:t>
            </w:r>
          </w:p>
        </w:tc>
      </w:tr>
      <w:tr w14:paraId="0CDD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vMerge w:val="continue"/>
            <w:noWrap/>
            <w:vAlign w:val="center"/>
          </w:tcPr>
          <w:p w14:paraId="53893461">
            <w:pPr>
              <w:pStyle w:val="183"/>
              <w:rPr>
                <w:sz w:val="21"/>
                <w:szCs w:val="21"/>
              </w:rPr>
            </w:pPr>
          </w:p>
        </w:tc>
        <w:tc>
          <w:tcPr>
            <w:tcW w:w="2046" w:type="pct"/>
            <w:noWrap/>
            <w:vAlign w:val="center"/>
          </w:tcPr>
          <w:p w14:paraId="74E5AB32">
            <w:pPr>
              <w:pStyle w:val="183"/>
              <w:rPr>
                <w:sz w:val="21"/>
                <w:szCs w:val="21"/>
              </w:rPr>
            </w:pPr>
            <w:r>
              <w:rPr>
                <w:rFonts w:hint="eastAsia"/>
                <w:sz w:val="21"/>
                <w:szCs w:val="21"/>
              </w:rPr>
              <w:t>矢高</w:t>
            </w:r>
          </w:p>
        </w:tc>
        <w:tc>
          <w:tcPr>
            <w:tcW w:w="1667" w:type="pct"/>
            <w:noWrap/>
            <w:vAlign w:val="center"/>
          </w:tcPr>
          <w:p w14:paraId="37771701">
            <w:pPr>
              <w:pStyle w:val="183"/>
              <w:rPr>
                <w:sz w:val="21"/>
                <w:szCs w:val="21"/>
              </w:rPr>
            </w:pPr>
            <w:r>
              <w:rPr>
                <w:rFonts w:hint="eastAsia"/>
                <w:sz w:val="21"/>
                <w:szCs w:val="21"/>
              </w:rPr>
              <w:t>拉线尺量</w:t>
            </w:r>
          </w:p>
        </w:tc>
      </w:tr>
      <w:tr w14:paraId="6299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87" w:type="pct"/>
            <w:gridSpan w:val="2"/>
            <w:noWrap/>
            <w:vAlign w:val="center"/>
          </w:tcPr>
          <w:p w14:paraId="206D1514">
            <w:pPr>
              <w:pStyle w:val="183"/>
              <w:rPr>
                <w:sz w:val="21"/>
                <w:szCs w:val="21"/>
              </w:rPr>
            </w:pPr>
            <w:r>
              <w:rPr>
                <w:rFonts w:hint="eastAsia"/>
                <w:sz w:val="21"/>
                <w:szCs w:val="21"/>
              </w:rPr>
              <w:t>承重构件</w:t>
            </w:r>
          </w:p>
        </w:tc>
        <w:tc>
          <w:tcPr>
            <w:tcW w:w="2046" w:type="pct"/>
            <w:noWrap/>
            <w:vAlign w:val="center"/>
          </w:tcPr>
          <w:p w14:paraId="0057F575">
            <w:pPr>
              <w:pStyle w:val="183"/>
              <w:rPr>
                <w:sz w:val="21"/>
                <w:szCs w:val="21"/>
              </w:rPr>
            </w:pPr>
            <w:r>
              <w:rPr>
                <w:rFonts w:hint="eastAsia"/>
                <w:sz w:val="21"/>
                <w:szCs w:val="21"/>
              </w:rPr>
              <w:t>预留孔洞的中心线偏差、孔洞直径或边长的偏差</w:t>
            </w:r>
          </w:p>
        </w:tc>
        <w:tc>
          <w:tcPr>
            <w:tcW w:w="1667" w:type="pct"/>
            <w:noWrap/>
            <w:vAlign w:val="center"/>
          </w:tcPr>
          <w:p w14:paraId="4882FD46">
            <w:pPr>
              <w:pStyle w:val="183"/>
              <w:rPr>
                <w:sz w:val="21"/>
                <w:szCs w:val="21"/>
              </w:rPr>
            </w:pPr>
            <w:r>
              <w:rPr>
                <w:rFonts w:hint="eastAsia"/>
                <w:sz w:val="21"/>
                <w:szCs w:val="21"/>
              </w:rPr>
              <w:t>尺量</w:t>
            </w:r>
          </w:p>
        </w:tc>
      </w:tr>
    </w:tbl>
    <w:p w14:paraId="7D5C7170">
      <w:pPr>
        <w:pStyle w:val="110"/>
        <w:spacing w:before="156" w:after="156"/>
      </w:pPr>
      <w:bookmarkStart w:id="63" w:name="_Toc222392767"/>
      <w:r>
        <w:rPr>
          <w:rFonts w:hint="eastAsia"/>
        </w:rPr>
        <w:t>理化性能</w:t>
      </w:r>
      <w:bookmarkEnd w:id="63"/>
    </w:p>
    <w:p w14:paraId="16DCAD72">
      <w:pPr>
        <w:pStyle w:val="70"/>
        <w:spacing w:before="156" w:after="156"/>
        <w:ind w:left="0"/>
        <w:rPr>
          <w:rFonts w:hAnsi="宋体"/>
        </w:rPr>
      </w:pPr>
      <w:r>
        <w:rPr>
          <w:rFonts w:hint="eastAsia" w:ascii="宋体" w:hAnsi="宋体" w:eastAsia="宋体"/>
        </w:rPr>
        <w:t>不同使用环境下承重构件胶层的剥离性能测定，应根据GB/T</w:t>
      </w:r>
      <w:r>
        <w:rPr>
          <w:rFonts w:ascii="宋体" w:hAnsi="宋体" w:eastAsia="宋体"/>
        </w:rPr>
        <w:t xml:space="preserve"> </w:t>
      </w:r>
      <w:r>
        <w:rPr>
          <w:rFonts w:hint="eastAsia" w:ascii="宋体" w:hAnsi="宋体" w:eastAsia="宋体"/>
        </w:rPr>
        <w:t>26899进行浸渍剥离试验、煮沸剥离试验或减压加压剥离试验。剥离试验的试件制作与检验方法应符合GB/T</w:t>
      </w:r>
      <w:r>
        <w:rPr>
          <w:rFonts w:ascii="宋体" w:hAnsi="宋体" w:eastAsia="宋体"/>
        </w:rPr>
        <w:t xml:space="preserve"> </w:t>
      </w:r>
      <w:r>
        <w:rPr>
          <w:rFonts w:hint="eastAsia" w:ascii="宋体" w:hAnsi="宋体" w:eastAsia="宋体"/>
        </w:rPr>
        <w:t>26899的规定。二次胶合的承重木构件应检验全部批次。</w:t>
      </w:r>
    </w:p>
    <w:p w14:paraId="57362251">
      <w:pPr>
        <w:pStyle w:val="70"/>
        <w:spacing w:before="156" w:after="156"/>
        <w:ind w:left="0"/>
        <w:rPr>
          <w:rFonts w:hAnsi="宋体"/>
        </w:rPr>
      </w:pPr>
      <w:r>
        <w:rPr>
          <w:rFonts w:hint="eastAsia" w:ascii="宋体" w:hAnsi="宋体" w:eastAsia="宋体"/>
        </w:rPr>
        <w:t>胶层的剪切强度试验的试件制作与检验方法应符合GB/T</w:t>
      </w:r>
      <w:r>
        <w:rPr>
          <w:rFonts w:ascii="宋体" w:hAnsi="宋体" w:eastAsia="宋体"/>
        </w:rPr>
        <w:t xml:space="preserve"> </w:t>
      </w:r>
      <w:r>
        <w:rPr>
          <w:rFonts w:hint="eastAsia" w:ascii="宋体" w:hAnsi="宋体" w:eastAsia="宋体"/>
        </w:rPr>
        <w:t>26899的规定。</w:t>
      </w:r>
    </w:p>
    <w:p w14:paraId="403B1BF3">
      <w:pPr>
        <w:pStyle w:val="70"/>
        <w:spacing w:before="156" w:after="156"/>
        <w:ind w:left="0"/>
        <w:rPr>
          <w:rFonts w:ascii="宋体" w:hAnsi="宋体" w:eastAsia="宋体"/>
        </w:rPr>
      </w:pPr>
      <w:r>
        <w:rPr>
          <w:rFonts w:hint="eastAsia" w:ascii="宋体" w:hAnsi="宋体" w:eastAsia="宋体"/>
        </w:rPr>
        <w:t>木材含水率试验的试件制作与检验方法应符合GB/T 26899的规定。现场测定宜采用电测法，并应选取无缺陷、表面清洁无灰尘区域，避开节疤、裂纹区域，进行多点测定，电极插入表层深度应不小于20mm。</w:t>
      </w:r>
    </w:p>
    <w:p w14:paraId="7C50EED2">
      <w:pPr>
        <w:pStyle w:val="70"/>
        <w:spacing w:before="156" w:after="156"/>
        <w:ind w:left="0"/>
        <w:rPr>
          <w:rFonts w:hAnsi="宋体"/>
        </w:rPr>
      </w:pPr>
      <w:r>
        <w:rPr>
          <w:rFonts w:hint="eastAsia" w:ascii="宋体" w:hAnsi="宋体" w:eastAsia="宋体"/>
        </w:rPr>
        <w:t>甲醛释放量试验的试件制作与检验方法应符合GB/T 26899的规定。</w:t>
      </w:r>
    </w:p>
    <w:p w14:paraId="14C99596">
      <w:pPr>
        <w:pStyle w:val="110"/>
        <w:spacing w:before="156" w:after="156"/>
      </w:pPr>
      <w:bookmarkStart w:id="64" w:name="_Toc222392768"/>
      <w:r>
        <w:rPr>
          <w:rFonts w:hint="eastAsia"/>
        </w:rPr>
        <w:t>力学性能</w:t>
      </w:r>
      <w:bookmarkEnd w:id="64"/>
    </w:p>
    <w:p w14:paraId="2197FB73">
      <w:pPr>
        <w:pStyle w:val="70"/>
        <w:spacing w:before="156" w:after="156"/>
        <w:ind w:left="0"/>
        <w:rPr>
          <w:rFonts w:hAnsi="宋体"/>
        </w:rPr>
      </w:pPr>
      <w:bookmarkStart w:id="65" w:name="_Toc202286697"/>
      <w:bookmarkEnd w:id="65"/>
      <w:bookmarkStart w:id="66" w:name="_Toc202286606"/>
      <w:bookmarkEnd w:id="66"/>
      <w:bookmarkStart w:id="67" w:name="_Toc202286560"/>
      <w:bookmarkEnd w:id="67"/>
      <w:r>
        <w:rPr>
          <w:rFonts w:hint="eastAsia" w:ascii="宋体" w:hAnsi="宋体" w:eastAsia="宋体"/>
        </w:rPr>
        <w:t>连接的力学性能检验应符合表</w:t>
      </w:r>
      <w:r>
        <w:rPr>
          <w:rFonts w:ascii="宋体" w:hAnsi="宋体" w:eastAsia="宋体"/>
        </w:rPr>
        <w:t>7</w:t>
      </w:r>
      <w:r>
        <w:rPr>
          <w:rFonts w:hint="eastAsia" w:ascii="宋体" w:hAnsi="宋体" w:eastAsia="宋体"/>
        </w:rPr>
        <w:t>的规定。</w:t>
      </w:r>
    </w:p>
    <w:p w14:paraId="3B0BBD9D">
      <w:pPr>
        <w:pStyle w:val="117"/>
        <w:spacing w:before="156" w:after="156"/>
        <w:ind w:left="0"/>
      </w:pPr>
      <w:r>
        <w:rPr>
          <w:rFonts w:hint="eastAsia"/>
        </w:rPr>
        <w:t>连接的力学性能检验方法</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7"/>
        <w:gridCol w:w="3235"/>
        <w:gridCol w:w="3438"/>
      </w:tblGrid>
      <w:tr w14:paraId="76A0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4" w:type="pct"/>
            <w:gridSpan w:val="2"/>
            <w:vAlign w:val="center"/>
          </w:tcPr>
          <w:p w14:paraId="3B55F6DA">
            <w:pPr>
              <w:adjustRightInd/>
              <w:spacing w:line="240" w:lineRule="auto"/>
              <w:jc w:val="center"/>
              <w:rPr>
                <w:rFonts w:ascii="宋体" w:hAnsi="宋体"/>
                <w:bCs/>
                <w:color w:val="000000"/>
              </w:rPr>
            </w:pPr>
            <w:r>
              <w:rPr>
                <w:rFonts w:hint="eastAsia" w:ascii="宋体" w:hAnsi="宋体"/>
                <w:bCs/>
                <w:color w:val="000000"/>
              </w:rPr>
              <w:t>项目</w:t>
            </w:r>
          </w:p>
        </w:tc>
        <w:tc>
          <w:tcPr>
            <w:tcW w:w="1796" w:type="pct"/>
            <w:vAlign w:val="center"/>
          </w:tcPr>
          <w:p w14:paraId="337F3852">
            <w:pPr>
              <w:adjustRightInd/>
              <w:spacing w:line="240" w:lineRule="auto"/>
              <w:jc w:val="center"/>
              <w:rPr>
                <w:rFonts w:ascii="宋体" w:hAnsi="宋体"/>
                <w:bCs/>
                <w:color w:val="000000"/>
              </w:rPr>
            </w:pPr>
            <w:r>
              <w:rPr>
                <w:rFonts w:hint="eastAsia" w:ascii="宋体" w:hAnsi="宋体"/>
                <w:bCs/>
                <w:color w:val="000000"/>
              </w:rPr>
              <w:t>检验方法</w:t>
            </w:r>
          </w:p>
        </w:tc>
      </w:tr>
      <w:tr w14:paraId="3E6D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Align w:val="center"/>
          </w:tcPr>
          <w:p w14:paraId="680C7482">
            <w:pPr>
              <w:adjustRightInd/>
              <w:spacing w:line="240" w:lineRule="auto"/>
              <w:jc w:val="center"/>
              <w:rPr>
                <w:rFonts w:ascii="宋体" w:hAnsi="宋体"/>
                <w:bCs/>
                <w:color w:val="000000"/>
              </w:rPr>
            </w:pPr>
            <w:r>
              <w:rPr>
                <w:rFonts w:hint="eastAsia" w:ascii="宋体" w:hAnsi="宋体"/>
                <w:bCs/>
                <w:color w:val="000000"/>
              </w:rPr>
              <w:t>齿连接</w:t>
            </w:r>
          </w:p>
        </w:tc>
        <w:tc>
          <w:tcPr>
            <w:tcW w:w="1690" w:type="pct"/>
            <w:vAlign w:val="center"/>
          </w:tcPr>
          <w:p w14:paraId="59A58A83">
            <w:pPr>
              <w:adjustRightInd/>
              <w:spacing w:line="240" w:lineRule="auto"/>
              <w:jc w:val="center"/>
              <w:rPr>
                <w:rFonts w:ascii="宋体" w:hAnsi="宋体"/>
                <w:bCs/>
                <w:color w:val="000000"/>
              </w:rPr>
            </w:pPr>
            <w:r>
              <w:rPr>
                <w:rFonts w:hint="eastAsia" w:ascii="宋体" w:hAnsi="宋体"/>
                <w:bCs/>
                <w:color w:val="000000"/>
              </w:rPr>
              <w:t>抗剪强度</w:t>
            </w:r>
          </w:p>
        </w:tc>
        <w:tc>
          <w:tcPr>
            <w:tcW w:w="1796" w:type="pct"/>
            <w:vAlign w:val="center"/>
          </w:tcPr>
          <w:p w14:paraId="21F01B7E">
            <w:pPr>
              <w:adjustRightInd/>
              <w:spacing w:line="240" w:lineRule="auto"/>
              <w:jc w:val="center"/>
              <w:rPr>
                <w:rFonts w:ascii="宋体" w:hAnsi="宋体"/>
                <w:bCs/>
                <w:color w:val="000000"/>
              </w:rPr>
            </w:pPr>
            <w:r>
              <w:rPr>
                <w:rFonts w:hint="eastAsia" w:ascii="宋体" w:hAnsi="宋体"/>
                <w:bCs/>
                <w:color w:val="000000"/>
              </w:rPr>
              <w:t>GB</w:t>
            </w:r>
            <w:r>
              <w:rPr>
                <w:rFonts w:ascii="宋体" w:hAnsi="宋体"/>
                <w:bCs/>
                <w:color w:val="000000"/>
              </w:rPr>
              <w:t>/T 50329</w:t>
            </w:r>
          </w:p>
        </w:tc>
      </w:tr>
      <w:tr w14:paraId="2B86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restart"/>
            <w:vAlign w:val="center"/>
          </w:tcPr>
          <w:p w14:paraId="6AC2BFA4">
            <w:pPr>
              <w:adjustRightInd/>
              <w:spacing w:line="240" w:lineRule="auto"/>
              <w:jc w:val="center"/>
              <w:rPr>
                <w:rFonts w:ascii="宋体" w:hAnsi="宋体"/>
                <w:bCs/>
                <w:color w:val="000000"/>
              </w:rPr>
            </w:pPr>
            <w:r>
              <w:rPr>
                <w:rFonts w:hint="eastAsia" w:ascii="宋体" w:hAnsi="宋体"/>
                <w:bCs/>
                <w:color w:val="000000"/>
              </w:rPr>
              <w:t>螺栓连接</w:t>
            </w:r>
          </w:p>
        </w:tc>
        <w:tc>
          <w:tcPr>
            <w:tcW w:w="1690" w:type="pct"/>
            <w:vAlign w:val="center"/>
          </w:tcPr>
          <w:p w14:paraId="2ADE6029">
            <w:pPr>
              <w:adjustRightInd/>
              <w:spacing w:line="240" w:lineRule="auto"/>
              <w:jc w:val="center"/>
              <w:rPr>
                <w:rFonts w:ascii="宋体" w:hAnsi="宋体"/>
                <w:bCs/>
                <w:color w:val="000000"/>
              </w:rPr>
            </w:pPr>
            <w:r>
              <w:rPr>
                <w:rFonts w:hint="eastAsia" w:ascii="宋体" w:hAnsi="宋体"/>
                <w:bCs/>
                <w:color w:val="000000"/>
              </w:rPr>
              <w:t>承载能力</w:t>
            </w:r>
          </w:p>
        </w:tc>
        <w:tc>
          <w:tcPr>
            <w:tcW w:w="1796" w:type="pct"/>
            <w:vMerge w:val="restart"/>
            <w:vAlign w:val="center"/>
          </w:tcPr>
          <w:p w14:paraId="000D1AD1">
            <w:pPr>
              <w:adjustRightInd/>
              <w:spacing w:line="240" w:lineRule="auto"/>
              <w:jc w:val="center"/>
              <w:rPr>
                <w:rFonts w:ascii="宋体" w:hAnsi="宋体"/>
                <w:bCs/>
                <w:color w:val="000000"/>
              </w:rPr>
            </w:pPr>
            <w:r>
              <w:rPr>
                <w:rFonts w:ascii="宋体" w:hAnsi="宋体"/>
                <w:bCs/>
                <w:color w:val="000000"/>
              </w:rPr>
              <w:t>GB/T</w:t>
            </w:r>
            <w:r>
              <w:rPr>
                <w:rFonts w:hint="eastAsia" w:ascii="宋体" w:hAnsi="宋体"/>
                <w:bCs/>
                <w:color w:val="000000"/>
              </w:rPr>
              <w:t xml:space="preserve"> </w:t>
            </w:r>
            <w:r>
              <w:rPr>
                <w:rFonts w:ascii="宋体" w:hAnsi="宋体"/>
                <w:bCs/>
                <w:color w:val="000000"/>
              </w:rPr>
              <w:t>40048</w:t>
            </w:r>
          </w:p>
        </w:tc>
      </w:tr>
      <w:tr w14:paraId="5D54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continue"/>
            <w:vAlign w:val="center"/>
          </w:tcPr>
          <w:p w14:paraId="7F108A35">
            <w:pPr>
              <w:adjustRightInd/>
              <w:spacing w:line="240" w:lineRule="auto"/>
              <w:jc w:val="center"/>
              <w:rPr>
                <w:rFonts w:ascii="宋体" w:hAnsi="宋体"/>
                <w:bCs/>
                <w:color w:val="000000"/>
              </w:rPr>
            </w:pPr>
          </w:p>
        </w:tc>
        <w:tc>
          <w:tcPr>
            <w:tcW w:w="1690" w:type="pct"/>
            <w:vAlign w:val="center"/>
          </w:tcPr>
          <w:p w14:paraId="4ACBCE22">
            <w:pPr>
              <w:adjustRightInd/>
              <w:spacing w:line="240" w:lineRule="auto"/>
              <w:jc w:val="center"/>
              <w:rPr>
                <w:rFonts w:ascii="宋体" w:hAnsi="宋体"/>
                <w:bCs/>
                <w:color w:val="000000"/>
              </w:rPr>
            </w:pPr>
            <w:r>
              <w:rPr>
                <w:rFonts w:hint="eastAsia" w:ascii="宋体" w:hAnsi="宋体"/>
                <w:bCs/>
                <w:color w:val="000000"/>
              </w:rPr>
              <w:t>变形</w:t>
            </w:r>
          </w:p>
        </w:tc>
        <w:tc>
          <w:tcPr>
            <w:tcW w:w="1796" w:type="pct"/>
            <w:vMerge w:val="continue"/>
            <w:vAlign w:val="center"/>
          </w:tcPr>
          <w:p w14:paraId="739CA603">
            <w:pPr>
              <w:adjustRightInd/>
              <w:spacing w:line="240" w:lineRule="auto"/>
              <w:jc w:val="center"/>
              <w:rPr>
                <w:rFonts w:ascii="宋体" w:hAnsi="宋体"/>
                <w:bCs/>
                <w:color w:val="000000"/>
              </w:rPr>
            </w:pPr>
          </w:p>
        </w:tc>
      </w:tr>
      <w:tr w14:paraId="28E2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4" w:type="pct"/>
            <w:gridSpan w:val="2"/>
            <w:vAlign w:val="center"/>
          </w:tcPr>
          <w:p w14:paraId="5171DC50">
            <w:pPr>
              <w:adjustRightInd/>
              <w:spacing w:line="240" w:lineRule="auto"/>
              <w:jc w:val="center"/>
              <w:rPr>
                <w:rFonts w:ascii="宋体" w:hAnsi="宋体"/>
                <w:bCs/>
                <w:color w:val="000000"/>
              </w:rPr>
            </w:pPr>
            <w:r>
              <w:rPr>
                <w:rFonts w:hint="eastAsia" w:ascii="宋体" w:hAnsi="宋体"/>
                <w:bCs/>
                <w:color w:val="000000"/>
              </w:rPr>
              <w:t>销槽承压强度</w:t>
            </w:r>
          </w:p>
        </w:tc>
        <w:tc>
          <w:tcPr>
            <w:tcW w:w="1796" w:type="pct"/>
            <w:vMerge w:val="continue"/>
            <w:vAlign w:val="center"/>
          </w:tcPr>
          <w:p w14:paraId="0B1DD7F8">
            <w:pPr>
              <w:adjustRightInd/>
              <w:spacing w:line="240" w:lineRule="auto"/>
              <w:jc w:val="center"/>
              <w:rPr>
                <w:rFonts w:ascii="宋体" w:hAnsi="宋体"/>
                <w:bCs/>
                <w:color w:val="000000"/>
              </w:rPr>
            </w:pPr>
          </w:p>
        </w:tc>
      </w:tr>
      <w:tr w14:paraId="6EAC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restart"/>
            <w:vAlign w:val="center"/>
          </w:tcPr>
          <w:p w14:paraId="2390CF8E">
            <w:pPr>
              <w:adjustRightInd/>
              <w:spacing w:line="240" w:lineRule="auto"/>
              <w:jc w:val="center"/>
              <w:rPr>
                <w:rFonts w:ascii="宋体" w:hAnsi="宋体"/>
                <w:bCs/>
                <w:color w:val="000000"/>
              </w:rPr>
            </w:pPr>
            <w:r>
              <w:rPr>
                <w:rFonts w:hint="eastAsia" w:ascii="宋体" w:hAnsi="宋体"/>
                <w:bCs/>
                <w:color w:val="000000"/>
              </w:rPr>
              <w:t>圆钢销连接</w:t>
            </w:r>
          </w:p>
        </w:tc>
        <w:tc>
          <w:tcPr>
            <w:tcW w:w="1690" w:type="pct"/>
            <w:vAlign w:val="center"/>
          </w:tcPr>
          <w:p w14:paraId="20F72F36">
            <w:pPr>
              <w:adjustRightInd/>
              <w:spacing w:line="240" w:lineRule="auto"/>
              <w:jc w:val="center"/>
              <w:rPr>
                <w:rFonts w:ascii="宋体" w:hAnsi="宋体"/>
                <w:bCs/>
                <w:color w:val="000000"/>
              </w:rPr>
            </w:pPr>
            <w:r>
              <w:rPr>
                <w:rFonts w:hint="eastAsia" w:ascii="宋体" w:hAnsi="宋体"/>
                <w:bCs/>
                <w:color w:val="000000"/>
              </w:rPr>
              <w:t>承载能力</w:t>
            </w:r>
          </w:p>
        </w:tc>
        <w:tc>
          <w:tcPr>
            <w:tcW w:w="1796" w:type="pct"/>
            <w:vMerge w:val="restart"/>
            <w:vAlign w:val="center"/>
          </w:tcPr>
          <w:p w14:paraId="1A45E64E">
            <w:pPr>
              <w:adjustRightInd/>
              <w:spacing w:line="240" w:lineRule="auto"/>
              <w:jc w:val="center"/>
              <w:rPr>
                <w:rFonts w:ascii="宋体" w:hAnsi="宋体"/>
                <w:bCs/>
                <w:color w:val="000000"/>
              </w:rPr>
            </w:pPr>
            <w:r>
              <w:rPr>
                <w:rFonts w:ascii="宋体" w:hAnsi="宋体"/>
                <w:bCs/>
                <w:color w:val="000000"/>
              </w:rPr>
              <w:t>GB/T</w:t>
            </w:r>
            <w:r>
              <w:rPr>
                <w:rFonts w:hint="eastAsia" w:ascii="宋体" w:hAnsi="宋体"/>
                <w:bCs/>
                <w:color w:val="000000"/>
              </w:rPr>
              <w:t xml:space="preserve"> </w:t>
            </w:r>
            <w:r>
              <w:rPr>
                <w:rFonts w:ascii="宋体" w:hAnsi="宋体"/>
                <w:bCs/>
                <w:color w:val="000000"/>
              </w:rPr>
              <w:t>50329</w:t>
            </w:r>
          </w:p>
        </w:tc>
      </w:tr>
      <w:tr w14:paraId="26BA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continue"/>
            <w:vAlign w:val="center"/>
          </w:tcPr>
          <w:p w14:paraId="099D9D32">
            <w:pPr>
              <w:adjustRightInd/>
              <w:spacing w:line="240" w:lineRule="auto"/>
              <w:jc w:val="center"/>
              <w:rPr>
                <w:rFonts w:ascii="宋体" w:hAnsi="宋体"/>
                <w:bCs/>
                <w:color w:val="000000"/>
              </w:rPr>
            </w:pPr>
          </w:p>
        </w:tc>
        <w:tc>
          <w:tcPr>
            <w:tcW w:w="1690" w:type="pct"/>
            <w:vAlign w:val="center"/>
          </w:tcPr>
          <w:p w14:paraId="04D3ED6C">
            <w:pPr>
              <w:adjustRightInd/>
              <w:spacing w:line="240" w:lineRule="auto"/>
              <w:jc w:val="center"/>
              <w:rPr>
                <w:rFonts w:ascii="宋体" w:hAnsi="宋体"/>
                <w:bCs/>
                <w:color w:val="000000"/>
              </w:rPr>
            </w:pPr>
            <w:r>
              <w:rPr>
                <w:rFonts w:hint="eastAsia" w:ascii="宋体" w:hAnsi="宋体"/>
                <w:bCs/>
                <w:color w:val="000000"/>
              </w:rPr>
              <w:t>变形</w:t>
            </w:r>
          </w:p>
        </w:tc>
        <w:tc>
          <w:tcPr>
            <w:tcW w:w="1796" w:type="pct"/>
            <w:vMerge w:val="continue"/>
            <w:vAlign w:val="center"/>
          </w:tcPr>
          <w:p w14:paraId="5DE4A81A">
            <w:pPr>
              <w:adjustRightInd/>
              <w:spacing w:line="240" w:lineRule="auto"/>
              <w:jc w:val="center"/>
              <w:rPr>
                <w:rFonts w:ascii="宋体" w:hAnsi="宋体"/>
                <w:bCs/>
                <w:color w:val="000000"/>
              </w:rPr>
            </w:pPr>
          </w:p>
        </w:tc>
      </w:tr>
      <w:tr w14:paraId="3834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restart"/>
            <w:vAlign w:val="center"/>
          </w:tcPr>
          <w:p w14:paraId="5446634F">
            <w:pPr>
              <w:adjustRightInd/>
              <w:spacing w:line="240" w:lineRule="auto"/>
              <w:jc w:val="center"/>
              <w:rPr>
                <w:rFonts w:ascii="宋体" w:hAnsi="宋体"/>
                <w:bCs/>
                <w:color w:val="000000"/>
              </w:rPr>
            </w:pPr>
            <w:r>
              <w:rPr>
                <w:rFonts w:hint="eastAsia" w:ascii="宋体" w:hAnsi="宋体"/>
                <w:bCs/>
                <w:color w:val="000000"/>
              </w:rPr>
              <w:t>齿板连接</w:t>
            </w:r>
          </w:p>
        </w:tc>
        <w:tc>
          <w:tcPr>
            <w:tcW w:w="1690" w:type="pct"/>
            <w:vAlign w:val="center"/>
          </w:tcPr>
          <w:p w14:paraId="34F7F1EC">
            <w:pPr>
              <w:adjustRightInd/>
              <w:spacing w:line="240" w:lineRule="auto"/>
              <w:jc w:val="center"/>
              <w:rPr>
                <w:rFonts w:ascii="宋体" w:hAnsi="宋体"/>
                <w:bCs/>
                <w:color w:val="000000"/>
              </w:rPr>
            </w:pPr>
            <w:r>
              <w:rPr>
                <w:rFonts w:hint="eastAsia" w:ascii="宋体" w:hAnsi="宋体"/>
                <w:bCs/>
                <w:color w:val="000000"/>
              </w:rPr>
              <w:t>板齿承载力</w:t>
            </w:r>
          </w:p>
        </w:tc>
        <w:tc>
          <w:tcPr>
            <w:tcW w:w="1796" w:type="pct"/>
            <w:vMerge w:val="continue"/>
            <w:vAlign w:val="center"/>
          </w:tcPr>
          <w:p w14:paraId="564F637E">
            <w:pPr>
              <w:adjustRightInd/>
              <w:spacing w:line="240" w:lineRule="auto"/>
              <w:jc w:val="center"/>
              <w:rPr>
                <w:rFonts w:ascii="宋体" w:hAnsi="宋体"/>
                <w:bCs/>
                <w:color w:val="000000"/>
              </w:rPr>
            </w:pPr>
          </w:p>
        </w:tc>
      </w:tr>
      <w:tr w14:paraId="26D1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continue"/>
            <w:vAlign w:val="center"/>
          </w:tcPr>
          <w:p w14:paraId="7F4E5FCF">
            <w:pPr>
              <w:adjustRightInd/>
              <w:spacing w:line="240" w:lineRule="auto"/>
              <w:jc w:val="center"/>
              <w:rPr>
                <w:rFonts w:ascii="宋体" w:hAnsi="宋体"/>
                <w:bCs/>
                <w:color w:val="000000"/>
              </w:rPr>
            </w:pPr>
          </w:p>
        </w:tc>
        <w:tc>
          <w:tcPr>
            <w:tcW w:w="1690" w:type="pct"/>
            <w:vAlign w:val="center"/>
          </w:tcPr>
          <w:p w14:paraId="0230B47B">
            <w:pPr>
              <w:adjustRightInd/>
              <w:spacing w:line="240" w:lineRule="auto"/>
              <w:jc w:val="center"/>
              <w:rPr>
                <w:rFonts w:ascii="宋体" w:hAnsi="宋体"/>
                <w:bCs/>
                <w:color w:val="000000"/>
              </w:rPr>
            </w:pPr>
            <w:r>
              <w:rPr>
                <w:rFonts w:hint="eastAsia" w:ascii="宋体" w:hAnsi="宋体"/>
                <w:bCs/>
                <w:color w:val="000000"/>
              </w:rPr>
              <w:t>齿板承载力</w:t>
            </w:r>
          </w:p>
        </w:tc>
        <w:tc>
          <w:tcPr>
            <w:tcW w:w="1796" w:type="pct"/>
            <w:vMerge w:val="continue"/>
            <w:vAlign w:val="center"/>
          </w:tcPr>
          <w:p w14:paraId="67DA48BA">
            <w:pPr>
              <w:adjustRightInd/>
              <w:spacing w:line="240" w:lineRule="auto"/>
              <w:jc w:val="center"/>
              <w:rPr>
                <w:rFonts w:ascii="宋体" w:hAnsi="宋体"/>
                <w:bCs/>
                <w:color w:val="000000"/>
              </w:rPr>
            </w:pPr>
          </w:p>
        </w:tc>
      </w:tr>
      <w:tr w14:paraId="6AE9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4" w:type="pct"/>
            <w:vMerge w:val="continue"/>
            <w:vAlign w:val="center"/>
          </w:tcPr>
          <w:p w14:paraId="2FBBA6DD">
            <w:pPr>
              <w:adjustRightInd/>
              <w:spacing w:line="240" w:lineRule="auto"/>
              <w:jc w:val="center"/>
              <w:rPr>
                <w:rFonts w:ascii="宋体" w:hAnsi="宋体"/>
                <w:bCs/>
                <w:color w:val="000000"/>
              </w:rPr>
            </w:pPr>
          </w:p>
        </w:tc>
        <w:tc>
          <w:tcPr>
            <w:tcW w:w="1690" w:type="pct"/>
            <w:vAlign w:val="center"/>
          </w:tcPr>
          <w:p w14:paraId="28030185">
            <w:pPr>
              <w:adjustRightInd/>
              <w:spacing w:line="240" w:lineRule="auto"/>
              <w:jc w:val="center"/>
              <w:rPr>
                <w:rFonts w:ascii="宋体" w:hAnsi="宋体"/>
                <w:bCs/>
                <w:color w:val="000000"/>
              </w:rPr>
            </w:pPr>
            <w:r>
              <w:rPr>
                <w:rFonts w:hint="eastAsia" w:ascii="宋体" w:hAnsi="宋体"/>
                <w:bCs/>
                <w:color w:val="000000"/>
              </w:rPr>
              <w:t>板齿抗滑移承载力</w:t>
            </w:r>
          </w:p>
        </w:tc>
        <w:tc>
          <w:tcPr>
            <w:tcW w:w="1796" w:type="pct"/>
            <w:vMerge w:val="continue"/>
            <w:vAlign w:val="center"/>
          </w:tcPr>
          <w:p w14:paraId="553B0397">
            <w:pPr>
              <w:adjustRightInd/>
              <w:spacing w:line="240" w:lineRule="auto"/>
              <w:jc w:val="center"/>
              <w:rPr>
                <w:rFonts w:ascii="宋体" w:hAnsi="宋体"/>
                <w:bCs/>
                <w:color w:val="000000"/>
              </w:rPr>
            </w:pPr>
          </w:p>
        </w:tc>
      </w:tr>
    </w:tbl>
    <w:p w14:paraId="10A80FF4">
      <w:pPr>
        <w:pStyle w:val="170"/>
        <w:numPr>
          <w:ilvl w:val="0"/>
          <w:numId w:val="0"/>
        </w:numPr>
        <w:spacing w:before="0" w:after="0"/>
        <w:ind w:left="426"/>
      </w:pPr>
    </w:p>
    <w:p w14:paraId="4CB76DC4">
      <w:pPr>
        <w:pStyle w:val="70"/>
        <w:spacing w:before="156" w:after="156"/>
        <w:ind w:left="0"/>
        <w:rPr>
          <w:rFonts w:hAnsi="宋体"/>
        </w:rPr>
      </w:pPr>
      <w:r>
        <w:rPr>
          <w:rFonts w:hint="eastAsia" w:ascii="宋体" w:hAnsi="宋体" w:eastAsia="宋体"/>
        </w:rPr>
        <w:t>构件的力学性能检验应符合表</w:t>
      </w:r>
      <w:r>
        <w:rPr>
          <w:rFonts w:ascii="宋体" w:hAnsi="宋体" w:eastAsia="宋体"/>
        </w:rPr>
        <w:t>8</w:t>
      </w:r>
      <w:r>
        <w:rPr>
          <w:rFonts w:hint="eastAsia" w:ascii="宋体" w:hAnsi="宋体" w:eastAsia="宋体"/>
        </w:rPr>
        <w:t>的规定。</w:t>
      </w:r>
    </w:p>
    <w:p w14:paraId="45409943">
      <w:pPr>
        <w:pStyle w:val="117"/>
        <w:spacing w:before="156" w:after="156"/>
        <w:ind w:left="0"/>
      </w:pPr>
      <w:r>
        <w:rPr>
          <w:rFonts w:hint="eastAsia"/>
        </w:rPr>
        <w:t>构件的力学性能检验方法</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6"/>
        <w:gridCol w:w="3055"/>
        <w:gridCol w:w="3439"/>
      </w:tblGrid>
      <w:tr w14:paraId="564A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3" w:type="pct"/>
            <w:gridSpan w:val="2"/>
            <w:vAlign w:val="center"/>
          </w:tcPr>
          <w:p w14:paraId="1A7F158F">
            <w:pPr>
              <w:adjustRightInd/>
              <w:spacing w:line="240" w:lineRule="auto"/>
              <w:jc w:val="center"/>
              <w:rPr>
                <w:rFonts w:ascii="宋体" w:hAnsi="宋体"/>
                <w:bCs/>
                <w:color w:val="000000"/>
              </w:rPr>
            </w:pPr>
            <w:r>
              <w:rPr>
                <w:rFonts w:hint="eastAsia" w:ascii="宋体" w:hAnsi="宋体"/>
                <w:bCs/>
                <w:color w:val="000000"/>
              </w:rPr>
              <w:t>项目</w:t>
            </w:r>
          </w:p>
        </w:tc>
        <w:tc>
          <w:tcPr>
            <w:tcW w:w="1797" w:type="pct"/>
            <w:vAlign w:val="center"/>
          </w:tcPr>
          <w:p w14:paraId="5D5FA5AB">
            <w:pPr>
              <w:adjustRightInd/>
              <w:spacing w:line="240" w:lineRule="auto"/>
              <w:jc w:val="center"/>
              <w:rPr>
                <w:rFonts w:ascii="宋体" w:hAnsi="宋体"/>
                <w:bCs/>
                <w:color w:val="000000"/>
              </w:rPr>
            </w:pPr>
            <w:r>
              <w:rPr>
                <w:rFonts w:hint="eastAsia" w:ascii="宋体" w:hAnsi="宋体"/>
                <w:bCs/>
                <w:color w:val="000000"/>
              </w:rPr>
              <w:t>检验方法</w:t>
            </w:r>
          </w:p>
        </w:tc>
      </w:tr>
      <w:tr w14:paraId="06D3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6E450F17">
            <w:pPr>
              <w:adjustRightInd/>
              <w:spacing w:line="240" w:lineRule="auto"/>
              <w:jc w:val="center"/>
              <w:rPr>
                <w:rFonts w:ascii="宋体" w:hAnsi="宋体"/>
                <w:bCs/>
                <w:color w:val="000000"/>
              </w:rPr>
            </w:pPr>
            <w:r>
              <w:rPr>
                <w:rFonts w:hint="eastAsia" w:ascii="宋体" w:hAnsi="宋体"/>
                <w:bCs/>
                <w:color w:val="000000"/>
              </w:rPr>
              <w:t>梁弯曲</w:t>
            </w:r>
          </w:p>
        </w:tc>
        <w:tc>
          <w:tcPr>
            <w:tcW w:w="1596" w:type="pct"/>
            <w:vAlign w:val="center"/>
          </w:tcPr>
          <w:p w14:paraId="3B9FD564">
            <w:pPr>
              <w:adjustRightInd/>
              <w:spacing w:line="240" w:lineRule="auto"/>
              <w:jc w:val="center"/>
              <w:rPr>
                <w:rFonts w:ascii="宋体" w:hAnsi="宋体"/>
                <w:bCs/>
                <w:color w:val="000000"/>
              </w:rPr>
            </w:pPr>
            <w:r>
              <w:rPr>
                <w:rFonts w:hint="eastAsia" w:ascii="宋体" w:hAnsi="宋体"/>
                <w:bCs/>
                <w:color w:val="000000"/>
              </w:rPr>
              <w:t>抗弯强度</w:t>
            </w:r>
          </w:p>
        </w:tc>
        <w:tc>
          <w:tcPr>
            <w:tcW w:w="1797" w:type="pct"/>
            <w:vMerge w:val="restart"/>
            <w:vAlign w:val="center"/>
          </w:tcPr>
          <w:p w14:paraId="605B7A1D">
            <w:pPr>
              <w:adjustRightInd/>
              <w:spacing w:line="240" w:lineRule="auto"/>
              <w:jc w:val="center"/>
              <w:rPr>
                <w:rFonts w:ascii="宋体" w:hAnsi="宋体"/>
                <w:bCs/>
                <w:color w:val="000000"/>
              </w:rPr>
            </w:pPr>
            <w:r>
              <w:rPr>
                <w:rFonts w:ascii="宋体" w:hAnsi="宋体"/>
                <w:bCs/>
                <w:color w:val="000000"/>
              </w:rPr>
              <w:t>GB/T</w:t>
            </w:r>
            <w:r>
              <w:rPr>
                <w:rFonts w:hint="eastAsia" w:ascii="宋体" w:hAnsi="宋体"/>
                <w:bCs/>
                <w:color w:val="000000"/>
              </w:rPr>
              <w:t xml:space="preserve"> </w:t>
            </w:r>
            <w:r>
              <w:rPr>
                <w:rFonts w:ascii="宋体" w:hAnsi="宋体"/>
                <w:bCs/>
                <w:color w:val="000000"/>
              </w:rPr>
              <w:t>50329</w:t>
            </w:r>
          </w:p>
        </w:tc>
      </w:tr>
      <w:tr w14:paraId="6897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163A433C">
            <w:pPr>
              <w:adjustRightInd/>
              <w:spacing w:line="240" w:lineRule="auto"/>
              <w:jc w:val="center"/>
              <w:rPr>
                <w:rFonts w:ascii="宋体" w:hAnsi="宋体"/>
                <w:bCs/>
                <w:color w:val="000000"/>
              </w:rPr>
            </w:pPr>
          </w:p>
        </w:tc>
        <w:tc>
          <w:tcPr>
            <w:tcW w:w="1596" w:type="pct"/>
            <w:vAlign w:val="center"/>
          </w:tcPr>
          <w:p w14:paraId="560F9804">
            <w:pPr>
              <w:adjustRightInd/>
              <w:spacing w:line="240" w:lineRule="auto"/>
              <w:jc w:val="center"/>
              <w:rPr>
                <w:rFonts w:ascii="宋体" w:hAnsi="宋体"/>
                <w:bCs/>
                <w:color w:val="000000"/>
              </w:rPr>
            </w:pPr>
            <w:r>
              <w:rPr>
                <w:rFonts w:hint="eastAsia" w:ascii="宋体" w:hAnsi="宋体"/>
                <w:bCs/>
                <w:color w:val="000000"/>
              </w:rPr>
              <w:t>弹性模量</w:t>
            </w:r>
          </w:p>
        </w:tc>
        <w:tc>
          <w:tcPr>
            <w:tcW w:w="1797" w:type="pct"/>
            <w:vMerge w:val="continue"/>
            <w:vAlign w:val="center"/>
          </w:tcPr>
          <w:p w14:paraId="367B638E">
            <w:pPr>
              <w:adjustRightInd/>
              <w:spacing w:line="240" w:lineRule="auto"/>
              <w:jc w:val="center"/>
              <w:rPr>
                <w:rFonts w:ascii="宋体" w:hAnsi="宋体"/>
                <w:bCs/>
                <w:color w:val="000000"/>
              </w:rPr>
            </w:pPr>
          </w:p>
        </w:tc>
      </w:tr>
      <w:tr w14:paraId="10A3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03" w:type="pct"/>
            <w:gridSpan w:val="2"/>
            <w:vAlign w:val="center"/>
          </w:tcPr>
          <w:p w14:paraId="035E9E7E">
            <w:pPr>
              <w:adjustRightInd/>
              <w:spacing w:line="240" w:lineRule="auto"/>
              <w:jc w:val="center"/>
              <w:rPr>
                <w:rFonts w:ascii="宋体" w:hAnsi="宋体"/>
                <w:bCs/>
                <w:color w:val="000000"/>
              </w:rPr>
            </w:pPr>
            <w:r>
              <w:rPr>
                <w:rFonts w:hint="eastAsia" w:ascii="宋体" w:hAnsi="宋体"/>
                <w:bCs/>
                <w:color w:val="000000"/>
              </w:rPr>
              <w:t>销槽承压强度</w:t>
            </w:r>
          </w:p>
        </w:tc>
        <w:tc>
          <w:tcPr>
            <w:tcW w:w="1797" w:type="pct"/>
            <w:vMerge w:val="continue"/>
            <w:vAlign w:val="center"/>
          </w:tcPr>
          <w:p w14:paraId="2EFFEC3C">
            <w:pPr>
              <w:adjustRightInd/>
              <w:spacing w:line="240" w:lineRule="auto"/>
              <w:jc w:val="center"/>
              <w:rPr>
                <w:rFonts w:ascii="宋体" w:hAnsi="宋体"/>
                <w:bCs/>
                <w:color w:val="000000"/>
              </w:rPr>
            </w:pPr>
          </w:p>
        </w:tc>
      </w:tr>
      <w:tr w14:paraId="3D33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6BDB5E30">
            <w:pPr>
              <w:adjustRightInd/>
              <w:spacing w:line="240" w:lineRule="auto"/>
              <w:jc w:val="center"/>
              <w:rPr>
                <w:rFonts w:ascii="宋体" w:hAnsi="宋体"/>
                <w:bCs/>
                <w:color w:val="000000"/>
              </w:rPr>
            </w:pPr>
            <w:r>
              <w:rPr>
                <w:rFonts w:hint="eastAsia" w:ascii="宋体" w:hAnsi="宋体"/>
                <w:bCs/>
                <w:color w:val="000000"/>
              </w:rPr>
              <w:t>轴心压杆</w:t>
            </w:r>
          </w:p>
        </w:tc>
        <w:tc>
          <w:tcPr>
            <w:tcW w:w="1596" w:type="pct"/>
            <w:vAlign w:val="center"/>
          </w:tcPr>
          <w:p w14:paraId="7D69BF94">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144E4558">
            <w:pPr>
              <w:adjustRightInd/>
              <w:spacing w:line="240" w:lineRule="auto"/>
              <w:jc w:val="center"/>
              <w:rPr>
                <w:rFonts w:ascii="宋体" w:hAnsi="宋体"/>
                <w:bCs/>
                <w:color w:val="000000"/>
              </w:rPr>
            </w:pPr>
          </w:p>
        </w:tc>
      </w:tr>
      <w:tr w14:paraId="0917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08F5AAEF">
            <w:pPr>
              <w:adjustRightInd/>
              <w:spacing w:line="240" w:lineRule="auto"/>
              <w:jc w:val="center"/>
              <w:rPr>
                <w:rFonts w:ascii="宋体" w:hAnsi="宋体"/>
                <w:bCs/>
                <w:color w:val="000000"/>
              </w:rPr>
            </w:pPr>
          </w:p>
        </w:tc>
        <w:tc>
          <w:tcPr>
            <w:tcW w:w="1596" w:type="pct"/>
            <w:vAlign w:val="center"/>
          </w:tcPr>
          <w:p w14:paraId="1E5ED104">
            <w:pPr>
              <w:adjustRightInd/>
              <w:spacing w:line="240" w:lineRule="auto"/>
              <w:jc w:val="center"/>
              <w:rPr>
                <w:rFonts w:ascii="宋体" w:hAnsi="宋体"/>
                <w:bCs/>
                <w:color w:val="000000"/>
              </w:rPr>
            </w:pPr>
            <w:r>
              <w:rPr>
                <w:rFonts w:hint="eastAsia" w:ascii="宋体" w:hAnsi="宋体"/>
                <w:bCs/>
                <w:color w:val="000000"/>
              </w:rPr>
              <w:t>弹性模量</w:t>
            </w:r>
          </w:p>
        </w:tc>
        <w:tc>
          <w:tcPr>
            <w:tcW w:w="1797" w:type="pct"/>
            <w:vMerge w:val="continue"/>
            <w:vAlign w:val="center"/>
          </w:tcPr>
          <w:p w14:paraId="4291F95D">
            <w:pPr>
              <w:adjustRightInd/>
              <w:spacing w:line="240" w:lineRule="auto"/>
              <w:jc w:val="center"/>
              <w:rPr>
                <w:rFonts w:ascii="宋体" w:hAnsi="宋体"/>
                <w:bCs/>
                <w:color w:val="000000"/>
              </w:rPr>
            </w:pPr>
          </w:p>
        </w:tc>
      </w:tr>
      <w:tr w14:paraId="180D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320EFC44">
            <w:pPr>
              <w:adjustRightInd/>
              <w:spacing w:line="240" w:lineRule="auto"/>
              <w:jc w:val="center"/>
              <w:rPr>
                <w:rFonts w:ascii="宋体" w:hAnsi="宋体"/>
                <w:bCs/>
                <w:color w:val="000000"/>
              </w:rPr>
            </w:pPr>
            <w:r>
              <w:rPr>
                <w:rFonts w:hint="eastAsia" w:ascii="宋体" w:hAnsi="宋体"/>
                <w:bCs/>
                <w:color w:val="000000"/>
              </w:rPr>
              <w:t>偏心压杆</w:t>
            </w:r>
          </w:p>
        </w:tc>
        <w:tc>
          <w:tcPr>
            <w:tcW w:w="1596" w:type="pct"/>
            <w:vAlign w:val="center"/>
          </w:tcPr>
          <w:p w14:paraId="58B3FC0B">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2BB310FA">
            <w:pPr>
              <w:adjustRightInd/>
              <w:spacing w:line="240" w:lineRule="auto"/>
              <w:jc w:val="center"/>
              <w:rPr>
                <w:rFonts w:ascii="宋体" w:hAnsi="宋体"/>
                <w:bCs/>
                <w:color w:val="000000"/>
              </w:rPr>
            </w:pPr>
          </w:p>
        </w:tc>
      </w:tr>
      <w:tr w14:paraId="0827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742D3EA4">
            <w:pPr>
              <w:adjustRightInd/>
              <w:spacing w:line="240" w:lineRule="auto"/>
              <w:jc w:val="center"/>
              <w:rPr>
                <w:rFonts w:ascii="宋体" w:hAnsi="宋体"/>
                <w:bCs/>
                <w:color w:val="000000"/>
              </w:rPr>
            </w:pPr>
          </w:p>
        </w:tc>
        <w:tc>
          <w:tcPr>
            <w:tcW w:w="1596" w:type="pct"/>
            <w:vAlign w:val="center"/>
          </w:tcPr>
          <w:p w14:paraId="22D4B3D3">
            <w:pPr>
              <w:adjustRightInd/>
              <w:spacing w:line="240" w:lineRule="auto"/>
              <w:jc w:val="center"/>
              <w:rPr>
                <w:rFonts w:ascii="宋体" w:hAnsi="宋体"/>
                <w:bCs/>
                <w:color w:val="000000"/>
              </w:rPr>
            </w:pPr>
            <w:r>
              <w:rPr>
                <w:rFonts w:hint="eastAsia" w:ascii="宋体" w:hAnsi="宋体"/>
                <w:bCs/>
                <w:color w:val="000000"/>
              </w:rPr>
              <w:t>变形</w:t>
            </w:r>
          </w:p>
        </w:tc>
        <w:tc>
          <w:tcPr>
            <w:tcW w:w="1797" w:type="pct"/>
            <w:vMerge w:val="continue"/>
            <w:vAlign w:val="center"/>
          </w:tcPr>
          <w:p w14:paraId="347F4FF7">
            <w:pPr>
              <w:adjustRightInd/>
              <w:spacing w:line="240" w:lineRule="auto"/>
              <w:jc w:val="center"/>
              <w:rPr>
                <w:rFonts w:ascii="宋体" w:hAnsi="宋体"/>
                <w:bCs/>
                <w:color w:val="000000"/>
              </w:rPr>
            </w:pPr>
          </w:p>
        </w:tc>
      </w:tr>
      <w:tr w14:paraId="4363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restart"/>
            <w:vAlign w:val="center"/>
          </w:tcPr>
          <w:p w14:paraId="00CA3D55">
            <w:pPr>
              <w:adjustRightInd/>
              <w:spacing w:line="240" w:lineRule="auto"/>
              <w:jc w:val="center"/>
              <w:rPr>
                <w:rFonts w:ascii="宋体" w:hAnsi="宋体"/>
                <w:bCs/>
                <w:color w:val="000000"/>
              </w:rPr>
            </w:pPr>
            <w:r>
              <w:rPr>
                <w:rFonts w:hint="eastAsia" w:ascii="宋体" w:hAnsi="宋体"/>
                <w:bCs/>
                <w:color w:val="000000"/>
              </w:rPr>
              <w:t>桁架</w:t>
            </w:r>
          </w:p>
        </w:tc>
        <w:tc>
          <w:tcPr>
            <w:tcW w:w="1596" w:type="pct"/>
            <w:vAlign w:val="center"/>
          </w:tcPr>
          <w:p w14:paraId="1BF4EB46">
            <w:pPr>
              <w:adjustRightInd/>
              <w:spacing w:line="240" w:lineRule="auto"/>
              <w:jc w:val="center"/>
              <w:rPr>
                <w:rFonts w:ascii="宋体" w:hAnsi="宋体"/>
                <w:bCs/>
                <w:color w:val="000000"/>
              </w:rPr>
            </w:pPr>
            <w:r>
              <w:rPr>
                <w:rFonts w:hint="eastAsia" w:ascii="宋体" w:hAnsi="宋体"/>
                <w:bCs/>
                <w:color w:val="000000"/>
              </w:rPr>
              <w:t>承载能力</w:t>
            </w:r>
          </w:p>
        </w:tc>
        <w:tc>
          <w:tcPr>
            <w:tcW w:w="1797" w:type="pct"/>
            <w:vMerge w:val="continue"/>
            <w:vAlign w:val="center"/>
          </w:tcPr>
          <w:p w14:paraId="55272047">
            <w:pPr>
              <w:adjustRightInd/>
              <w:spacing w:line="240" w:lineRule="auto"/>
              <w:jc w:val="center"/>
              <w:rPr>
                <w:rFonts w:ascii="宋体" w:hAnsi="宋体"/>
                <w:bCs/>
                <w:color w:val="000000"/>
              </w:rPr>
            </w:pPr>
          </w:p>
        </w:tc>
      </w:tr>
      <w:tr w14:paraId="166D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07" w:type="pct"/>
            <w:vMerge w:val="continue"/>
            <w:vAlign w:val="center"/>
          </w:tcPr>
          <w:p w14:paraId="58ADAE4D">
            <w:pPr>
              <w:adjustRightInd/>
              <w:spacing w:line="240" w:lineRule="auto"/>
              <w:jc w:val="center"/>
              <w:rPr>
                <w:rFonts w:ascii="宋体" w:hAnsi="宋体"/>
                <w:bCs/>
                <w:color w:val="000000"/>
              </w:rPr>
            </w:pPr>
          </w:p>
        </w:tc>
        <w:tc>
          <w:tcPr>
            <w:tcW w:w="1596" w:type="pct"/>
            <w:vAlign w:val="center"/>
          </w:tcPr>
          <w:p w14:paraId="69C4D1FD">
            <w:pPr>
              <w:adjustRightInd/>
              <w:spacing w:line="240" w:lineRule="auto"/>
              <w:jc w:val="center"/>
              <w:rPr>
                <w:rFonts w:ascii="宋体" w:hAnsi="宋体"/>
                <w:bCs/>
                <w:color w:val="000000"/>
              </w:rPr>
            </w:pPr>
            <w:r>
              <w:rPr>
                <w:rFonts w:hint="eastAsia" w:ascii="宋体" w:hAnsi="宋体"/>
                <w:bCs/>
                <w:color w:val="000000"/>
              </w:rPr>
              <w:t>变形</w:t>
            </w:r>
          </w:p>
        </w:tc>
        <w:tc>
          <w:tcPr>
            <w:tcW w:w="1797" w:type="pct"/>
            <w:vMerge w:val="continue"/>
            <w:vAlign w:val="center"/>
          </w:tcPr>
          <w:p w14:paraId="4C75F452">
            <w:pPr>
              <w:adjustRightInd/>
              <w:spacing w:line="240" w:lineRule="auto"/>
              <w:jc w:val="center"/>
              <w:rPr>
                <w:rFonts w:ascii="宋体" w:hAnsi="宋体"/>
                <w:bCs/>
                <w:color w:val="000000"/>
              </w:rPr>
            </w:pPr>
          </w:p>
        </w:tc>
      </w:tr>
    </w:tbl>
    <w:p w14:paraId="71218BED">
      <w:pPr>
        <w:pStyle w:val="70"/>
        <w:numPr>
          <w:ilvl w:val="0"/>
          <w:numId w:val="0"/>
        </w:numPr>
        <w:spacing w:before="156" w:after="156"/>
        <w:outlineLvl w:val="9"/>
        <w:rPr>
          <w:rFonts w:ascii="宋体" w:hAnsi="宋体" w:eastAsia="宋体"/>
        </w:rPr>
      </w:pPr>
    </w:p>
    <w:p w14:paraId="793EE3EB">
      <w:pPr>
        <w:pStyle w:val="110"/>
        <w:spacing w:before="156" w:after="156"/>
      </w:pPr>
      <w:bookmarkStart w:id="68" w:name="_Toc202286568"/>
      <w:bookmarkEnd w:id="68"/>
      <w:bookmarkStart w:id="69" w:name="_Toc202286610"/>
      <w:bookmarkEnd w:id="69"/>
      <w:bookmarkStart w:id="70" w:name="_Toc202286613"/>
      <w:bookmarkEnd w:id="70"/>
      <w:bookmarkStart w:id="71" w:name="_Toc202286728"/>
      <w:bookmarkEnd w:id="71"/>
      <w:bookmarkStart w:id="72" w:name="_Toc202286566"/>
      <w:bookmarkEnd w:id="72"/>
      <w:bookmarkStart w:id="73" w:name="_Toc202286729"/>
      <w:bookmarkEnd w:id="73"/>
      <w:bookmarkStart w:id="74" w:name="_Toc202286612"/>
      <w:bookmarkEnd w:id="74"/>
      <w:bookmarkStart w:id="75" w:name="_Toc202286564"/>
      <w:bookmarkEnd w:id="75"/>
      <w:bookmarkStart w:id="76" w:name="_Toc202286731"/>
      <w:bookmarkEnd w:id="76"/>
      <w:bookmarkStart w:id="77" w:name="_Toc202286563"/>
      <w:bookmarkEnd w:id="77"/>
      <w:bookmarkStart w:id="78" w:name="_Toc202286732"/>
      <w:bookmarkEnd w:id="78"/>
      <w:bookmarkStart w:id="79" w:name="_Toc202286614"/>
      <w:bookmarkEnd w:id="79"/>
      <w:bookmarkStart w:id="80" w:name="_Toc202286703"/>
      <w:bookmarkEnd w:id="80"/>
      <w:bookmarkStart w:id="81" w:name="_Toc202286567"/>
      <w:bookmarkEnd w:id="81"/>
      <w:bookmarkStart w:id="82" w:name="_Toc202286704"/>
      <w:bookmarkEnd w:id="82"/>
      <w:bookmarkStart w:id="83" w:name="_Toc202286705"/>
      <w:bookmarkEnd w:id="83"/>
      <w:bookmarkStart w:id="84" w:name="_Toc202286609"/>
      <w:bookmarkEnd w:id="84"/>
      <w:bookmarkStart w:id="85" w:name="_Toc202286730"/>
      <w:bookmarkEnd w:id="85"/>
      <w:bookmarkStart w:id="86" w:name="_Toc202286733"/>
      <w:bookmarkEnd w:id="86"/>
      <w:bookmarkStart w:id="87" w:name="_Toc202286700"/>
      <w:bookmarkEnd w:id="87"/>
      <w:bookmarkStart w:id="88" w:name="_Toc202286701"/>
      <w:bookmarkEnd w:id="88"/>
      <w:bookmarkStart w:id="89" w:name="_Toc202286565"/>
      <w:bookmarkEnd w:id="89"/>
      <w:bookmarkStart w:id="90" w:name="_Toc202286611"/>
      <w:bookmarkEnd w:id="90"/>
      <w:bookmarkStart w:id="91" w:name="_Toc202286702"/>
      <w:bookmarkEnd w:id="91"/>
      <w:bookmarkStart w:id="92" w:name="_Toc222392769"/>
      <w:r>
        <w:rPr>
          <w:rFonts w:hint="eastAsia"/>
        </w:rPr>
        <w:t>防护性能</w:t>
      </w:r>
      <w:bookmarkEnd w:id="92"/>
    </w:p>
    <w:p w14:paraId="29DD0B13">
      <w:pPr>
        <w:pStyle w:val="70"/>
        <w:spacing w:before="156" w:after="156"/>
        <w:ind w:left="0"/>
        <w:rPr>
          <w:rFonts w:ascii="宋体" w:hAnsi="宋体" w:eastAsia="宋体"/>
        </w:rPr>
      </w:pPr>
      <w:r>
        <w:rPr>
          <w:rFonts w:hint="eastAsia" w:ascii="宋体" w:hAnsi="宋体" w:eastAsia="宋体"/>
        </w:rPr>
        <w:t>承重构件材料的燃烧性能检验应按GB 8624进行检测。采用喷涂法施工的防火涂层厚度应采用测厚仪检测。</w:t>
      </w:r>
    </w:p>
    <w:p w14:paraId="3D567469">
      <w:pPr>
        <w:pStyle w:val="70"/>
        <w:spacing w:before="156" w:after="156"/>
        <w:ind w:left="0"/>
        <w:rPr>
          <w:rFonts w:hAnsi="宋体" w:cs="黑体"/>
        </w:rPr>
      </w:pPr>
      <w:r>
        <w:rPr>
          <w:rFonts w:hint="eastAsia" w:ascii="宋体" w:hAnsi="宋体" w:eastAsia="宋体" w:cs="黑体"/>
        </w:rPr>
        <w:t>防腐与防虫</w:t>
      </w:r>
      <w:r>
        <w:rPr>
          <w:rFonts w:hint="eastAsia" w:ascii="宋体" w:hAnsi="宋体" w:eastAsia="宋体"/>
        </w:rPr>
        <w:t>药剂在木材中载药量和透入度应按GB/T 23229和</w:t>
      </w:r>
      <w:r>
        <w:rPr>
          <w:rFonts w:ascii="宋体" w:hAnsi="宋体" w:eastAsia="宋体"/>
        </w:rPr>
        <w:t>LY/T 2374</w:t>
      </w:r>
      <w:r>
        <w:rPr>
          <w:rFonts w:hint="eastAsia" w:ascii="宋体" w:hAnsi="宋体" w:eastAsia="宋体"/>
        </w:rPr>
        <w:t>进行检测。</w:t>
      </w:r>
    </w:p>
    <w:p w14:paraId="4D29C812">
      <w:pPr>
        <w:pStyle w:val="70"/>
        <w:spacing w:before="156" w:after="156"/>
        <w:ind w:left="0"/>
        <w:rPr>
          <w:rFonts w:hAnsi="宋体"/>
        </w:rPr>
      </w:pPr>
      <w:r>
        <w:rPr>
          <w:rFonts w:hint="eastAsia" w:ascii="宋体" w:hAnsi="宋体" w:eastAsia="宋体"/>
        </w:rPr>
        <w:t>承重构件的防潮层与防潮构造应按设计文件要求进行对照检验</w:t>
      </w:r>
      <w:r>
        <w:rPr>
          <w:rFonts w:hint="eastAsia" w:ascii="宋体" w:hAnsi="宋体"/>
        </w:rPr>
        <w:t>。</w:t>
      </w:r>
    </w:p>
    <w:p w14:paraId="3CE60285">
      <w:pPr>
        <w:pStyle w:val="109"/>
        <w:spacing w:before="312" w:after="312"/>
      </w:pPr>
      <w:bookmarkStart w:id="93" w:name="_Toc222392770"/>
      <w:r>
        <w:rPr>
          <w:rFonts w:hint="eastAsia"/>
        </w:rPr>
        <w:t>包装、运输和贮存</w:t>
      </w:r>
      <w:bookmarkEnd w:id="93"/>
    </w:p>
    <w:p w14:paraId="0899454B">
      <w:pPr>
        <w:pStyle w:val="170"/>
        <w:numPr>
          <w:ilvl w:val="0"/>
          <w:numId w:val="0"/>
        </w:numPr>
      </w:pPr>
      <w:bookmarkStart w:id="94" w:name="_Hlk201311219"/>
      <w:r>
        <w:rPr>
          <w:rFonts w:hint="eastAsia" w:ascii="黑体" w:hAnsi="黑体" w:eastAsia="黑体"/>
        </w:rPr>
        <w:t>8.0.1</w:t>
      </w:r>
      <w:r>
        <w:rPr>
          <w:rFonts w:hint="eastAsia"/>
        </w:rPr>
        <w:t xml:space="preserve"> </w:t>
      </w:r>
      <w:bookmarkEnd w:id="94"/>
      <w:r>
        <w:rPr>
          <w:rFonts w:hint="eastAsia"/>
        </w:rPr>
        <w:t>承重构件应有保护层包装，边角及重要五金件应有防磕碰措施。</w:t>
      </w:r>
    </w:p>
    <w:p w14:paraId="7B50EAFC">
      <w:pPr>
        <w:pStyle w:val="170"/>
        <w:numPr>
          <w:ilvl w:val="0"/>
          <w:numId w:val="0"/>
        </w:numPr>
      </w:pPr>
      <w:r>
        <w:rPr>
          <w:rFonts w:ascii="黑体" w:hAnsi="黑体" w:eastAsia="黑体"/>
        </w:rPr>
        <w:t>8.0.2</w:t>
      </w:r>
      <w:r>
        <w:t xml:space="preserve"> </w:t>
      </w:r>
      <w:r>
        <w:rPr>
          <w:rFonts w:hint="eastAsia"/>
        </w:rPr>
        <w:t>承重构件的运输、贮存以及过程中的吊装应符合GB/T 50772的规定。</w:t>
      </w:r>
    </w:p>
    <w:p w14:paraId="7FC1B239">
      <w:pPr>
        <w:pStyle w:val="170"/>
        <w:numPr>
          <w:ilvl w:val="0"/>
          <w:numId w:val="0"/>
        </w:numPr>
      </w:pPr>
      <w:r>
        <w:rPr>
          <w:rFonts w:ascii="黑体" w:hAnsi="黑体" w:eastAsia="黑体"/>
        </w:rPr>
        <w:t>8.0.3</w:t>
      </w:r>
      <w:r>
        <w:rPr>
          <w:rFonts w:hint="eastAsia"/>
        </w:rPr>
        <w:t xml:space="preserve"> 承重构件在贮存时应按类别、规格、等级分别堆放，并应符合下列要求：</w:t>
      </w:r>
    </w:p>
    <w:p w14:paraId="54C77C81">
      <w:pPr>
        <w:pStyle w:val="170"/>
        <w:numPr>
          <w:ilvl w:val="0"/>
          <w:numId w:val="33"/>
        </w:numPr>
        <w:ind w:left="777" w:leftChars="200" w:hanging="357"/>
      </w:pPr>
      <w:r>
        <w:rPr>
          <w:rFonts w:hint="eastAsia"/>
        </w:rPr>
        <w:t>木柱、木梁、木墙、木楼盖、木屋盖、木拱宜平放，且应采用垫块支承，支承位置应按计算确定，端面不应直接接触地面；</w:t>
      </w:r>
    </w:p>
    <w:p w14:paraId="1D3186FA">
      <w:pPr>
        <w:pStyle w:val="170"/>
        <w:numPr>
          <w:ilvl w:val="0"/>
          <w:numId w:val="33"/>
        </w:numPr>
        <w:ind w:left="777" w:leftChars="200" w:hanging="357"/>
      </w:pPr>
      <w:r>
        <w:rPr>
          <w:rFonts w:hint="eastAsia"/>
        </w:rPr>
        <w:t>木桁架应通过布置竖向支承和侧向支撑等措施避免侧向弯曲或倾覆。</w:t>
      </w:r>
    </w:p>
    <w:p w14:paraId="37369FD9">
      <w:pPr>
        <w:pStyle w:val="170"/>
        <w:numPr>
          <w:ilvl w:val="0"/>
          <w:numId w:val="0"/>
        </w:numPr>
        <w:spacing w:before="156" w:beforeLines="50" w:after="156" w:afterLines="50"/>
      </w:pPr>
      <w:r>
        <w:rPr>
          <w:rFonts w:hint="eastAsia" w:ascii="黑体" w:hAnsi="黑体" w:eastAsia="黑体"/>
        </w:rPr>
        <w:t>8.0.</w:t>
      </w:r>
      <w:r>
        <w:rPr>
          <w:rFonts w:ascii="黑体" w:hAnsi="黑体" w:eastAsia="黑体"/>
        </w:rPr>
        <w:t>4</w:t>
      </w:r>
      <w:r>
        <w:rPr>
          <w:rFonts w:hint="eastAsia" w:ascii="黑体" w:hAnsi="黑体" w:eastAsia="黑体"/>
        </w:rPr>
        <w:t xml:space="preserve"> </w:t>
      </w:r>
      <w:r>
        <w:rPr>
          <w:rFonts w:hint="eastAsia" w:hAnsi="宋体"/>
        </w:rPr>
        <w:t>承重构件在</w:t>
      </w:r>
      <w:r>
        <w:rPr>
          <w:rFonts w:hint="eastAsia"/>
        </w:rPr>
        <w:t>运输和贮存时</w:t>
      </w:r>
      <w:bookmarkEnd w:id="17"/>
      <w:r>
        <w:rPr>
          <w:rFonts w:hint="eastAsia"/>
        </w:rPr>
        <w:t>，应符合下列要求：</w:t>
      </w:r>
    </w:p>
    <w:p w14:paraId="0BC96B95">
      <w:pPr>
        <w:pStyle w:val="170"/>
        <w:numPr>
          <w:ilvl w:val="0"/>
          <w:numId w:val="34"/>
        </w:numPr>
        <w:ind w:left="777" w:leftChars="200" w:hanging="357"/>
      </w:pPr>
      <w:r>
        <w:rPr>
          <w:rFonts w:hint="eastAsia"/>
        </w:rPr>
        <w:t>应远离焊接作业、高温设备和其他易燃材料；</w:t>
      </w:r>
    </w:p>
    <w:p w14:paraId="5BA260FC">
      <w:pPr>
        <w:pStyle w:val="170"/>
        <w:numPr>
          <w:ilvl w:val="0"/>
          <w:numId w:val="34"/>
        </w:numPr>
        <w:ind w:left="777" w:leftChars="200" w:hanging="357"/>
      </w:pPr>
      <w:r>
        <w:rPr>
          <w:rFonts w:hint="eastAsia"/>
        </w:rPr>
        <w:t>应采取避免虫蛀、渗漏、变形、损伤、污染、含水率变化等的措施；</w:t>
      </w:r>
    </w:p>
    <w:p w14:paraId="652B6D45">
      <w:pPr>
        <w:pStyle w:val="170"/>
        <w:numPr>
          <w:ilvl w:val="0"/>
          <w:numId w:val="34"/>
        </w:numPr>
        <w:ind w:left="777" w:leftChars="200" w:hanging="357"/>
      </w:pPr>
      <w:r>
        <w:rPr>
          <w:rFonts w:hint="eastAsia"/>
        </w:rPr>
        <w:t>宜对承重构件木材含水率进行抽查，并应对含水率超过设计或标准规定的承重构件采取干燥、通风或重新调湿等措施；</w:t>
      </w:r>
    </w:p>
    <w:p w14:paraId="07392EF6">
      <w:pPr>
        <w:pStyle w:val="170"/>
        <w:numPr>
          <w:ilvl w:val="0"/>
          <w:numId w:val="34"/>
        </w:numPr>
        <w:ind w:left="777" w:leftChars="200" w:hanging="357"/>
      </w:pPr>
      <w:r>
        <w:rPr>
          <w:rFonts w:hint="eastAsia"/>
        </w:rPr>
        <w:t>发现承重构件受损时，应评估损伤影响，并应采取适当的修复措施。</w:t>
      </w:r>
    </w:p>
    <w:sectPr>
      <w:footerReference r:id="rId12" w:type="default"/>
      <w:pgSz w:w="11906" w:h="16838"/>
      <w:pgMar w:top="2410"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0094F">
    <w:pPr>
      <w:pStyle w:val="20"/>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666CB">
    <w:pPr>
      <w:pStyle w:val="20"/>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8353E">
    <w:pPr>
      <w:pStyle w:val="57"/>
    </w:pPr>
    <w:r>
      <w:fldChar w:fldCharType="begin"/>
    </w:r>
    <w:r>
      <w:instrText xml:space="preserve">PAGE   \* MERGEFORMAT</w:instrText>
    </w:r>
    <w:r>
      <w:fldChar w:fldCharType="separate"/>
    </w:r>
    <w:r>
      <w:rPr>
        <w:lang w:val="zh-CN"/>
      </w:rPr>
      <w:t>13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F51C2">
    <w:pPr>
      <w:pStyle w:val="57"/>
    </w:pPr>
    <w:r>
      <w:fldChar w:fldCharType="begin"/>
    </w:r>
    <w:r>
      <w:instrText xml:space="preserve">PAGE   \* MERGEFORMAT</w:instrText>
    </w:r>
    <w:r>
      <w:fldChar w:fldCharType="separate"/>
    </w:r>
    <w:r>
      <w:rPr>
        <w:lang w:val="zh-CN"/>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D046F">
    <w:pPr>
      <w:pStyle w:val="21"/>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A4F64">
    <w:pPr>
      <w:pStyle w:val="21"/>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F9856">
    <w:pPr>
      <w:pStyle w:val="66"/>
      <w:spacing w:after="0"/>
    </w:pPr>
    <w:r>
      <w:fldChar w:fldCharType="begin"/>
    </w:r>
    <w:r>
      <w:instrText xml:space="preserve"> STYLEREF  标准文件_文件编号  \* MERGEFORMAT </w:instrText>
    </w:r>
    <w:r>
      <w:fldChar w:fldCharType="separate"/>
    </w:r>
    <w:r>
      <w:t>GB/T XXXXX—202X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0CC1A">
    <w:pPr>
      <w:pStyle w:val="21"/>
      <w:jc w:val="right"/>
    </w:pPr>
    <w:r>
      <w:fldChar w:fldCharType="begin"/>
    </w:r>
    <w:r>
      <w:instrText xml:space="preserve"> STYLEREF  标准文件_文件编号  \* MERGEFORMAT </w:instrText>
    </w:r>
    <w:r>
      <w:fldChar w:fldCharType="separate"/>
    </w:r>
    <w:r>
      <w:t>GB/T XXXXX—202X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B2C6865"/>
    <w:multiLevelType w:val="multilevel"/>
    <w:tmpl w:val="2B2C6865"/>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35C5278"/>
    <w:multiLevelType w:val="multilevel"/>
    <w:tmpl w:val="435C5278"/>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3BB29CB"/>
    <w:multiLevelType w:val="multilevel"/>
    <w:tmpl w:val="43BB29CB"/>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7"/>
      <w:suff w:val="nothing"/>
      <w:lvlText w:val="表%1　"/>
      <w:lvlJc w:val="left"/>
      <w:pPr>
        <w:ind w:left="3969"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0"/>
      <w:suff w:val="nothing"/>
      <w:lvlText w:val="%1%2.%3.%4　"/>
      <w:lvlJc w:val="left"/>
      <w:pPr>
        <w:ind w:left="3402"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宋体" w:hAnsi="宋体" w:eastAsia="宋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0"/>
  </w:num>
  <w:num w:numId="3">
    <w:abstractNumId w:val="5"/>
  </w:num>
  <w:num w:numId="4">
    <w:abstractNumId w:val="26"/>
  </w:num>
  <w:num w:numId="5">
    <w:abstractNumId w:val="21"/>
  </w:num>
  <w:num w:numId="6">
    <w:abstractNumId w:val="16"/>
  </w:num>
  <w:num w:numId="7">
    <w:abstractNumId w:val="8"/>
  </w:num>
  <w:num w:numId="8">
    <w:abstractNumId w:val="3"/>
  </w:num>
  <w:num w:numId="9">
    <w:abstractNumId w:val="9"/>
  </w:num>
  <w:num w:numId="10">
    <w:abstractNumId w:val="19"/>
  </w:num>
  <w:num w:numId="11">
    <w:abstractNumId w:val="28"/>
  </w:num>
  <w:num w:numId="12">
    <w:abstractNumId w:val="12"/>
  </w:num>
  <w:num w:numId="13">
    <w:abstractNumId w:val="15"/>
  </w:num>
  <w:num w:numId="14">
    <w:abstractNumId w:val="7"/>
  </w:num>
  <w:num w:numId="15">
    <w:abstractNumId w:val="22"/>
  </w:num>
  <w:num w:numId="16">
    <w:abstractNumId w:val="24"/>
  </w:num>
  <w:num w:numId="17">
    <w:abstractNumId w:val="20"/>
  </w:num>
  <w:num w:numId="18">
    <w:abstractNumId w:val="32"/>
  </w:num>
  <w:num w:numId="19">
    <w:abstractNumId w:val="18"/>
  </w:num>
  <w:num w:numId="20">
    <w:abstractNumId w:val="1"/>
  </w:num>
  <w:num w:numId="21">
    <w:abstractNumId w:val="11"/>
  </w:num>
  <w:num w:numId="22">
    <w:abstractNumId w:val="33"/>
  </w:num>
  <w:num w:numId="23">
    <w:abstractNumId w:val="23"/>
  </w:num>
  <w:num w:numId="24">
    <w:abstractNumId w:val="6"/>
  </w:num>
  <w:num w:numId="25">
    <w:abstractNumId w:val="29"/>
  </w:num>
  <w:num w:numId="26">
    <w:abstractNumId w:val="31"/>
  </w:num>
  <w:num w:numId="27">
    <w:abstractNumId w:val="2"/>
  </w:num>
  <w:num w:numId="28">
    <w:abstractNumId w:val="4"/>
  </w:num>
  <w:num w:numId="29">
    <w:abstractNumId w:val="17"/>
  </w:num>
  <w:num w:numId="30">
    <w:abstractNumId w:val="27"/>
  </w:num>
  <w:num w:numId="31">
    <w:abstractNumId w:val="25"/>
  </w:num>
  <w:num w:numId="32">
    <w:abstractNumId w:val="10"/>
  </w:num>
  <w:num w:numId="33">
    <w:abstractNumId w:val="1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bordersDoNotSurroundHeader w:val="1"/>
  <w:bordersDoNotSurroundFooter w:val="1"/>
  <w:attachedTemplate r:id="rId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83A"/>
    <w:rsid w:val="0000018D"/>
    <w:rsid w:val="0000040A"/>
    <w:rsid w:val="00000A94"/>
    <w:rsid w:val="00001972"/>
    <w:rsid w:val="00001D9A"/>
    <w:rsid w:val="000039D7"/>
    <w:rsid w:val="0000513B"/>
    <w:rsid w:val="0000631F"/>
    <w:rsid w:val="00007B3A"/>
    <w:rsid w:val="00010355"/>
    <w:rsid w:val="000105C2"/>
    <w:rsid w:val="000107E0"/>
    <w:rsid w:val="00011FDE"/>
    <w:rsid w:val="00012FFD"/>
    <w:rsid w:val="00013D6A"/>
    <w:rsid w:val="00014162"/>
    <w:rsid w:val="00014340"/>
    <w:rsid w:val="00016A9C"/>
    <w:rsid w:val="00020371"/>
    <w:rsid w:val="00020B94"/>
    <w:rsid w:val="00022184"/>
    <w:rsid w:val="00022762"/>
    <w:rsid w:val="00022D6F"/>
    <w:rsid w:val="00023581"/>
    <w:rsid w:val="000238E0"/>
    <w:rsid w:val="000249DB"/>
    <w:rsid w:val="0002595E"/>
    <w:rsid w:val="000303C3"/>
    <w:rsid w:val="00031798"/>
    <w:rsid w:val="000331D3"/>
    <w:rsid w:val="000334D4"/>
    <w:rsid w:val="000346A5"/>
    <w:rsid w:val="000359C3"/>
    <w:rsid w:val="00035A7D"/>
    <w:rsid w:val="0004249A"/>
    <w:rsid w:val="00043282"/>
    <w:rsid w:val="00044286"/>
    <w:rsid w:val="00044523"/>
    <w:rsid w:val="00047F28"/>
    <w:rsid w:val="00047FE2"/>
    <w:rsid w:val="000503AA"/>
    <w:rsid w:val="000506A1"/>
    <w:rsid w:val="000515DD"/>
    <w:rsid w:val="0005265A"/>
    <w:rsid w:val="00053118"/>
    <w:rsid w:val="000539DD"/>
    <w:rsid w:val="00053BD3"/>
    <w:rsid w:val="000552BA"/>
    <w:rsid w:val="000556ED"/>
    <w:rsid w:val="00055FE2"/>
    <w:rsid w:val="0005616F"/>
    <w:rsid w:val="00060C2E"/>
    <w:rsid w:val="00061033"/>
    <w:rsid w:val="0006183A"/>
    <w:rsid w:val="000619E9"/>
    <w:rsid w:val="000622D4"/>
    <w:rsid w:val="0006357D"/>
    <w:rsid w:val="00067F1E"/>
    <w:rsid w:val="00071CC0"/>
    <w:rsid w:val="00072047"/>
    <w:rsid w:val="000726E9"/>
    <w:rsid w:val="00073C8C"/>
    <w:rsid w:val="00077B64"/>
    <w:rsid w:val="00080A1C"/>
    <w:rsid w:val="0008102A"/>
    <w:rsid w:val="00082317"/>
    <w:rsid w:val="00083D2C"/>
    <w:rsid w:val="00086AA1"/>
    <w:rsid w:val="00087A77"/>
    <w:rsid w:val="00090CA6"/>
    <w:rsid w:val="00091DA9"/>
    <w:rsid w:val="00092B8A"/>
    <w:rsid w:val="00092FB0"/>
    <w:rsid w:val="000934C5"/>
    <w:rsid w:val="00093D25"/>
    <w:rsid w:val="00094019"/>
    <w:rsid w:val="00094D73"/>
    <w:rsid w:val="00096D63"/>
    <w:rsid w:val="000A0B60"/>
    <w:rsid w:val="000A0EB8"/>
    <w:rsid w:val="000A19FC"/>
    <w:rsid w:val="000A296B"/>
    <w:rsid w:val="000A2CA4"/>
    <w:rsid w:val="000A5B9E"/>
    <w:rsid w:val="000A7311"/>
    <w:rsid w:val="000B060F"/>
    <w:rsid w:val="000B1592"/>
    <w:rsid w:val="000B15F2"/>
    <w:rsid w:val="000B1FF2"/>
    <w:rsid w:val="000B2F5E"/>
    <w:rsid w:val="000B364D"/>
    <w:rsid w:val="000B3CDA"/>
    <w:rsid w:val="000B5B93"/>
    <w:rsid w:val="000B5D60"/>
    <w:rsid w:val="000B6A0B"/>
    <w:rsid w:val="000B6D94"/>
    <w:rsid w:val="000C0F6C"/>
    <w:rsid w:val="000C11DB"/>
    <w:rsid w:val="000C2FBD"/>
    <w:rsid w:val="000C3E10"/>
    <w:rsid w:val="000C4395"/>
    <w:rsid w:val="000C4B41"/>
    <w:rsid w:val="000C519C"/>
    <w:rsid w:val="000C57D6"/>
    <w:rsid w:val="000C7666"/>
    <w:rsid w:val="000D0A9C"/>
    <w:rsid w:val="000D1795"/>
    <w:rsid w:val="000D329A"/>
    <w:rsid w:val="000D4B9C"/>
    <w:rsid w:val="000D4EB6"/>
    <w:rsid w:val="000D753B"/>
    <w:rsid w:val="000E4BA7"/>
    <w:rsid w:val="000E4C9E"/>
    <w:rsid w:val="000E556A"/>
    <w:rsid w:val="000E6FD7"/>
    <w:rsid w:val="000F06E1"/>
    <w:rsid w:val="000F0E3C"/>
    <w:rsid w:val="000F19D5"/>
    <w:rsid w:val="000F2947"/>
    <w:rsid w:val="000F2E41"/>
    <w:rsid w:val="000F4AEA"/>
    <w:rsid w:val="000F6501"/>
    <w:rsid w:val="000F67E7"/>
    <w:rsid w:val="000F67E9"/>
    <w:rsid w:val="00100465"/>
    <w:rsid w:val="001016A7"/>
    <w:rsid w:val="0010318A"/>
    <w:rsid w:val="00104926"/>
    <w:rsid w:val="00104ED6"/>
    <w:rsid w:val="0010733C"/>
    <w:rsid w:val="00107A2B"/>
    <w:rsid w:val="00113328"/>
    <w:rsid w:val="00113B1E"/>
    <w:rsid w:val="0011414E"/>
    <w:rsid w:val="0011549B"/>
    <w:rsid w:val="0011711C"/>
    <w:rsid w:val="001213E7"/>
    <w:rsid w:val="0012366B"/>
    <w:rsid w:val="00124E4F"/>
    <w:rsid w:val="001255B5"/>
    <w:rsid w:val="00125CAE"/>
    <w:rsid w:val="001260B7"/>
    <w:rsid w:val="001265CB"/>
    <w:rsid w:val="001321C6"/>
    <w:rsid w:val="001325C4"/>
    <w:rsid w:val="00132D17"/>
    <w:rsid w:val="00133010"/>
    <w:rsid w:val="001337A1"/>
    <w:rsid w:val="001338EE"/>
    <w:rsid w:val="00133AAE"/>
    <w:rsid w:val="00135323"/>
    <w:rsid w:val="001356C4"/>
    <w:rsid w:val="00137874"/>
    <w:rsid w:val="00141114"/>
    <w:rsid w:val="001421AC"/>
    <w:rsid w:val="00142969"/>
    <w:rsid w:val="00142A9E"/>
    <w:rsid w:val="0014495C"/>
    <w:rsid w:val="00145312"/>
    <w:rsid w:val="001457E7"/>
    <w:rsid w:val="00145D9D"/>
    <w:rsid w:val="00146388"/>
    <w:rsid w:val="00151A81"/>
    <w:rsid w:val="001529E5"/>
    <w:rsid w:val="0015319E"/>
    <w:rsid w:val="00153C7E"/>
    <w:rsid w:val="00155A73"/>
    <w:rsid w:val="00156B25"/>
    <w:rsid w:val="00156E1A"/>
    <w:rsid w:val="00156E78"/>
    <w:rsid w:val="00157B55"/>
    <w:rsid w:val="0016027C"/>
    <w:rsid w:val="001642FA"/>
    <w:rsid w:val="001649EB"/>
    <w:rsid w:val="00164BAF"/>
    <w:rsid w:val="00164FA8"/>
    <w:rsid w:val="00165065"/>
    <w:rsid w:val="00165434"/>
    <w:rsid w:val="0016580B"/>
    <w:rsid w:val="00165F49"/>
    <w:rsid w:val="00166B88"/>
    <w:rsid w:val="0016770A"/>
    <w:rsid w:val="00170804"/>
    <w:rsid w:val="001708E9"/>
    <w:rsid w:val="00172971"/>
    <w:rsid w:val="0017340B"/>
    <w:rsid w:val="00173FB1"/>
    <w:rsid w:val="001754E1"/>
    <w:rsid w:val="00176DFD"/>
    <w:rsid w:val="0017783A"/>
    <w:rsid w:val="00180A7F"/>
    <w:rsid w:val="001852C9"/>
    <w:rsid w:val="00190087"/>
    <w:rsid w:val="0019056E"/>
    <w:rsid w:val="001913C4"/>
    <w:rsid w:val="0019348F"/>
    <w:rsid w:val="00193A07"/>
    <w:rsid w:val="00194C95"/>
    <w:rsid w:val="0019584C"/>
    <w:rsid w:val="00195C34"/>
    <w:rsid w:val="001961B7"/>
    <w:rsid w:val="00196AAF"/>
    <w:rsid w:val="001A0212"/>
    <w:rsid w:val="001A1A53"/>
    <w:rsid w:val="001A2228"/>
    <w:rsid w:val="001A234A"/>
    <w:rsid w:val="001A2C5D"/>
    <w:rsid w:val="001A75F6"/>
    <w:rsid w:val="001B06E8"/>
    <w:rsid w:val="001B3FEE"/>
    <w:rsid w:val="001B58CF"/>
    <w:rsid w:val="001B71D0"/>
    <w:rsid w:val="001B71EE"/>
    <w:rsid w:val="001C04A8"/>
    <w:rsid w:val="001C071F"/>
    <w:rsid w:val="001C2C03"/>
    <w:rsid w:val="001C42F7"/>
    <w:rsid w:val="001C49E5"/>
    <w:rsid w:val="001C680C"/>
    <w:rsid w:val="001C7FEA"/>
    <w:rsid w:val="001D0499"/>
    <w:rsid w:val="001D0BBE"/>
    <w:rsid w:val="001D0ED4"/>
    <w:rsid w:val="001D1845"/>
    <w:rsid w:val="001D1C53"/>
    <w:rsid w:val="001D212F"/>
    <w:rsid w:val="001D229E"/>
    <w:rsid w:val="001D29D7"/>
    <w:rsid w:val="001D2DE7"/>
    <w:rsid w:val="001D411C"/>
    <w:rsid w:val="001D7A39"/>
    <w:rsid w:val="001E1665"/>
    <w:rsid w:val="001E1A16"/>
    <w:rsid w:val="001E1AF2"/>
    <w:rsid w:val="001E1B6A"/>
    <w:rsid w:val="001E1D6A"/>
    <w:rsid w:val="001E2484"/>
    <w:rsid w:val="001E3CC4"/>
    <w:rsid w:val="001E4882"/>
    <w:rsid w:val="001E6A6F"/>
    <w:rsid w:val="001E73AB"/>
    <w:rsid w:val="001F092D"/>
    <w:rsid w:val="001F143A"/>
    <w:rsid w:val="001F1605"/>
    <w:rsid w:val="001F2508"/>
    <w:rsid w:val="001F4816"/>
    <w:rsid w:val="001F69B4"/>
    <w:rsid w:val="001F77C7"/>
    <w:rsid w:val="00200183"/>
    <w:rsid w:val="0020107D"/>
    <w:rsid w:val="0020135D"/>
    <w:rsid w:val="00201CCE"/>
    <w:rsid w:val="00202AA4"/>
    <w:rsid w:val="00202C1B"/>
    <w:rsid w:val="002031F7"/>
    <w:rsid w:val="002040E6"/>
    <w:rsid w:val="0020527B"/>
    <w:rsid w:val="0020552E"/>
    <w:rsid w:val="00207E16"/>
    <w:rsid w:val="00210B15"/>
    <w:rsid w:val="00211BCE"/>
    <w:rsid w:val="002142EA"/>
    <w:rsid w:val="00217529"/>
    <w:rsid w:val="00217647"/>
    <w:rsid w:val="002204BB"/>
    <w:rsid w:val="00220875"/>
    <w:rsid w:val="00221B79"/>
    <w:rsid w:val="00221C6B"/>
    <w:rsid w:val="00224AF4"/>
    <w:rsid w:val="002253A1"/>
    <w:rsid w:val="00225CF8"/>
    <w:rsid w:val="00225E4B"/>
    <w:rsid w:val="00227300"/>
    <w:rsid w:val="0022794E"/>
    <w:rsid w:val="00233D64"/>
    <w:rsid w:val="0023482A"/>
    <w:rsid w:val="002359CB"/>
    <w:rsid w:val="00243540"/>
    <w:rsid w:val="0024497B"/>
    <w:rsid w:val="00244D94"/>
    <w:rsid w:val="0024515B"/>
    <w:rsid w:val="00246021"/>
    <w:rsid w:val="0024666E"/>
    <w:rsid w:val="002479BA"/>
    <w:rsid w:val="00247F52"/>
    <w:rsid w:val="002504B8"/>
    <w:rsid w:val="00250B25"/>
    <w:rsid w:val="00250BBE"/>
    <w:rsid w:val="0025194F"/>
    <w:rsid w:val="00256A48"/>
    <w:rsid w:val="002610BF"/>
    <w:rsid w:val="0026148A"/>
    <w:rsid w:val="00262696"/>
    <w:rsid w:val="002643C3"/>
    <w:rsid w:val="00264A0C"/>
    <w:rsid w:val="00265B56"/>
    <w:rsid w:val="00267EF4"/>
    <w:rsid w:val="00270658"/>
    <w:rsid w:val="00270CB8"/>
    <w:rsid w:val="00270DC2"/>
    <w:rsid w:val="00272B08"/>
    <w:rsid w:val="00273188"/>
    <w:rsid w:val="002805EA"/>
    <w:rsid w:val="00281BB8"/>
    <w:rsid w:val="00281E9E"/>
    <w:rsid w:val="00285170"/>
    <w:rsid w:val="00285361"/>
    <w:rsid w:val="00291D4D"/>
    <w:rsid w:val="00292D60"/>
    <w:rsid w:val="00292E97"/>
    <w:rsid w:val="00294395"/>
    <w:rsid w:val="00294D34"/>
    <w:rsid w:val="00294E3B"/>
    <w:rsid w:val="00296193"/>
    <w:rsid w:val="00296C66"/>
    <w:rsid w:val="00296EBE"/>
    <w:rsid w:val="002974E3"/>
    <w:rsid w:val="002A084B"/>
    <w:rsid w:val="002A1260"/>
    <w:rsid w:val="002A1589"/>
    <w:rsid w:val="002A1608"/>
    <w:rsid w:val="002A25DC"/>
    <w:rsid w:val="002A35CB"/>
    <w:rsid w:val="002A3AAB"/>
    <w:rsid w:val="002A4A4E"/>
    <w:rsid w:val="002A4CEA"/>
    <w:rsid w:val="002A5977"/>
    <w:rsid w:val="002A5A13"/>
    <w:rsid w:val="002A744E"/>
    <w:rsid w:val="002A74BA"/>
    <w:rsid w:val="002A7F44"/>
    <w:rsid w:val="002B0C40"/>
    <w:rsid w:val="002B1966"/>
    <w:rsid w:val="002B1E87"/>
    <w:rsid w:val="002B3AE9"/>
    <w:rsid w:val="002B4508"/>
    <w:rsid w:val="002B5779"/>
    <w:rsid w:val="002B6556"/>
    <w:rsid w:val="002B65AC"/>
    <w:rsid w:val="002B7332"/>
    <w:rsid w:val="002B7AD9"/>
    <w:rsid w:val="002B7F51"/>
    <w:rsid w:val="002C00FB"/>
    <w:rsid w:val="002C09E7"/>
    <w:rsid w:val="002C1B28"/>
    <w:rsid w:val="002C3F07"/>
    <w:rsid w:val="002C5278"/>
    <w:rsid w:val="002C5D64"/>
    <w:rsid w:val="002C5FB7"/>
    <w:rsid w:val="002C7EBB"/>
    <w:rsid w:val="002D06C1"/>
    <w:rsid w:val="002D41FF"/>
    <w:rsid w:val="002D42B5"/>
    <w:rsid w:val="002D4AF3"/>
    <w:rsid w:val="002D4F1A"/>
    <w:rsid w:val="002D6BA1"/>
    <w:rsid w:val="002D6EC6"/>
    <w:rsid w:val="002D79AC"/>
    <w:rsid w:val="002E039D"/>
    <w:rsid w:val="002E4CED"/>
    <w:rsid w:val="002E4D5A"/>
    <w:rsid w:val="002E6326"/>
    <w:rsid w:val="002E70D4"/>
    <w:rsid w:val="002F0461"/>
    <w:rsid w:val="002F1958"/>
    <w:rsid w:val="002F2680"/>
    <w:rsid w:val="002F2DCD"/>
    <w:rsid w:val="002F30E0"/>
    <w:rsid w:val="002F35E4"/>
    <w:rsid w:val="002F3730"/>
    <w:rsid w:val="002F38E1"/>
    <w:rsid w:val="002F3DE0"/>
    <w:rsid w:val="002F44F6"/>
    <w:rsid w:val="002F7AF6"/>
    <w:rsid w:val="00300418"/>
    <w:rsid w:val="00300E63"/>
    <w:rsid w:val="003027FF"/>
    <w:rsid w:val="00302F5F"/>
    <w:rsid w:val="0030441D"/>
    <w:rsid w:val="00306063"/>
    <w:rsid w:val="00313B85"/>
    <w:rsid w:val="00314BDF"/>
    <w:rsid w:val="0031596D"/>
    <w:rsid w:val="00316251"/>
    <w:rsid w:val="00317988"/>
    <w:rsid w:val="003221B4"/>
    <w:rsid w:val="00322E62"/>
    <w:rsid w:val="003236F9"/>
    <w:rsid w:val="00324EDD"/>
    <w:rsid w:val="00326F6D"/>
    <w:rsid w:val="00330F0A"/>
    <w:rsid w:val="0033224C"/>
    <w:rsid w:val="003322CE"/>
    <w:rsid w:val="00336C64"/>
    <w:rsid w:val="00337162"/>
    <w:rsid w:val="0034194F"/>
    <w:rsid w:val="00343164"/>
    <w:rsid w:val="00344605"/>
    <w:rsid w:val="003474AA"/>
    <w:rsid w:val="00350C23"/>
    <w:rsid w:val="00350D1D"/>
    <w:rsid w:val="003529DC"/>
    <w:rsid w:val="00352C83"/>
    <w:rsid w:val="00354CDB"/>
    <w:rsid w:val="00357485"/>
    <w:rsid w:val="00360F39"/>
    <w:rsid w:val="003615D2"/>
    <w:rsid w:val="0036429C"/>
    <w:rsid w:val="00364A53"/>
    <w:rsid w:val="003654CB"/>
    <w:rsid w:val="00365F86"/>
    <w:rsid w:val="00365F87"/>
    <w:rsid w:val="003705F4"/>
    <w:rsid w:val="00370D58"/>
    <w:rsid w:val="00371316"/>
    <w:rsid w:val="003715EE"/>
    <w:rsid w:val="00371A2A"/>
    <w:rsid w:val="00372580"/>
    <w:rsid w:val="00373E57"/>
    <w:rsid w:val="00373F50"/>
    <w:rsid w:val="00376713"/>
    <w:rsid w:val="00377AD9"/>
    <w:rsid w:val="00381815"/>
    <w:rsid w:val="003819AF"/>
    <w:rsid w:val="003820E9"/>
    <w:rsid w:val="00382DE7"/>
    <w:rsid w:val="00384DA9"/>
    <w:rsid w:val="00384FFC"/>
    <w:rsid w:val="003872FC"/>
    <w:rsid w:val="00387ADC"/>
    <w:rsid w:val="00390020"/>
    <w:rsid w:val="003903BC"/>
    <w:rsid w:val="003903D6"/>
    <w:rsid w:val="003906E5"/>
    <w:rsid w:val="00390EE6"/>
    <w:rsid w:val="00390F36"/>
    <w:rsid w:val="0039102F"/>
    <w:rsid w:val="0039118F"/>
    <w:rsid w:val="00391E70"/>
    <w:rsid w:val="0039205B"/>
    <w:rsid w:val="00392AD7"/>
    <w:rsid w:val="00392C1E"/>
    <w:rsid w:val="003938D9"/>
    <w:rsid w:val="00394376"/>
    <w:rsid w:val="003943FF"/>
    <w:rsid w:val="0039452E"/>
    <w:rsid w:val="00396B43"/>
    <w:rsid w:val="003974EB"/>
    <w:rsid w:val="00397CC5"/>
    <w:rsid w:val="003A0065"/>
    <w:rsid w:val="003A1582"/>
    <w:rsid w:val="003A20B8"/>
    <w:rsid w:val="003A4077"/>
    <w:rsid w:val="003A6596"/>
    <w:rsid w:val="003B09AD"/>
    <w:rsid w:val="003B1F18"/>
    <w:rsid w:val="003B50ED"/>
    <w:rsid w:val="003B5BF0"/>
    <w:rsid w:val="003B60BF"/>
    <w:rsid w:val="003B6798"/>
    <w:rsid w:val="003B6BE3"/>
    <w:rsid w:val="003C010C"/>
    <w:rsid w:val="003C0A6C"/>
    <w:rsid w:val="003C1009"/>
    <w:rsid w:val="003C5A43"/>
    <w:rsid w:val="003C63CB"/>
    <w:rsid w:val="003C73CE"/>
    <w:rsid w:val="003D0519"/>
    <w:rsid w:val="003D0FF6"/>
    <w:rsid w:val="003D122B"/>
    <w:rsid w:val="003D262C"/>
    <w:rsid w:val="003D4D31"/>
    <w:rsid w:val="003D6D61"/>
    <w:rsid w:val="003D7EDA"/>
    <w:rsid w:val="003E091D"/>
    <w:rsid w:val="003E0D31"/>
    <w:rsid w:val="003E1C53"/>
    <w:rsid w:val="003E2A69"/>
    <w:rsid w:val="003E2D49"/>
    <w:rsid w:val="003E2FD4"/>
    <w:rsid w:val="003E49F6"/>
    <w:rsid w:val="003E6699"/>
    <w:rsid w:val="003F050D"/>
    <w:rsid w:val="003F0841"/>
    <w:rsid w:val="003F23D3"/>
    <w:rsid w:val="003F3F08"/>
    <w:rsid w:val="003F49F1"/>
    <w:rsid w:val="003F6272"/>
    <w:rsid w:val="003F6900"/>
    <w:rsid w:val="0040094B"/>
    <w:rsid w:val="00400E72"/>
    <w:rsid w:val="00401400"/>
    <w:rsid w:val="00403395"/>
    <w:rsid w:val="00404869"/>
    <w:rsid w:val="00405884"/>
    <w:rsid w:val="00405B60"/>
    <w:rsid w:val="00407D39"/>
    <w:rsid w:val="0041477A"/>
    <w:rsid w:val="004167A3"/>
    <w:rsid w:val="00420021"/>
    <w:rsid w:val="00432DAA"/>
    <w:rsid w:val="00432F78"/>
    <w:rsid w:val="00434305"/>
    <w:rsid w:val="004347D3"/>
    <w:rsid w:val="00435DF7"/>
    <w:rsid w:val="0043726B"/>
    <w:rsid w:val="0044083F"/>
    <w:rsid w:val="00441AE7"/>
    <w:rsid w:val="004434B2"/>
    <w:rsid w:val="00444DB8"/>
    <w:rsid w:val="00445574"/>
    <w:rsid w:val="004467FB"/>
    <w:rsid w:val="00452B98"/>
    <w:rsid w:val="00452D6B"/>
    <w:rsid w:val="004533C2"/>
    <w:rsid w:val="00454484"/>
    <w:rsid w:val="0045517B"/>
    <w:rsid w:val="004575EF"/>
    <w:rsid w:val="00457A2B"/>
    <w:rsid w:val="0046006D"/>
    <w:rsid w:val="004605A9"/>
    <w:rsid w:val="0046342A"/>
    <w:rsid w:val="00463B77"/>
    <w:rsid w:val="00463C7B"/>
    <w:rsid w:val="004644A6"/>
    <w:rsid w:val="00464611"/>
    <w:rsid w:val="004659BD"/>
    <w:rsid w:val="00465D45"/>
    <w:rsid w:val="00470691"/>
    <w:rsid w:val="00470775"/>
    <w:rsid w:val="00471B19"/>
    <w:rsid w:val="004746B1"/>
    <w:rsid w:val="0047583F"/>
    <w:rsid w:val="00477933"/>
    <w:rsid w:val="004838DF"/>
    <w:rsid w:val="00484936"/>
    <w:rsid w:val="00485C89"/>
    <w:rsid w:val="00486BE3"/>
    <w:rsid w:val="00486D7B"/>
    <w:rsid w:val="004879ED"/>
    <w:rsid w:val="004905E4"/>
    <w:rsid w:val="00490A89"/>
    <w:rsid w:val="00490AB4"/>
    <w:rsid w:val="00491C81"/>
    <w:rsid w:val="00492F02"/>
    <w:rsid w:val="00493558"/>
    <w:rsid w:val="004939AE"/>
    <w:rsid w:val="004A12DF"/>
    <w:rsid w:val="004A1BA8"/>
    <w:rsid w:val="004A205A"/>
    <w:rsid w:val="004A4B57"/>
    <w:rsid w:val="004A63FA"/>
    <w:rsid w:val="004A7C8C"/>
    <w:rsid w:val="004B0EBF"/>
    <w:rsid w:val="004B2701"/>
    <w:rsid w:val="004B2E1B"/>
    <w:rsid w:val="004B3E93"/>
    <w:rsid w:val="004B6E0D"/>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2D01"/>
    <w:rsid w:val="004E30C5"/>
    <w:rsid w:val="004E4AA5"/>
    <w:rsid w:val="004E4AEE"/>
    <w:rsid w:val="004E59E3"/>
    <w:rsid w:val="004E67C0"/>
    <w:rsid w:val="004E69D7"/>
    <w:rsid w:val="004F0871"/>
    <w:rsid w:val="004F0B82"/>
    <w:rsid w:val="004F0CA2"/>
    <w:rsid w:val="004F1066"/>
    <w:rsid w:val="004F391A"/>
    <w:rsid w:val="004F3CFB"/>
    <w:rsid w:val="004F4F73"/>
    <w:rsid w:val="004F6456"/>
    <w:rsid w:val="004F696E"/>
    <w:rsid w:val="004F6C71"/>
    <w:rsid w:val="00500138"/>
    <w:rsid w:val="00501139"/>
    <w:rsid w:val="00501206"/>
    <w:rsid w:val="005019F5"/>
    <w:rsid w:val="0050363E"/>
    <w:rsid w:val="005039BC"/>
    <w:rsid w:val="005043BB"/>
    <w:rsid w:val="00504A3D"/>
    <w:rsid w:val="00505767"/>
    <w:rsid w:val="005073F0"/>
    <w:rsid w:val="00510A7B"/>
    <w:rsid w:val="00512F6E"/>
    <w:rsid w:val="00513038"/>
    <w:rsid w:val="00514174"/>
    <w:rsid w:val="00514A21"/>
    <w:rsid w:val="00514DF9"/>
    <w:rsid w:val="00516088"/>
    <w:rsid w:val="00516B0B"/>
    <w:rsid w:val="005208EA"/>
    <w:rsid w:val="00521816"/>
    <w:rsid w:val="0052192E"/>
    <w:rsid w:val="005220EC"/>
    <w:rsid w:val="00523F95"/>
    <w:rsid w:val="005247AD"/>
    <w:rsid w:val="00524D65"/>
    <w:rsid w:val="00525B16"/>
    <w:rsid w:val="0053175A"/>
    <w:rsid w:val="0053176B"/>
    <w:rsid w:val="0053269E"/>
    <w:rsid w:val="00532B3A"/>
    <w:rsid w:val="00533D04"/>
    <w:rsid w:val="00534804"/>
    <w:rsid w:val="00534BDF"/>
    <w:rsid w:val="005354EA"/>
    <w:rsid w:val="00535EC4"/>
    <w:rsid w:val="00535ED9"/>
    <w:rsid w:val="0053692B"/>
    <w:rsid w:val="005403B3"/>
    <w:rsid w:val="005407EF"/>
    <w:rsid w:val="00541853"/>
    <w:rsid w:val="00542CCC"/>
    <w:rsid w:val="00542DCB"/>
    <w:rsid w:val="00543BDA"/>
    <w:rsid w:val="005441CC"/>
    <w:rsid w:val="00547608"/>
    <w:rsid w:val="005479DA"/>
    <w:rsid w:val="00547BCC"/>
    <w:rsid w:val="0055013B"/>
    <w:rsid w:val="00551F6F"/>
    <w:rsid w:val="0055327F"/>
    <w:rsid w:val="00554A85"/>
    <w:rsid w:val="00555044"/>
    <w:rsid w:val="0055708D"/>
    <w:rsid w:val="00560063"/>
    <w:rsid w:val="00560EBB"/>
    <w:rsid w:val="00561475"/>
    <w:rsid w:val="00562292"/>
    <w:rsid w:val="0056487B"/>
    <w:rsid w:val="00564FB9"/>
    <w:rsid w:val="0057355D"/>
    <w:rsid w:val="00573D9E"/>
    <w:rsid w:val="00576255"/>
    <w:rsid w:val="005766F8"/>
    <w:rsid w:val="00577288"/>
    <w:rsid w:val="00577965"/>
    <w:rsid w:val="005801E3"/>
    <w:rsid w:val="00581802"/>
    <w:rsid w:val="0058229A"/>
    <w:rsid w:val="005836A8"/>
    <w:rsid w:val="00583C4B"/>
    <w:rsid w:val="00584262"/>
    <w:rsid w:val="00586630"/>
    <w:rsid w:val="00587ADD"/>
    <w:rsid w:val="00590857"/>
    <w:rsid w:val="00591866"/>
    <w:rsid w:val="005938C4"/>
    <w:rsid w:val="00596160"/>
    <w:rsid w:val="005966E2"/>
    <w:rsid w:val="00597007"/>
    <w:rsid w:val="005A0966"/>
    <w:rsid w:val="005A11B7"/>
    <w:rsid w:val="005A260B"/>
    <w:rsid w:val="005A4A1B"/>
    <w:rsid w:val="005A55DC"/>
    <w:rsid w:val="005A5A64"/>
    <w:rsid w:val="005A7830"/>
    <w:rsid w:val="005A7FCE"/>
    <w:rsid w:val="005B0F3F"/>
    <w:rsid w:val="005B14D9"/>
    <w:rsid w:val="005B1D82"/>
    <w:rsid w:val="005B1DF6"/>
    <w:rsid w:val="005B4903"/>
    <w:rsid w:val="005B51CE"/>
    <w:rsid w:val="005B56F8"/>
    <w:rsid w:val="005B5885"/>
    <w:rsid w:val="005B5CD7"/>
    <w:rsid w:val="005B64AF"/>
    <w:rsid w:val="005B6CF6"/>
    <w:rsid w:val="005B7422"/>
    <w:rsid w:val="005C1606"/>
    <w:rsid w:val="005C2186"/>
    <w:rsid w:val="005C29B8"/>
    <w:rsid w:val="005C5F21"/>
    <w:rsid w:val="005C7156"/>
    <w:rsid w:val="005C789B"/>
    <w:rsid w:val="005D0C75"/>
    <w:rsid w:val="005D1B8C"/>
    <w:rsid w:val="005D257E"/>
    <w:rsid w:val="005D4171"/>
    <w:rsid w:val="005D6A95"/>
    <w:rsid w:val="005D6B2C"/>
    <w:rsid w:val="005D6D9C"/>
    <w:rsid w:val="005E07A2"/>
    <w:rsid w:val="005E2335"/>
    <w:rsid w:val="005E34CA"/>
    <w:rsid w:val="005E3C18"/>
    <w:rsid w:val="005E3DC3"/>
    <w:rsid w:val="005E645A"/>
    <w:rsid w:val="005E7881"/>
    <w:rsid w:val="005E78E0"/>
    <w:rsid w:val="005F082B"/>
    <w:rsid w:val="005F0D9C"/>
    <w:rsid w:val="005F284E"/>
    <w:rsid w:val="005F2FD4"/>
    <w:rsid w:val="005F49C7"/>
    <w:rsid w:val="006002B2"/>
    <w:rsid w:val="006015CE"/>
    <w:rsid w:val="00604784"/>
    <w:rsid w:val="00605511"/>
    <w:rsid w:val="00606419"/>
    <w:rsid w:val="00607D29"/>
    <w:rsid w:val="00612952"/>
    <w:rsid w:val="00612C3F"/>
    <w:rsid w:val="00614CC1"/>
    <w:rsid w:val="00615978"/>
    <w:rsid w:val="00615A9D"/>
    <w:rsid w:val="006162BE"/>
    <w:rsid w:val="0061634B"/>
    <w:rsid w:val="00616BBB"/>
    <w:rsid w:val="00617387"/>
    <w:rsid w:val="00617C58"/>
    <w:rsid w:val="006215B4"/>
    <w:rsid w:val="00623902"/>
    <w:rsid w:val="006240D3"/>
    <w:rsid w:val="006252D8"/>
    <w:rsid w:val="006259BC"/>
    <w:rsid w:val="0062636B"/>
    <w:rsid w:val="00626922"/>
    <w:rsid w:val="00630AEE"/>
    <w:rsid w:val="00631719"/>
    <w:rsid w:val="00631E27"/>
    <w:rsid w:val="00632182"/>
    <w:rsid w:val="00632688"/>
    <w:rsid w:val="00632AE0"/>
    <w:rsid w:val="006332EA"/>
    <w:rsid w:val="00633C17"/>
    <w:rsid w:val="00635C2F"/>
    <w:rsid w:val="00636145"/>
    <w:rsid w:val="00636E3E"/>
    <w:rsid w:val="006379F7"/>
    <w:rsid w:val="00637E4D"/>
    <w:rsid w:val="00640620"/>
    <w:rsid w:val="00641809"/>
    <w:rsid w:val="00641A1F"/>
    <w:rsid w:val="00642C4C"/>
    <w:rsid w:val="00643298"/>
    <w:rsid w:val="00643DEE"/>
    <w:rsid w:val="00645904"/>
    <w:rsid w:val="00651ACB"/>
    <w:rsid w:val="00651C47"/>
    <w:rsid w:val="00652AB2"/>
    <w:rsid w:val="006534E1"/>
    <w:rsid w:val="00654EC0"/>
    <w:rsid w:val="0065525B"/>
    <w:rsid w:val="00655D4F"/>
    <w:rsid w:val="0065655F"/>
    <w:rsid w:val="00657250"/>
    <w:rsid w:val="00661489"/>
    <w:rsid w:val="00662036"/>
    <w:rsid w:val="0066252C"/>
    <w:rsid w:val="0066266B"/>
    <w:rsid w:val="00664058"/>
    <w:rsid w:val="006640E5"/>
    <w:rsid w:val="006646F1"/>
    <w:rsid w:val="00664929"/>
    <w:rsid w:val="00664F62"/>
    <w:rsid w:val="006655E1"/>
    <w:rsid w:val="00672060"/>
    <w:rsid w:val="00672814"/>
    <w:rsid w:val="00672BFD"/>
    <w:rsid w:val="00675433"/>
    <w:rsid w:val="006755FE"/>
    <w:rsid w:val="00676134"/>
    <w:rsid w:val="006768CE"/>
    <w:rsid w:val="006770F4"/>
    <w:rsid w:val="00677A84"/>
    <w:rsid w:val="0068026D"/>
    <w:rsid w:val="00680A27"/>
    <w:rsid w:val="006816A4"/>
    <w:rsid w:val="0068194A"/>
    <w:rsid w:val="006819B8"/>
    <w:rsid w:val="006840A6"/>
    <w:rsid w:val="00684A31"/>
    <w:rsid w:val="006850CD"/>
    <w:rsid w:val="00685AAB"/>
    <w:rsid w:val="00685BB2"/>
    <w:rsid w:val="006860C8"/>
    <w:rsid w:val="0069037C"/>
    <w:rsid w:val="006966D3"/>
    <w:rsid w:val="006A07AA"/>
    <w:rsid w:val="006A25E5"/>
    <w:rsid w:val="006A2B46"/>
    <w:rsid w:val="006A336D"/>
    <w:rsid w:val="006A37B9"/>
    <w:rsid w:val="006A7069"/>
    <w:rsid w:val="006B04FE"/>
    <w:rsid w:val="006B1428"/>
    <w:rsid w:val="006B2672"/>
    <w:rsid w:val="006B54BF"/>
    <w:rsid w:val="006B5F44"/>
    <w:rsid w:val="006B5F90"/>
    <w:rsid w:val="006B62E4"/>
    <w:rsid w:val="006C1BBA"/>
    <w:rsid w:val="006C2079"/>
    <w:rsid w:val="006C5A62"/>
    <w:rsid w:val="006C5D68"/>
    <w:rsid w:val="006C6976"/>
    <w:rsid w:val="006C6DD0"/>
    <w:rsid w:val="006D04EA"/>
    <w:rsid w:val="006D16C4"/>
    <w:rsid w:val="006D22F1"/>
    <w:rsid w:val="006D3E96"/>
    <w:rsid w:val="006D4515"/>
    <w:rsid w:val="006D4BB1"/>
    <w:rsid w:val="006D6593"/>
    <w:rsid w:val="006D6790"/>
    <w:rsid w:val="006E18C4"/>
    <w:rsid w:val="006E398D"/>
    <w:rsid w:val="006E4792"/>
    <w:rsid w:val="006E7B3B"/>
    <w:rsid w:val="006F03A8"/>
    <w:rsid w:val="006F1F0B"/>
    <w:rsid w:val="006F20DB"/>
    <w:rsid w:val="006F2ACA"/>
    <w:rsid w:val="006F2ADC"/>
    <w:rsid w:val="006F2BFE"/>
    <w:rsid w:val="006F2F0E"/>
    <w:rsid w:val="006F31E9"/>
    <w:rsid w:val="006F6284"/>
    <w:rsid w:val="007002C5"/>
    <w:rsid w:val="00702BD9"/>
    <w:rsid w:val="00704387"/>
    <w:rsid w:val="00707669"/>
    <w:rsid w:val="0071147B"/>
    <w:rsid w:val="00711CBA"/>
    <w:rsid w:val="00711FB5"/>
    <w:rsid w:val="00712A01"/>
    <w:rsid w:val="00714D97"/>
    <w:rsid w:val="00714F58"/>
    <w:rsid w:val="00714FF6"/>
    <w:rsid w:val="00722FBF"/>
    <w:rsid w:val="00722FC2"/>
    <w:rsid w:val="00725949"/>
    <w:rsid w:val="00727FA2"/>
    <w:rsid w:val="007322D9"/>
    <w:rsid w:val="00732999"/>
    <w:rsid w:val="00732BC0"/>
    <w:rsid w:val="00733F3E"/>
    <w:rsid w:val="00735B59"/>
    <w:rsid w:val="0073720F"/>
    <w:rsid w:val="00737796"/>
    <w:rsid w:val="007406AE"/>
    <w:rsid w:val="0074165C"/>
    <w:rsid w:val="007432CA"/>
    <w:rsid w:val="007439EB"/>
    <w:rsid w:val="00743CB4"/>
    <w:rsid w:val="00743F0A"/>
    <w:rsid w:val="007444E8"/>
    <w:rsid w:val="00745267"/>
    <w:rsid w:val="0074548E"/>
    <w:rsid w:val="00745773"/>
    <w:rsid w:val="00746800"/>
    <w:rsid w:val="0074725E"/>
    <w:rsid w:val="00747A4D"/>
    <w:rsid w:val="007501A8"/>
    <w:rsid w:val="00750EE1"/>
    <w:rsid w:val="00752B4D"/>
    <w:rsid w:val="007538BE"/>
    <w:rsid w:val="00754F63"/>
    <w:rsid w:val="00755402"/>
    <w:rsid w:val="00756646"/>
    <w:rsid w:val="00756B26"/>
    <w:rsid w:val="00756EDF"/>
    <w:rsid w:val="007609A2"/>
    <w:rsid w:val="007613A2"/>
    <w:rsid w:val="00765C43"/>
    <w:rsid w:val="00765EFB"/>
    <w:rsid w:val="0076610A"/>
    <w:rsid w:val="007661C4"/>
    <w:rsid w:val="007671CA"/>
    <w:rsid w:val="0076766C"/>
    <w:rsid w:val="00767C61"/>
    <w:rsid w:val="0077008A"/>
    <w:rsid w:val="0077097A"/>
    <w:rsid w:val="00772A02"/>
    <w:rsid w:val="00773C1F"/>
    <w:rsid w:val="00774D28"/>
    <w:rsid w:val="00774DA4"/>
    <w:rsid w:val="00776599"/>
    <w:rsid w:val="0077799B"/>
    <w:rsid w:val="0078114B"/>
    <w:rsid w:val="00781C71"/>
    <w:rsid w:val="00781DD2"/>
    <w:rsid w:val="00783ECF"/>
    <w:rsid w:val="0078413A"/>
    <w:rsid w:val="00787160"/>
    <w:rsid w:val="00787F23"/>
    <w:rsid w:val="00790CA3"/>
    <w:rsid w:val="007919A1"/>
    <w:rsid w:val="007947CC"/>
    <w:rsid w:val="007959E8"/>
    <w:rsid w:val="00795E9C"/>
    <w:rsid w:val="007A0521"/>
    <w:rsid w:val="007A061E"/>
    <w:rsid w:val="007A2E12"/>
    <w:rsid w:val="007A3475"/>
    <w:rsid w:val="007A41C8"/>
    <w:rsid w:val="007A4377"/>
    <w:rsid w:val="007A54CE"/>
    <w:rsid w:val="007A75A7"/>
    <w:rsid w:val="007A7FFA"/>
    <w:rsid w:val="007B04EB"/>
    <w:rsid w:val="007B0CF1"/>
    <w:rsid w:val="007B0D4F"/>
    <w:rsid w:val="007B1FC8"/>
    <w:rsid w:val="007B2F11"/>
    <w:rsid w:val="007B5A3D"/>
    <w:rsid w:val="007B5B95"/>
    <w:rsid w:val="007B68EA"/>
    <w:rsid w:val="007C0CD0"/>
    <w:rsid w:val="007C19E8"/>
    <w:rsid w:val="007C2D89"/>
    <w:rsid w:val="007C4593"/>
    <w:rsid w:val="007C5309"/>
    <w:rsid w:val="007C6069"/>
    <w:rsid w:val="007D06C4"/>
    <w:rsid w:val="007D1352"/>
    <w:rsid w:val="007D2508"/>
    <w:rsid w:val="007D346A"/>
    <w:rsid w:val="007D4435"/>
    <w:rsid w:val="007D6518"/>
    <w:rsid w:val="007D76BD"/>
    <w:rsid w:val="007E0BF1"/>
    <w:rsid w:val="007E1F69"/>
    <w:rsid w:val="007E28C9"/>
    <w:rsid w:val="007E5C49"/>
    <w:rsid w:val="007E6231"/>
    <w:rsid w:val="007F0ED8"/>
    <w:rsid w:val="007F0F63"/>
    <w:rsid w:val="007F2766"/>
    <w:rsid w:val="007F29DA"/>
    <w:rsid w:val="007F353F"/>
    <w:rsid w:val="007F4363"/>
    <w:rsid w:val="007F4FF1"/>
    <w:rsid w:val="007F57CD"/>
    <w:rsid w:val="007F69D5"/>
    <w:rsid w:val="007F6E61"/>
    <w:rsid w:val="007F6EAE"/>
    <w:rsid w:val="007F75CE"/>
    <w:rsid w:val="00800299"/>
    <w:rsid w:val="008013A4"/>
    <w:rsid w:val="0080270D"/>
    <w:rsid w:val="008027CE"/>
    <w:rsid w:val="00802F42"/>
    <w:rsid w:val="00803665"/>
    <w:rsid w:val="00803D3F"/>
    <w:rsid w:val="00804383"/>
    <w:rsid w:val="00804BB7"/>
    <w:rsid w:val="008100D0"/>
    <w:rsid w:val="00810257"/>
    <w:rsid w:val="008104F5"/>
    <w:rsid w:val="00811072"/>
    <w:rsid w:val="00811369"/>
    <w:rsid w:val="00813153"/>
    <w:rsid w:val="00814E50"/>
    <w:rsid w:val="00815419"/>
    <w:rsid w:val="0081629A"/>
    <w:rsid w:val="008163C8"/>
    <w:rsid w:val="00816E26"/>
    <w:rsid w:val="00817325"/>
    <w:rsid w:val="008209E6"/>
    <w:rsid w:val="00821840"/>
    <w:rsid w:val="00823303"/>
    <w:rsid w:val="008233B2"/>
    <w:rsid w:val="00823A9F"/>
    <w:rsid w:val="00823C85"/>
    <w:rsid w:val="00823CD0"/>
    <w:rsid w:val="00825138"/>
    <w:rsid w:val="008269DD"/>
    <w:rsid w:val="00830621"/>
    <w:rsid w:val="0083348C"/>
    <w:rsid w:val="008373D3"/>
    <w:rsid w:val="00840617"/>
    <w:rsid w:val="00842A47"/>
    <w:rsid w:val="00842B1F"/>
    <w:rsid w:val="00843C13"/>
    <w:rsid w:val="00845131"/>
    <w:rsid w:val="008454F8"/>
    <w:rsid w:val="00847703"/>
    <w:rsid w:val="00850F8B"/>
    <w:rsid w:val="00851342"/>
    <w:rsid w:val="0085173A"/>
    <w:rsid w:val="00852913"/>
    <w:rsid w:val="008603CE"/>
    <w:rsid w:val="008620FC"/>
    <w:rsid w:val="008627A5"/>
    <w:rsid w:val="00863E05"/>
    <w:rsid w:val="00865ACA"/>
    <w:rsid w:val="00865D28"/>
    <w:rsid w:val="00865F85"/>
    <w:rsid w:val="00867C10"/>
    <w:rsid w:val="00870439"/>
    <w:rsid w:val="00870DA1"/>
    <w:rsid w:val="00870FB1"/>
    <w:rsid w:val="00880774"/>
    <w:rsid w:val="00883AC5"/>
    <w:rsid w:val="00883F93"/>
    <w:rsid w:val="00884DB3"/>
    <w:rsid w:val="00885A9D"/>
    <w:rsid w:val="00886194"/>
    <w:rsid w:val="008864F6"/>
    <w:rsid w:val="008865FE"/>
    <w:rsid w:val="0089049D"/>
    <w:rsid w:val="00891D95"/>
    <w:rsid w:val="008928C9"/>
    <w:rsid w:val="008938DC"/>
    <w:rsid w:val="00893FD1"/>
    <w:rsid w:val="008943AD"/>
    <w:rsid w:val="00894836"/>
    <w:rsid w:val="00895172"/>
    <w:rsid w:val="00895680"/>
    <w:rsid w:val="008959B3"/>
    <w:rsid w:val="00896DFF"/>
    <w:rsid w:val="0089762C"/>
    <w:rsid w:val="008A1893"/>
    <w:rsid w:val="008A23A8"/>
    <w:rsid w:val="008A6D10"/>
    <w:rsid w:val="008A769A"/>
    <w:rsid w:val="008B0700"/>
    <w:rsid w:val="008B0C9C"/>
    <w:rsid w:val="008B166D"/>
    <w:rsid w:val="008B17F4"/>
    <w:rsid w:val="008B2C98"/>
    <w:rsid w:val="008B3615"/>
    <w:rsid w:val="008B4AC4"/>
    <w:rsid w:val="008B50C8"/>
    <w:rsid w:val="008B5281"/>
    <w:rsid w:val="008B7E05"/>
    <w:rsid w:val="008B7E98"/>
    <w:rsid w:val="008C0029"/>
    <w:rsid w:val="008C1797"/>
    <w:rsid w:val="008C219C"/>
    <w:rsid w:val="008C475E"/>
    <w:rsid w:val="008C57CF"/>
    <w:rsid w:val="008C619A"/>
    <w:rsid w:val="008D0CE8"/>
    <w:rsid w:val="008D2D1D"/>
    <w:rsid w:val="008D3700"/>
    <w:rsid w:val="008D453D"/>
    <w:rsid w:val="008D53AD"/>
    <w:rsid w:val="008D562B"/>
    <w:rsid w:val="008D5733"/>
    <w:rsid w:val="008D622B"/>
    <w:rsid w:val="008D666C"/>
    <w:rsid w:val="008D7B54"/>
    <w:rsid w:val="008E0C9D"/>
    <w:rsid w:val="008E1648"/>
    <w:rsid w:val="008E1B3E"/>
    <w:rsid w:val="008E2319"/>
    <w:rsid w:val="008E2BBC"/>
    <w:rsid w:val="008E4BB6"/>
    <w:rsid w:val="008E5518"/>
    <w:rsid w:val="008E6500"/>
    <w:rsid w:val="008E6A84"/>
    <w:rsid w:val="008F0CDC"/>
    <w:rsid w:val="008F17A3"/>
    <w:rsid w:val="008F1ED3"/>
    <w:rsid w:val="008F4C29"/>
    <w:rsid w:val="008F70BD"/>
    <w:rsid w:val="008F781E"/>
    <w:rsid w:val="008F788F"/>
    <w:rsid w:val="008F7DE5"/>
    <w:rsid w:val="008F7EA2"/>
    <w:rsid w:val="00901C6E"/>
    <w:rsid w:val="00902722"/>
    <w:rsid w:val="009027BC"/>
    <w:rsid w:val="009044AA"/>
    <w:rsid w:val="009062E6"/>
    <w:rsid w:val="0091032E"/>
    <w:rsid w:val="00911BE5"/>
    <w:rsid w:val="009123E9"/>
    <w:rsid w:val="009139D7"/>
    <w:rsid w:val="00913CA9"/>
    <w:rsid w:val="009145AE"/>
    <w:rsid w:val="009146CE"/>
    <w:rsid w:val="00914CA7"/>
    <w:rsid w:val="00915C3E"/>
    <w:rsid w:val="00915F09"/>
    <w:rsid w:val="009161A8"/>
    <w:rsid w:val="0091673D"/>
    <w:rsid w:val="00917DB8"/>
    <w:rsid w:val="009245F5"/>
    <w:rsid w:val="00924612"/>
    <w:rsid w:val="009249EC"/>
    <w:rsid w:val="00926BBB"/>
    <w:rsid w:val="009273B3"/>
    <w:rsid w:val="009305B5"/>
    <w:rsid w:val="00931524"/>
    <w:rsid w:val="00934C12"/>
    <w:rsid w:val="00936A0D"/>
    <w:rsid w:val="00940377"/>
    <w:rsid w:val="009429D5"/>
    <w:rsid w:val="00942BF1"/>
    <w:rsid w:val="00943359"/>
    <w:rsid w:val="00945180"/>
    <w:rsid w:val="00945428"/>
    <w:rsid w:val="0094607B"/>
    <w:rsid w:val="00952C52"/>
    <w:rsid w:val="00953604"/>
    <w:rsid w:val="00954382"/>
    <w:rsid w:val="009553AC"/>
    <w:rsid w:val="00957690"/>
    <w:rsid w:val="00960753"/>
    <w:rsid w:val="009610DC"/>
    <w:rsid w:val="00961490"/>
    <w:rsid w:val="00962E40"/>
    <w:rsid w:val="0096381A"/>
    <w:rsid w:val="00965E04"/>
    <w:rsid w:val="009664BD"/>
    <w:rsid w:val="00966CB0"/>
    <w:rsid w:val="00967214"/>
    <w:rsid w:val="009674AD"/>
    <w:rsid w:val="0097094E"/>
    <w:rsid w:val="00970CDC"/>
    <w:rsid w:val="00976EF1"/>
    <w:rsid w:val="00977010"/>
    <w:rsid w:val="00977D02"/>
    <w:rsid w:val="009809BB"/>
    <w:rsid w:val="00982052"/>
    <w:rsid w:val="00982D22"/>
    <w:rsid w:val="0098364B"/>
    <w:rsid w:val="00983BF9"/>
    <w:rsid w:val="00983DF4"/>
    <w:rsid w:val="009906C8"/>
    <w:rsid w:val="009911AF"/>
    <w:rsid w:val="00991875"/>
    <w:rsid w:val="00991F92"/>
    <w:rsid w:val="00992985"/>
    <w:rsid w:val="00993332"/>
    <w:rsid w:val="00993889"/>
    <w:rsid w:val="0099551B"/>
    <w:rsid w:val="00997BF1"/>
    <w:rsid w:val="009A089C"/>
    <w:rsid w:val="009A118E"/>
    <w:rsid w:val="009A21CD"/>
    <w:rsid w:val="009A278C"/>
    <w:rsid w:val="009A2BC2"/>
    <w:rsid w:val="009A3EEC"/>
    <w:rsid w:val="009A3F06"/>
    <w:rsid w:val="009A42C1"/>
    <w:rsid w:val="009A4BD6"/>
    <w:rsid w:val="009A5429"/>
    <w:rsid w:val="009A610D"/>
    <w:rsid w:val="009A72AD"/>
    <w:rsid w:val="009A7418"/>
    <w:rsid w:val="009A7D54"/>
    <w:rsid w:val="009B09E0"/>
    <w:rsid w:val="009B0BC5"/>
    <w:rsid w:val="009B1247"/>
    <w:rsid w:val="009B48F4"/>
    <w:rsid w:val="009B5A81"/>
    <w:rsid w:val="009B6029"/>
    <w:rsid w:val="009B6971"/>
    <w:rsid w:val="009B6B0D"/>
    <w:rsid w:val="009B785F"/>
    <w:rsid w:val="009C00A3"/>
    <w:rsid w:val="009C27F1"/>
    <w:rsid w:val="009C3152"/>
    <w:rsid w:val="009C4CFA"/>
    <w:rsid w:val="009C5070"/>
    <w:rsid w:val="009C79AB"/>
    <w:rsid w:val="009D112C"/>
    <w:rsid w:val="009D47FA"/>
    <w:rsid w:val="009D50D2"/>
    <w:rsid w:val="009D6BCA"/>
    <w:rsid w:val="009E0F62"/>
    <w:rsid w:val="009E321A"/>
    <w:rsid w:val="009E4A58"/>
    <w:rsid w:val="009E4B00"/>
    <w:rsid w:val="009E5A2D"/>
    <w:rsid w:val="009E5AB2"/>
    <w:rsid w:val="009E6219"/>
    <w:rsid w:val="009F03B3"/>
    <w:rsid w:val="00A01757"/>
    <w:rsid w:val="00A028C0"/>
    <w:rsid w:val="00A02BAE"/>
    <w:rsid w:val="00A06A6B"/>
    <w:rsid w:val="00A07E47"/>
    <w:rsid w:val="00A11800"/>
    <w:rsid w:val="00A1187A"/>
    <w:rsid w:val="00A121B9"/>
    <w:rsid w:val="00A129D0"/>
    <w:rsid w:val="00A12C33"/>
    <w:rsid w:val="00A138BA"/>
    <w:rsid w:val="00A147E5"/>
    <w:rsid w:val="00A14C8E"/>
    <w:rsid w:val="00A1516B"/>
    <w:rsid w:val="00A153D9"/>
    <w:rsid w:val="00A15F09"/>
    <w:rsid w:val="00A169B6"/>
    <w:rsid w:val="00A16A06"/>
    <w:rsid w:val="00A21AC4"/>
    <w:rsid w:val="00A21D2C"/>
    <w:rsid w:val="00A2271D"/>
    <w:rsid w:val="00A2309C"/>
    <w:rsid w:val="00A236E5"/>
    <w:rsid w:val="00A237D5"/>
    <w:rsid w:val="00A2440C"/>
    <w:rsid w:val="00A24F7B"/>
    <w:rsid w:val="00A30901"/>
    <w:rsid w:val="00A30EFC"/>
    <w:rsid w:val="00A31984"/>
    <w:rsid w:val="00A32445"/>
    <w:rsid w:val="00A32D73"/>
    <w:rsid w:val="00A32ECE"/>
    <w:rsid w:val="00A3367B"/>
    <w:rsid w:val="00A3597D"/>
    <w:rsid w:val="00A40091"/>
    <w:rsid w:val="00A4030F"/>
    <w:rsid w:val="00A415C4"/>
    <w:rsid w:val="00A41C79"/>
    <w:rsid w:val="00A41CB5"/>
    <w:rsid w:val="00A42539"/>
    <w:rsid w:val="00A42CDF"/>
    <w:rsid w:val="00A4452E"/>
    <w:rsid w:val="00A4472C"/>
    <w:rsid w:val="00A44E69"/>
    <w:rsid w:val="00A462C9"/>
    <w:rsid w:val="00A4661E"/>
    <w:rsid w:val="00A50DA9"/>
    <w:rsid w:val="00A53B03"/>
    <w:rsid w:val="00A558B3"/>
    <w:rsid w:val="00A55BD6"/>
    <w:rsid w:val="00A55D50"/>
    <w:rsid w:val="00A57142"/>
    <w:rsid w:val="00A57226"/>
    <w:rsid w:val="00A57341"/>
    <w:rsid w:val="00A64662"/>
    <w:rsid w:val="00A648CD"/>
    <w:rsid w:val="00A6537A"/>
    <w:rsid w:val="00A67866"/>
    <w:rsid w:val="00A67881"/>
    <w:rsid w:val="00A70B07"/>
    <w:rsid w:val="00A722C8"/>
    <w:rsid w:val="00A723F8"/>
    <w:rsid w:val="00A75864"/>
    <w:rsid w:val="00A77233"/>
    <w:rsid w:val="00A77CCB"/>
    <w:rsid w:val="00A835BF"/>
    <w:rsid w:val="00A83D8D"/>
    <w:rsid w:val="00A8446B"/>
    <w:rsid w:val="00A8473F"/>
    <w:rsid w:val="00A862D6"/>
    <w:rsid w:val="00A868B3"/>
    <w:rsid w:val="00A8715E"/>
    <w:rsid w:val="00A9295B"/>
    <w:rsid w:val="00A92AE7"/>
    <w:rsid w:val="00A93B03"/>
    <w:rsid w:val="00A93B09"/>
    <w:rsid w:val="00A952D7"/>
    <w:rsid w:val="00A95595"/>
    <w:rsid w:val="00A963F7"/>
    <w:rsid w:val="00A96AD8"/>
    <w:rsid w:val="00A97BC8"/>
    <w:rsid w:val="00AA052C"/>
    <w:rsid w:val="00AA156D"/>
    <w:rsid w:val="00AA1E45"/>
    <w:rsid w:val="00AA25E6"/>
    <w:rsid w:val="00AA2A24"/>
    <w:rsid w:val="00AA4286"/>
    <w:rsid w:val="00AA456B"/>
    <w:rsid w:val="00AA57F5"/>
    <w:rsid w:val="00AA672E"/>
    <w:rsid w:val="00AA6EC9"/>
    <w:rsid w:val="00AB5AB9"/>
    <w:rsid w:val="00AB6309"/>
    <w:rsid w:val="00AB6C5F"/>
    <w:rsid w:val="00AB7129"/>
    <w:rsid w:val="00AB7DB3"/>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D53FB"/>
    <w:rsid w:val="00AE070A"/>
    <w:rsid w:val="00AE101C"/>
    <w:rsid w:val="00AE3CA9"/>
    <w:rsid w:val="00AE49A4"/>
    <w:rsid w:val="00AF0C18"/>
    <w:rsid w:val="00AF0CDD"/>
    <w:rsid w:val="00AF33D6"/>
    <w:rsid w:val="00AF47C5"/>
    <w:rsid w:val="00AF5398"/>
    <w:rsid w:val="00AF59D4"/>
    <w:rsid w:val="00AF748C"/>
    <w:rsid w:val="00B02B6D"/>
    <w:rsid w:val="00B02F79"/>
    <w:rsid w:val="00B049AF"/>
    <w:rsid w:val="00B05583"/>
    <w:rsid w:val="00B07242"/>
    <w:rsid w:val="00B10534"/>
    <w:rsid w:val="00B113DB"/>
    <w:rsid w:val="00B1149F"/>
    <w:rsid w:val="00B11D8A"/>
    <w:rsid w:val="00B12981"/>
    <w:rsid w:val="00B1424B"/>
    <w:rsid w:val="00B142B6"/>
    <w:rsid w:val="00B147DD"/>
    <w:rsid w:val="00B14F51"/>
    <w:rsid w:val="00B156FD"/>
    <w:rsid w:val="00B165C7"/>
    <w:rsid w:val="00B17288"/>
    <w:rsid w:val="00B21F61"/>
    <w:rsid w:val="00B22157"/>
    <w:rsid w:val="00B229C9"/>
    <w:rsid w:val="00B23045"/>
    <w:rsid w:val="00B23A69"/>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28CA"/>
    <w:rsid w:val="00B54ABC"/>
    <w:rsid w:val="00B55403"/>
    <w:rsid w:val="00B56FBE"/>
    <w:rsid w:val="00B62B58"/>
    <w:rsid w:val="00B6334A"/>
    <w:rsid w:val="00B63CE5"/>
    <w:rsid w:val="00B65149"/>
    <w:rsid w:val="00B66567"/>
    <w:rsid w:val="00B66F52"/>
    <w:rsid w:val="00B66FE5"/>
    <w:rsid w:val="00B675B7"/>
    <w:rsid w:val="00B72880"/>
    <w:rsid w:val="00B758BF"/>
    <w:rsid w:val="00B81E88"/>
    <w:rsid w:val="00B82791"/>
    <w:rsid w:val="00B827A6"/>
    <w:rsid w:val="00B831CE"/>
    <w:rsid w:val="00B86677"/>
    <w:rsid w:val="00B87131"/>
    <w:rsid w:val="00B87132"/>
    <w:rsid w:val="00B9127B"/>
    <w:rsid w:val="00B91566"/>
    <w:rsid w:val="00B9320C"/>
    <w:rsid w:val="00B939B1"/>
    <w:rsid w:val="00B94D54"/>
    <w:rsid w:val="00B96D40"/>
    <w:rsid w:val="00B97386"/>
    <w:rsid w:val="00BA263B"/>
    <w:rsid w:val="00BA2FB7"/>
    <w:rsid w:val="00BA374C"/>
    <w:rsid w:val="00BA42B2"/>
    <w:rsid w:val="00BA4BC6"/>
    <w:rsid w:val="00BA58D4"/>
    <w:rsid w:val="00BA5B9E"/>
    <w:rsid w:val="00BA7C9A"/>
    <w:rsid w:val="00BB2F7F"/>
    <w:rsid w:val="00BB5F8F"/>
    <w:rsid w:val="00BB657A"/>
    <w:rsid w:val="00BB6D48"/>
    <w:rsid w:val="00BB7A66"/>
    <w:rsid w:val="00BC1A4E"/>
    <w:rsid w:val="00BC1AE1"/>
    <w:rsid w:val="00BC1CCE"/>
    <w:rsid w:val="00BC356D"/>
    <w:rsid w:val="00BC5DC7"/>
    <w:rsid w:val="00BC6B8B"/>
    <w:rsid w:val="00BC73D8"/>
    <w:rsid w:val="00BD1283"/>
    <w:rsid w:val="00BD1731"/>
    <w:rsid w:val="00BD31CC"/>
    <w:rsid w:val="00BD52D7"/>
    <w:rsid w:val="00BD5AD2"/>
    <w:rsid w:val="00BD6082"/>
    <w:rsid w:val="00BE0FB7"/>
    <w:rsid w:val="00BE22F3"/>
    <w:rsid w:val="00BE3B34"/>
    <w:rsid w:val="00BE49EE"/>
    <w:rsid w:val="00BE5A0F"/>
    <w:rsid w:val="00BE5B52"/>
    <w:rsid w:val="00BE7B8D"/>
    <w:rsid w:val="00BF0993"/>
    <w:rsid w:val="00BF10A9"/>
    <w:rsid w:val="00BF1703"/>
    <w:rsid w:val="00BF231C"/>
    <w:rsid w:val="00BF2E0D"/>
    <w:rsid w:val="00BF51E5"/>
    <w:rsid w:val="00BF5886"/>
    <w:rsid w:val="00BF7003"/>
    <w:rsid w:val="00BF74A6"/>
    <w:rsid w:val="00C013AD"/>
    <w:rsid w:val="00C0233B"/>
    <w:rsid w:val="00C04904"/>
    <w:rsid w:val="00C056B3"/>
    <w:rsid w:val="00C05A6E"/>
    <w:rsid w:val="00C0779A"/>
    <w:rsid w:val="00C07C6A"/>
    <w:rsid w:val="00C103E5"/>
    <w:rsid w:val="00C11000"/>
    <w:rsid w:val="00C13319"/>
    <w:rsid w:val="00C13EE9"/>
    <w:rsid w:val="00C14D87"/>
    <w:rsid w:val="00C21540"/>
    <w:rsid w:val="00C21906"/>
    <w:rsid w:val="00C21BFA"/>
    <w:rsid w:val="00C225B6"/>
    <w:rsid w:val="00C22EFB"/>
    <w:rsid w:val="00C2368F"/>
    <w:rsid w:val="00C24C8D"/>
    <w:rsid w:val="00C25FE2"/>
    <w:rsid w:val="00C26B53"/>
    <w:rsid w:val="00C279B2"/>
    <w:rsid w:val="00C33E50"/>
    <w:rsid w:val="00C3474D"/>
    <w:rsid w:val="00C34C20"/>
    <w:rsid w:val="00C34CEE"/>
    <w:rsid w:val="00C35A3E"/>
    <w:rsid w:val="00C42130"/>
    <w:rsid w:val="00C423A4"/>
    <w:rsid w:val="00C43999"/>
    <w:rsid w:val="00C44BF5"/>
    <w:rsid w:val="00C513F5"/>
    <w:rsid w:val="00C54CF6"/>
    <w:rsid w:val="00C55232"/>
    <w:rsid w:val="00C553A4"/>
    <w:rsid w:val="00C55A06"/>
    <w:rsid w:val="00C55D03"/>
    <w:rsid w:val="00C601BC"/>
    <w:rsid w:val="00C60C63"/>
    <w:rsid w:val="00C6329F"/>
    <w:rsid w:val="00C63340"/>
    <w:rsid w:val="00C643F9"/>
    <w:rsid w:val="00C64E95"/>
    <w:rsid w:val="00C655FD"/>
    <w:rsid w:val="00C65A72"/>
    <w:rsid w:val="00C7083F"/>
    <w:rsid w:val="00C71372"/>
    <w:rsid w:val="00C71552"/>
    <w:rsid w:val="00C71B9A"/>
    <w:rsid w:val="00C72410"/>
    <w:rsid w:val="00C7287F"/>
    <w:rsid w:val="00C72F0E"/>
    <w:rsid w:val="00C75DD3"/>
    <w:rsid w:val="00C77BCB"/>
    <w:rsid w:val="00C80CB8"/>
    <w:rsid w:val="00C819F8"/>
    <w:rsid w:val="00C8248C"/>
    <w:rsid w:val="00C83A57"/>
    <w:rsid w:val="00C84E33"/>
    <w:rsid w:val="00C855E8"/>
    <w:rsid w:val="00C85BDC"/>
    <w:rsid w:val="00C86D6F"/>
    <w:rsid w:val="00C905FC"/>
    <w:rsid w:val="00C92D03"/>
    <w:rsid w:val="00C92EC1"/>
    <w:rsid w:val="00C9319C"/>
    <w:rsid w:val="00C9378A"/>
    <w:rsid w:val="00C9435D"/>
    <w:rsid w:val="00C9517F"/>
    <w:rsid w:val="00C95184"/>
    <w:rsid w:val="00C957BD"/>
    <w:rsid w:val="00C96741"/>
    <w:rsid w:val="00CA1129"/>
    <w:rsid w:val="00CA1A57"/>
    <w:rsid w:val="00CA26B3"/>
    <w:rsid w:val="00CA2D1B"/>
    <w:rsid w:val="00CA3924"/>
    <w:rsid w:val="00CA662A"/>
    <w:rsid w:val="00CA7AFD"/>
    <w:rsid w:val="00CA7C3C"/>
    <w:rsid w:val="00CB0189"/>
    <w:rsid w:val="00CB0BA2"/>
    <w:rsid w:val="00CB1817"/>
    <w:rsid w:val="00CB1A42"/>
    <w:rsid w:val="00CB1B0C"/>
    <w:rsid w:val="00CB2C0B"/>
    <w:rsid w:val="00CB40F9"/>
    <w:rsid w:val="00CB517D"/>
    <w:rsid w:val="00CC0122"/>
    <w:rsid w:val="00CC035A"/>
    <w:rsid w:val="00CC038D"/>
    <w:rsid w:val="00CC085D"/>
    <w:rsid w:val="00CC39FF"/>
    <w:rsid w:val="00CC3C2F"/>
    <w:rsid w:val="00CC45E6"/>
    <w:rsid w:val="00CC4AC8"/>
    <w:rsid w:val="00CC5233"/>
    <w:rsid w:val="00CC5D1F"/>
    <w:rsid w:val="00CC5DE6"/>
    <w:rsid w:val="00CC6525"/>
    <w:rsid w:val="00CC6C2B"/>
    <w:rsid w:val="00CC6E4E"/>
    <w:rsid w:val="00CC6FE8"/>
    <w:rsid w:val="00CC7202"/>
    <w:rsid w:val="00CC7BA3"/>
    <w:rsid w:val="00CD2808"/>
    <w:rsid w:val="00CD28BF"/>
    <w:rsid w:val="00CD4092"/>
    <w:rsid w:val="00CD4A20"/>
    <w:rsid w:val="00CD50A1"/>
    <w:rsid w:val="00CD519E"/>
    <w:rsid w:val="00CE0620"/>
    <w:rsid w:val="00CE0C4F"/>
    <w:rsid w:val="00CE30EA"/>
    <w:rsid w:val="00CF048A"/>
    <w:rsid w:val="00CF0FCB"/>
    <w:rsid w:val="00CF155A"/>
    <w:rsid w:val="00CF2947"/>
    <w:rsid w:val="00CF30A0"/>
    <w:rsid w:val="00CF310B"/>
    <w:rsid w:val="00CF44B1"/>
    <w:rsid w:val="00CF686F"/>
    <w:rsid w:val="00CF6E60"/>
    <w:rsid w:val="00CF7BCA"/>
    <w:rsid w:val="00D008FD"/>
    <w:rsid w:val="00D02981"/>
    <w:rsid w:val="00D0321C"/>
    <w:rsid w:val="00D035EC"/>
    <w:rsid w:val="00D03B03"/>
    <w:rsid w:val="00D03C34"/>
    <w:rsid w:val="00D046D6"/>
    <w:rsid w:val="00D05E1A"/>
    <w:rsid w:val="00D06AB1"/>
    <w:rsid w:val="00D072ED"/>
    <w:rsid w:val="00D07A16"/>
    <w:rsid w:val="00D1067E"/>
    <w:rsid w:val="00D10F50"/>
    <w:rsid w:val="00D11272"/>
    <w:rsid w:val="00D126F5"/>
    <w:rsid w:val="00D1489E"/>
    <w:rsid w:val="00D16CA9"/>
    <w:rsid w:val="00D17226"/>
    <w:rsid w:val="00D20737"/>
    <w:rsid w:val="00D21E81"/>
    <w:rsid w:val="00D223DE"/>
    <w:rsid w:val="00D23AA6"/>
    <w:rsid w:val="00D24ECC"/>
    <w:rsid w:val="00D2584D"/>
    <w:rsid w:val="00D25E37"/>
    <w:rsid w:val="00D25E3B"/>
    <w:rsid w:val="00D261CD"/>
    <w:rsid w:val="00D2661A"/>
    <w:rsid w:val="00D27582"/>
    <w:rsid w:val="00D32719"/>
    <w:rsid w:val="00D33333"/>
    <w:rsid w:val="00D33A55"/>
    <w:rsid w:val="00D34477"/>
    <w:rsid w:val="00D352A2"/>
    <w:rsid w:val="00D40A83"/>
    <w:rsid w:val="00D4162B"/>
    <w:rsid w:val="00D41D20"/>
    <w:rsid w:val="00D43394"/>
    <w:rsid w:val="00D442F3"/>
    <w:rsid w:val="00D4514F"/>
    <w:rsid w:val="00D451E2"/>
    <w:rsid w:val="00D4545E"/>
    <w:rsid w:val="00D45E89"/>
    <w:rsid w:val="00D45E8D"/>
    <w:rsid w:val="00D466AE"/>
    <w:rsid w:val="00D46BEA"/>
    <w:rsid w:val="00D47000"/>
    <w:rsid w:val="00D4734F"/>
    <w:rsid w:val="00D5149E"/>
    <w:rsid w:val="00D51BF3"/>
    <w:rsid w:val="00D53A01"/>
    <w:rsid w:val="00D608B3"/>
    <w:rsid w:val="00D60D4C"/>
    <w:rsid w:val="00D63276"/>
    <w:rsid w:val="00D66846"/>
    <w:rsid w:val="00D675FB"/>
    <w:rsid w:val="00D71F25"/>
    <w:rsid w:val="00D721ED"/>
    <w:rsid w:val="00D7499B"/>
    <w:rsid w:val="00D77031"/>
    <w:rsid w:val="00D80689"/>
    <w:rsid w:val="00D816F8"/>
    <w:rsid w:val="00D84207"/>
    <w:rsid w:val="00D84941"/>
    <w:rsid w:val="00D84FA1"/>
    <w:rsid w:val="00D851F0"/>
    <w:rsid w:val="00D858E9"/>
    <w:rsid w:val="00D86DB7"/>
    <w:rsid w:val="00D87EE7"/>
    <w:rsid w:val="00D923E0"/>
    <w:rsid w:val="00D926D0"/>
    <w:rsid w:val="00D92810"/>
    <w:rsid w:val="00D93030"/>
    <w:rsid w:val="00D93299"/>
    <w:rsid w:val="00D949D2"/>
    <w:rsid w:val="00D950E1"/>
    <w:rsid w:val="00D952A6"/>
    <w:rsid w:val="00D955D9"/>
    <w:rsid w:val="00D96283"/>
    <w:rsid w:val="00D97F99"/>
    <w:rsid w:val="00DA19E7"/>
    <w:rsid w:val="00DA1D44"/>
    <w:rsid w:val="00DA1E08"/>
    <w:rsid w:val="00DA24F8"/>
    <w:rsid w:val="00DA28E8"/>
    <w:rsid w:val="00DA38D3"/>
    <w:rsid w:val="00DA3932"/>
    <w:rsid w:val="00DA64F8"/>
    <w:rsid w:val="00DA6B59"/>
    <w:rsid w:val="00DA6C15"/>
    <w:rsid w:val="00DA7370"/>
    <w:rsid w:val="00DB2AFC"/>
    <w:rsid w:val="00DB38EE"/>
    <w:rsid w:val="00DB3F10"/>
    <w:rsid w:val="00DB498B"/>
    <w:rsid w:val="00DB66CA"/>
    <w:rsid w:val="00DB6BCA"/>
    <w:rsid w:val="00DB712A"/>
    <w:rsid w:val="00DC0321"/>
    <w:rsid w:val="00DC3067"/>
    <w:rsid w:val="00DC370B"/>
    <w:rsid w:val="00DC3A12"/>
    <w:rsid w:val="00DC5B90"/>
    <w:rsid w:val="00DD00F2"/>
    <w:rsid w:val="00DD00FF"/>
    <w:rsid w:val="00DD0619"/>
    <w:rsid w:val="00DD07FB"/>
    <w:rsid w:val="00DD1106"/>
    <w:rsid w:val="00DD1753"/>
    <w:rsid w:val="00DD25C6"/>
    <w:rsid w:val="00DD37D0"/>
    <w:rsid w:val="00DD54B0"/>
    <w:rsid w:val="00DD57EE"/>
    <w:rsid w:val="00DD641C"/>
    <w:rsid w:val="00DD6BCC"/>
    <w:rsid w:val="00DE0A4B"/>
    <w:rsid w:val="00DE0E91"/>
    <w:rsid w:val="00DE2410"/>
    <w:rsid w:val="00DE2939"/>
    <w:rsid w:val="00DE454E"/>
    <w:rsid w:val="00DE51F0"/>
    <w:rsid w:val="00DE534F"/>
    <w:rsid w:val="00DE6E81"/>
    <w:rsid w:val="00DE703F"/>
    <w:rsid w:val="00DE7595"/>
    <w:rsid w:val="00DF02AD"/>
    <w:rsid w:val="00DF15BE"/>
    <w:rsid w:val="00DF1961"/>
    <w:rsid w:val="00DF1E09"/>
    <w:rsid w:val="00DF302C"/>
    <w:rsid w:val="00DF3848"/>
    <w:rsid w:val="00DF44DE"/>
    <w:rsid w:val="00E0050B"/>
    <w:rsid w:val="00E00BF8"/>
    <w:rsid w:val="00E00C33"/>
    <w:rsid w:val="00E01138"/>
    <w:rsid w:val="00E02DFB"/>
    <w:rsid w:val="00E030F9"/>
    <w:rsid w:val="00E0311A"/>
    <w:rsid w:val="00E03138"/>
    <w:rsid w:val="00E033B2"/>
    <w:rsid w:val="00E03F79"/>
    <w:rsid w:val="00E06404"/>
    <w:rsid w:val="00E11A85"/>
    <w:rsid w:val="00E12495"/>
    <w:rsid w:val="00E12D1C"/>
    <w:rsid w:val="00E144CE"/>
    <w:rsid w:val="00E15CCD"/>
    <w:rsid w:val="00E202EF"/>
    <w:rsid w:val="00E210B5"/>
    <w:rsid w:val="00E2352A"/>
    <w:rsid w:val="00E243C3"/>
    <w:rsid w:val="00E24A47"/>
    <w:rsid w:val="00E2552F"/>
    <w:rsid w:val="00E2555D"/>
    <w:rsid w:val="00E3137A"/>
    <w:rsid w:val="00E32CCF"/>
    <w:rsid w:val="00E34A98"/>
    <w:rsid w:val="00E35D1E"/>
    <w:rsid w:val="00E364F9"/>
    <w:rsid w:val="00E365FA"/>
    <w:rsid w:val="00E40C94"/>
    <w:rsid w:val="00E413FE"/>
    <w:rsid w:val="00E43C0E"/>
    <w:rsid w:val="00E44A83"/>
    <w:rsid w:val="00E44CE9"/>
    <w:rsid w:val="00E462B7"/>
    <w:rsid w:val="00E502C1"/>
    <w:rsid w:val="00E502DD"/>
    <w:rsid w:val="00E50D3A"/>
    <w:rsid w:val="00E5118B"/>
    <w:rsid w:val="00E51250"/>
    <w:rsid w:val="00E51387"/>
    <w:rsid w:val="00E51E68"/>
    <w:rsid w:val="00E52EFD"/>
    <w:rsid w:val="00E535B2"/>
    <w:rsid w:val="00E5408A"/>
    <w:rsid w:val="00E55180"/>
    <w:rsid w:val="00E56800"/>
    <w:rsid w:val="00E60CD7"/>
    <w:rsid w:val="00E621BC"/>
    <w:rsid w:val="00E62FF9"/>
    <w:rsid w:val="00E635D6"/>
    <w:rsid w:val="00E639BC"/>
    <w:rsid w:val="00E64354"/>
    <w:rsid w:val="00E6468D"/>
    <w:rsid w:val="00E6592F"/>
    <w:rsid w:val="00E664CC"/>
    <w:rsid w:val="00E66E3D"/>
    <w:rsid w:val="00E70242"/>
    <w:rsid w:val="00E70388"/>
    <w:rsid w:val="00E70F92"/>
    <w:rsid w:val="00E7216A"/>
    <w:rsid w:val="00E749FF"/>
    <w:rsid w:val="00E74C54"/>
    <w:rsid w:val="00E75043"/>
    <w:rsid w:val="00E77A03"/>
    <w:rsid w:val="00E822E8"/>
    <w:rsid w:val="00E82554"/>
    <w:rsid w:val="00E82606"/>
    <w:rsid w:val="00E846C8"/>
    <w:rsid w:val="00E84957"/>
    <w:rsid w:val="00E84A55"/>
    <w:rsid w:val="00E85BFF"/>
    <w:rsid w:val="00E90391"/>
    <w:rsid w:val="00E906C2"/>
    <w:rsid w:val="00E92412"/>
    <w:rsid w:val="00E9311F"/>
    <w:rsid w:val="00E934D1"/>
    <w:rsid w:val="00E94AF0"/>
    <w:rsid w:val="00E95D13"/>
    <w:rsid w:val="00E95DD3"/>
    <w:rsid w:val="00E969D5"/>
    <w:rsid w:val="00E974CF"/>
    <w:rsid w:val="00EA1052"/>
    <w:rsid w:val="00EA58D1"/>
    <w:rsid w:val="00EA61BC"/>
    <w:rsid w:val="00EA681A"/>
    <w:rsid w:val="00EA735B"/>
    <w:rsid w:val="00EB1720"/>
    <w:rsid w:val="00EB1E69"/>
    <w:rsid w:val="00EB2086"/>
    <w:rsid w:val="00EB5EDF"/>
    <w:rsid w:val="00EB60FE"/>
    <w:rsid w:val="00EB74DB"/>
    <w:rsid w:val="00EC3A5B"/>
    <w:rsid w:val="00EC5359"/>
    <w:rsid w:val="00EC562A"/>
    <w:rsid w:val="00ED067A"/>
    <w:rsid w:val="00ED0C86"/>
    <w:rsid w:val="00ED26EB"/>
    <w:rsid w:val="00ED28EC"/>
    <w:rsid w:val="00ED2B50"/>
    <w:rsid w:val="00EE0350"/>
    <w:rsid w:val="00EE0719"/>
    <w:rsid w:val="00EE0E80"/>
    <w:rsid w:val="00EE26BD"/>
    <w:rsid w:val="00EE50B7"/>
    <w:rsid w:val="00EE613F"/>
    <w:rsid w:val="00EE7295"/>
    <w:rsid w:val="00EE7869"/>
    <w:rsid w:val="00EF054A"/>
    <w:rsid w:val="00EF3235"/>
    <w:rsid w:val="00EF35D7"/>
    <w:rsid w:val="00EF6E33"/>
    <w:rsid w:val="00EF7E72"/>
    <w:rsid w:val="00F06D37"/>
    <w:rsid w:val="00F07B9D"/>
    <w:rsid w:val="00F11586"/>
    <w:rsid w:val="00F1183B"/>
    <w:rsid w:val="00F11C9F"/>
    <w:rsid w:val="00F12263"/>
    <w:rsid w:val="00F1409D"/>
    <w:rsid w:val="00F14214"/>
    <w:rsid w:val="00F146BD"/>
    <w:rsid w:val="00F157A9"/>
    <w:rsid w:val="00F178CD"/>
    <w:rsid w:val="00F17F53"/>
    <w:rsid w:val="00F22298"/>
    <w:rsid w:val="00F23297"/>
    <w:rsid w:val="00F24A7E"/>
    <w:rsid w:val="00F25128"/>
    <w:rsid w:val="00F25BB6"/>
    <w:rsid w:val="00F2637A"/>
    <w:rsid w:val="00F2667B"/>
    <w:rsid w:val="00F26B7E"/>
    <w:rsid w:val="00F27323"/>
    <w:rsid w:val="00F27A3B"/>
    <w:rsid w:val="00F326F5"/>
    <w:rsid w:val="00F33817"/>
    <w:rsid w:val="00F362AE"/>
    <w:rsid w:val="00F420D5"/>
    <w:rsid w:val="00F451EA"/>
    <w:rsid w:val="00F45447"/>
    <w:rsid w:val="00F456C6"/>
    <w:rsid w:val="00F4577B"/>
    <w:rsid w:val="00F46496"/>
    <w:rsid w:val="00F474D0"/>
    <w:rsid w:val="00F47639"/>
    <w:rsid w:val="00F478DC"/>
    <w:rsid w:val="00F50179"/>
    <w:rsid w:val="00F553AB"/>
    <w:rsid w:val="00F56511"/>
    <w:rsid w:val="00F6194E"/>
    <w:rsid w:val="00F623AC"/>
    <w:rsid w:val="00F63CDD"/>
    <w:rsid w:val="00F6412A"/>
    <w:rsid w:val="00F65893"/>
    <w:rsid w:val="00F66A4A"/>
    <w:rsid w:val="00F670FB"/>
    <w:rsid w:val="00F67AD0"/>
    <w:rsid w:val="00F71E22"/>
    <w:rsid w:val="00F72142"/>
    <w:rsid w:val="00F72AE7"/>
    <w:rsid w:val="00F74FFF"/>
    <w:rsid w:val="00F75A6D"/>
    <w:rsid w:val="00F84934"/>
    <w:rsid w:val="00F84FD0"/>
    <w:rsid w:val="00F859A8"/>
    <w:rsid w:val="00F86DC5"/>
    <w:rsid w:val="00F9108B"/>
    <w:rsid w:val="00F91349"/>
    <w:rsid w:val="00F91D8C"/>
    <w:rsid w:val="00F93152"/>
    <w:rsid w:val="00F93A8A"/>
    <w:rsid w:val="00F94C97"/>
    <w:rsid w:val="00F95248"/>
    <w:rsid w:val="00F956A9"/>
    <w:rsid w:val="00F963ED"/>
    <w:rsid w:val="00F966CF"/>
    <w:rsid w:val="00F96CAE"/>
    <w:rsid w:val="00F97C99"/>
    <w:rsid w:val="00FA2AD8"/>
    <w:rsid w:val="00FA662D"/>
    <w:rsid w:val="00FA73B1"/>
    <w:rsid w:val="00FB0CB9"/>
    <w:rsid w:val="00FB0E25"/>
    <w:rsid w:val="00FB45F1"/>
    <w:rsid w:val="00FB4A72"/>
    <w:rsid w:val="00FB54E8"/>
    <w:rsid w:val="00FB57A3"/>
    <w:rsid w:val="00FB7054"/>
    <w:rsid w:val="00FC17B7"/>
    <w:rsid w:val="00FC24C5"/>
    <w:rsid w:val="00FC2CB7"/>
    <w:rsid w:val="00FC4090"/>
    <w:rsid w:val="00FC55B4"/>
    <w:rsid w:val="00FC55F3"/>
    <w:rsid w:val="00FC5BEB"/>
    <w:rsid w:val="00FD00E6"/>
    <w:rsid w:val="00FD09A1"/>
    <w:rsid w:val="00FD1D1C"/>
    <w:rsid w:val="00FD2A7C"/>
    <w:rsid w:val="00FD59EB"/>
    <w:rsid w:val="00FD7299"/>
    <w:rsid w:val="00FE1FBE"/>
    <w:rsid w:val="00FE3901"/>
    <w:rsid w:val="00FE3EAB"/>
    <w:rsid w:val="00FE4BCE"/>
    <w:rsid w:val="00FE54AE"/>
    <w:rsid w:val="00FE576A"/>
    <w:rsid w:val="00FE61CF"/>
    <w:rsid w:val="00FE70F9"/>
    <w:rsid w:val="00FE7E79"/>
    <w:rsid w:val="00FF0A65"/>
    <w:rsid w:val="00FF3A6A"/>
    <w:rsid w:val="00FF3E7D"/>
    <w:rsid w:val="00FF5B99"/>
    <w:rsid w:val="00FF61F1"/>
    <w:rsid w:val="00FF730C"/>
    <w:rsid w:val="00FF73F4"/>
    <w:rsid w:val="00FF7CE4"/>
    <w:rsid w:val="00FF7E39"/>
    <w:rsid w:val="09CE0873"/>
    <w:rsid w:val="0E5D01A9"/>
    <w:rsid w:val="1A1360B1"/>
    <w:rsid w:val="208E58E4"/>
    <w:rsid w:val="214A6623"/>
    <w:rsid w:val="28BE164B"/>
    <w:rsid w:val="2B270D8D"/>
    <w:rsid w:val="2E1C1E9F"/>
    <w:rsid w:val="30E46743"/>
    <w:rsid w:val="31696891"/>
    <w:rsid w:val="3378714F"/>
    <w:rsid w:val="337C66F0"/>
    <w:rsid w:val="337D1097"/>
    <w:rsid w:val="35583FC1"/>
    <w:rsid w:val="39894191"/>
    <w:rsid w:val="39C746FD"/>
    <w:rsid w:val="3B374200"/>
    <w:rsid w:val="3D2839CF"/>
    <w:rsid w:val="3E63508E"/>
    <w:rsid w:val="459F1E78"/>
    <w:rsid w:val="49B33A3D"/>
    <w:rsid w:val="53E1655F"/>
    <w:rsid w:val="55EF6BC7"/>
    <w:rsid w:val="5A9C7F8C"/>
    <w:rsid w:val="5BEC74CC"/>
    <w:rsid w:val="5FBFD73C"/>
    <w:rsid w:val="6F145041"/>
    <w:rsid w:val="75FFBC58"/>
    <w:rsid w:val="767F4E14"/>
    <w:rsid w:val="78682999"/>
    <w:rsid w:val="7BF74987"/>
    <w:rsid w:val="7EEE2680"/>
    <w:rsid w:val="FDFE1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paragraph" w:styleId="5">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Document Map"/>
    <w:basedOn w:val="1"/>
    <w:link w:val="236"/>
    <w:semiHidden/>
    <w:unhideWhenUsed/>
    <w:qFormat/>
    <w:uiPriority w:val="99"/>
    <w:rPr>
      <w:rFonts w:ascii="宋体"/>
      <w:sz w:val="18"/>
      <w:szCs w:val="18"/>
    </w:rPr>
  </w:style>
  <w:style w:type="paragraph" w:styleId="14">
    <w:name w:val="annotation text"/>
    <w:basedOn w:val="1"/>
    <w:link w:val="237"/>
    <w:unhideWhenUsed/>
    <w:qFormat/>
    <w:uiPriority w:val="99"/>
    <w:pPr>
      <w:jc w:val="left"/>
    </w:pPr>
  </w:style>
  <w:style w:type="paragraph" w:styleId="15">
    <w:name w:val="Body Text"/>
    <w:basedOn w:val="1"/>
    <w:link w:val="91"/>
    <w:qFormat/>
    <w:uiPriority w:val="0"/>
    <w:pPr>
      <w:spacing w:after="120"/>
    </w:p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Date"/>
    <w:basedOn w:val="1"/>
    <w:next w:val="1"/>
    <w:link w:val="240"/>
    <w:semiHidden/>
    <w:unhideWhenUsed/>
    <w:qFormat/>
    <w:uiPriority w:val="99"/>
    <w:pPr>
      <w:ind w:left="100" w:leftChars="2500"/>
    </w:pPr>
  </w:style>
  <w:style w:type="paragraph" w:styleId="19">
    <w:name w:val="Balloon Text"/>
    <w:basedOn w:val="1"/>
    <w:link w:val="50"/>
    <w:semiHidden/>
    <w:unhideWhenUsed/>
    <w:qFormat/>
    <w:uiPriority w:val="99"/>
    <w:rPr>
      <w:sz w:val="18"/>
      <w:szCs w:val="18"/>
    </w:rPr>
  </w:style>
  <w:style w:type="paragraph" w:styleId="20">
    <w:name w:val="footer"/>
    <w:basedOn w:val="1"/>
    <w:link w:val="49"/>
    <w:qFormat/>
    <w:uiPriority w:val="99"/>
    <w:pPr>
      <w:tabs>
        <w:tab w:val="center" w:pos="4153"/>
        <w:tab w:val="right" w:pos="8306"/>
      </w:tabs>
      <w:adjustRightInd/>
      <w:snapToGrid w:val="0"/>
      <w:spacing w:line="240" w:lineRule="auto"/>
      <w:jc w:val="right"/>
    </w:pPr>
    <w:rPr>
      <w:rFonts w:ascii="宋体"/>
      <w:sz w:val="18"/>
      <w:szCs w:val="18"/>
    </w:rPr>
  </w:style>
  <w:style w:type="paragraph" w:styleId="21">
    <w:name w:val="header"/>
    <w:basedOn w:val="1"/>
    <w:link w:val="48"/>
    <w:qFormat/>
    <w:uiPriority w:val="99"/>
    <w:pPr>
      <w:tabs>
        <w:tab w:val="center" w:pos="4153"/>
        <w:tab w:val="right" w:pos="8306"/>
      </w:tabs>
      <w:adjustRightInd/>
      <w:snapToGrid w:val="0"/>
      <w:jc w:val="center"/>
    </w:pPr>
    <w:rPr>
      <w:sz w:val="18"/>
      <w:szCs w:val="18"/>
    </w:rPr>
  </w:style>
  <w:style w:type="paragraph" w:styleId="22">
    <w:name w:val="toc 1"/>
    <w:basedOn w:val="1"/>
    <w:next w:val="1"/>
    <w:unhideWhenUsed/>
    <w:qFormat/>
    <w:uiPriority w:val="39"/>
    <w:pPr>
      <w:tabs>
        <w:tab w:val="right" w:leader="dot" w:pos="9344"/>
      </w:tabs>
    </w:pPr>
    <w:rPr>
      <w:rFonts w:ascii="宋体"/>
    </w:rPr>
  </w:style>
  <w:style w:type="paragraph" w:styleId="23">
    <w:name w:val="toc 4"/>
    <w:basedOn w:val="1"/>
    <w:next w:val="1"/>
    <w:unhideWhenUsed/>
    <w:qFormat/>
    <w:uiPriority w:val="39"/>
    <w:pPr>
      <w:tabs>
        <w:tab w:val="right" w:leader="dot" w:pos="9344"/>
      </w:tabs>
      <w:spacing w:line="300" w:lineRule="exact"/>
      <w:ind w:left="629"/>
    </w:pPr>
    <w:rPr>
      <w:rFonts w:ascii="宋体"/>
    </w:rPr>
  </w:style>
  <w:style w:type="paragraph" w:styleId="24">
    <w:name w:val="footnote text"/>
    <w:basedOn w:val="1"/>
    <w:next w:val="1"/>
    <w:link w:val="104"/>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5">
    <w:name w:val="toc 6"/>
    <w:basedOn w:val="1"/>
    <w:next w:val="1"/>
    <w:unhideWhenUsed/>
    <w:qFormat/>
    <w:uiPriority w:val="39"/>
    <w:pPr>
      <w:spacing w:line="300" w:lineRule="exact"/>
      <w:ind w:left="1049"/>
    </w:pPr>
    <w:rPr>
      <w:rFonts w:ascii="宋体"/>
    </w:rPr>
  </w:style>
  <w:style w:type="paragraph" w:styleId="26">
    <w:name w:val="table of figures"/>
    <w:basedOn w:val="1"/>
    <w:next w:val="1"/>
    <w:semiHidden/>
    <w:qFormat/>
    <w:uiPriority w:val="0"/>
    <w:pPr>
      <w:adjustRightInd/>
      <w:spacing w:line="240" w:lineRule="auto"/>
      <w:jc w:val="left"/>
    </w:pPr>
    <w:rPr>
      <w:szCs w:val="24"/>
    </w:rPr>
  </w:style>
  <w:style w:type="paragraph" w:styleId="27">
    <w:name w:val="toc 2"/>
    <w:basedOn w:val="1"/>
    <w:next w:val="1"/>
    <w:unhideWhenUsed/>
    <w:qFormat/>
    <w:uiPriority w:val="39"/>
    <w:pPr>
      <w:tabs>
        <w:tab w:val="right" w:leader="dot" w:pos="9344"/>
      </w:tabs>
      <w:spacing w:line="300" w:lineRule="exact"/>
      <w:ind w:left="210"/>
    </w:pPr>
    <w:rPr>
      <w:rFonts w:ascii="宋体"/>
    </w:rPr>
  </w:style>
  <w:style w:type="paragraph" w:styleId="28">
    <w:name w:val="Title"/>
    <w:basedOn w:val="1"/>
    <w:link w:val="53"/>
    <w:qFormat/>
    <w:uiPriority w:val="0"/>
    <w:pPr>
      <w:spacing w:before="240" w:after="60"/>
      <w:jc w:val="center"/>
      <w:outlineLvl w:val="0"/>
    </w:pPr>
    <w:rPr>
      <w:rFonts w:ascii="Arial" w:hAnsi="Arial" w:cs="Arial"/>
      <w:b/>
      <w:bCs/>
      <w:sz w:val="32"/>
      <w:szCs w:val="32"/>
    </w:rPr>
  </w:style>
  <w:style w:type="paragraph" w:styleId="29">
    <w:name w:val="annotation subject"/>
    <w:basedOn w:val="14"/>
    <w:next w:val="14"/>
    <w:link w:val="238"/>
    <w:semiHidden/>
    <w:unhideWhenUsed/>
    <w:qFormat/>
    <w:uiPriority w:val="99"/>
    <w:rPr>
      <w:b/>
      <w:bCs/>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qFormat/>
    <w:uiPriority w:val="0"/>
    <w:rPr>
      <w:rFonts w:ascii="宋体" w:hAnsi="Times New Roman" w:eastAsia="宋体"/>
      <w:sz w:val="18"/>
    </w:rPr>
  </w:style>
  <w:style w:type="character" w:styleId="35">
    <w:name w:val="Emphasis"/>
    <w:qFormat/>
    <w:uiPriority w:val="20"/>
    <w:rPr>
      <w:i/>
      <w:iCs/>
    </w:rPr>
  </w:style>
  <w:style w:type="character" w:styleId="36">
    <w:name w:val="Hyperlink"/>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2"/>
    <w:semiHidden/>
    <w:unhideWhenUsed/>
    <w:qFormat/>
    <w:uiPriority w:val="99"/>
    <w:rPr>
      <w:sz w:val="21"/>
      <w:szCs w:val="21"/>
    </w:rPr>
  </w:style>
  <w:style w:type="character" w:styleId="38">
    <w:name w:val="footnote reference"/>
    <w:semiHidden/>
    <w:qFormat/>
    <w:uiPriority w:val="0"/>
    <w:rPr>
      <w:rFonts w:ascii="宋体" w:hAnsi="宋体" w:eastAsia="宋体" w:cs="Times New Roman"/>
      <w:spacing w:val="0"/>
      <w:sz w:val="18"/>
      <w:vertAlign w:val="superscript"/>
    </w:rPr>
  </w:style>
  <w:style w:type="character" w:customStyle="1" w:styleId="39">
    <w:name w:val="标题 1 字符"/>
    <w:link w:val="2"/>
    <w:qFormat/>
    <w:uiPriority w:val="0"/>
    <w:rPr>
      <w:rFonts w:ascii="Times New Roman" w:hAnsi="Times New Roman" w:eastAsia="宋体" w:cs="Times New Roman"/>
      <w:b/>
      <w:bCs/>
      <w:kern w:val="44"/>
      <w:sz w:val="44"/>
      <w:szCs w:val="44"/>
    </w:rPr>
  </w:style>
  <w:style w:type="character" w:customStyle="1" w:styleId="40">
    <w:name w:val="标题 2 字符"/>
    <w:link w:val="3"/>
    <w:qFormat/>
    <w:uiPriority w:val="0"/>
    <w:rPr>
      <w:rFonts w:ascii="Arial" w:hAnsi="Arial" w:eastAsia="黑体" w:cs="Times New Roman"/>
      <w:b/>
      <w:bCs/>
      <w:sz w:val="32"/>
      <w:szCs w:val="32"/>
    </w:rPr>
  </w:style>
  <w:style w:type="character" w:customStyle="1" w:styleId="41">
    <w:name w:val="标题 3 字符"/>
    <w:link w:val="4"/>
    <w:qFormat/>
    <w:uiPriority w:val="0"/>
    <w:rPr>
      <w:rFonts w:ascii="Times New Roman" w:hAnsi="Times New Roman" w:eastAsia="宋体" w:cs="Times New Roman"/>
      <w:b/>
      <w:bCs/>
      <w:sz w:val="32"/>
      <w:szCs w:val="32"/>
    </w:rPr>
  </w:style>
  <w:style w:type="character" w:customStyle="1" w:styleId="42">
    <w:name w:val="标题 4 字符"/>
    <w:link w:val="5"/>
    <w:qFormat/>
    <w:uiPriority w:val="0"/>
    <w:rPr>
      <w:rFonts w:ascii="Arial" w:hAnsi="Arial" w:eastAsia="黑体" w:cs="Times New Roman"/>
      <w:b/>
      <w:bCs/>
      <w:sz w:val="28"/>
      <w:szCs w:val="28"/>
    </w:rPr>
  </w:style>
  <w:style w:type="character" w:customStyle="1" w:styleId="43">
    <w:name w:val="标题 5 字符"/>
    <w:link w:val="6"/>
    <w:qFormat/>
    <w:uiPriority w:val="0"/>
    <w:rPr>
      <w:rFonts w:ascii="Times New Roman" w:hAnsi="Times New Roman" w:eastAsia="宋体" w:cs="Times New Roman"/>
      <w:b/>
      <w:bCs/>
      <w:sz w:val="28"/>
      <w:szCs w:val="28"/>
    </w:rPr>
  </w:style>
  <w:style w:type="character" w:customStyle="1" w:styleId="44">
    <w:name w:val="标题 6 字符"/>
    <w:link w:val="7"/>
    <w:qFormat/>
    <w:uiPriority w:val="0"/>
    <w:rPr>
      <w:rFonts w:ascii="Arial" w:hAnsi="Arial" w:eastAsia="黑体" w:cs="Times New Roman"/>
      <w:b/>
      <w:bCs/>
      <w:sz w:val="24"/>
      <w:szCs w:val="24"/>
    </w:rPr>
  </w:style>
  <w:style w:type="character" w:customStyle="1" w:styleId="45">
    <w:name w:val="标题 7 字符"/>
    <w:link w:val="8"/>
    <w:qFormat/>
    <w:uiPriority w:val="0"/>
    <w:rPr>
      <w:rFonts w:ascii="Times New Roman" w:hAnsi="Times New Roman" w:eastAsia="宋体" w:cs="Times New Roman"/>
      <w:b/>
      <w:bCs/>
      <w:sz w:val="24"/>
      <w:szCs w:val="24"/>
    </w:rPr>
  </w:style>
  <w:style w:type="character" w:customStyle="1" w:styleId="46">
    <w:name w:val="标题 8 字符"/>
    <w:link w:val="9"/>
    <w:qFormat/>
    <w:uiPriority w:val="0"/>
    <w:rPr>
      <w:rFonts w:ascii="Arial" w:hAnsi="Arial" w:eastAsia="黑体" w:cs="Times New Roman"/>
      <w:sz w:val="24"/>
      <w:szCs w:val="24"/>
    </w:rPr>
  </w:style>
  <w:style w:type="character" w:customStyle="1" w:styleId="47">
    <w:name w:val="标题 9 字符"/>
    <w:link w:val="10"/>
    <w:qFormat/>
    <w:uiPriority w:val="0"/>
    <w:rPr>
      <w:rFonts w:ascii="Arial" w:hAnsi="Arial" w:eastAsia="黑体" w:cs="Times New Roman"/>
      <w:szCs w:val="21"/>
    </w:rPr>
  </w:style>
  <w:style w:type="character" w:customStyle="1" w:styleId="48">
    <w:name w:val="页眉 字符"/>
    <w:link w:val="21"/>
    <w:qFormat/>
    <w:uiPriority w:val="99"/>
    <w:rPr>
      <w:rFonts w:ascii="Times New Roman" w:hAnsi="Times New Roman" w:eastAsia="宋体" w:cs="Times New Roman"/>
      <w:sz w:val="18"/>
      <w:szCs w:val="18"/>
    </w:rPr>
  </w:style>
  <w:style w:type="character" w:customStyle="1" w:styleId="49">
    <w:name w:val="页脚 字符"/>
    <w:link w:val="20"/>
    <w:qFormat/>
    <w:uiPriority w:val="99"/>
    <w:rPr>
      <w:rFonts w:ascii="宋体" w:hAnsi="Times New Roman" w:eastAsia="宋体" w:cs="Times New Roman"/>
      <w:sz w:val="18"/>
      <w:szCs w:val="18"/>
    </w:rPr>
  </w:style>
  <w:style w:type="character" w:customStyle="1" w:styleId="50">
    <w:name w:val="批注框文本 字符"/>
    <w:link w:val="19"/>
    <w:semiHidden/>
    <w:qFormat/>
    <w:uiPriority w:val="99"/>
    <w:rPr>
      <w:sz w:val="18"/>
      <w:szCs w:val="18"/>
    </w:rPr>
  </w:style>
  <w:style w:type="paragraph" w:styleId="51">
    <w:name w:val="Quote"/>
    <w:basedOn w:val="1"/>
    <w:next w:val="1"/>
    <w:link w:val="52"/>
    <w:qFormat/>
    <w:uiPriority w:val="29"/>
    <w:rPr>
      <w:i/>
      <w:iCs/>
      <w:color w:val="000000"/>
    </w:rPr>
  </w:style>
  <w:style w:type="character" w:customStyle="1" w:styleId="52">
    <w:name w:val="引用 字符"/>
    <w:link w:val="51"/>
    <w:qFormat/>
    <w:uiPriority w:val="29"/>
    <w:rPr>
      <w:i/>
      <w:iCs/>
      <w:color w:val="000000"/>
    </w:rPr>
  </w:style>
  <w:style w:type="character" w:customStyle="1" w:styleId="53">
    <w:name w:val="标题 字符"/>
    <w:link w:val="28"/>
    <w:qFormat/>
    <w:uiPriority w:val="0"/>
    <w:rPr>
      <w:rFonts w:ascii="Arial" w:hAnsi="Arial" w:eastAsia="宋体" w:cs="Arial"/>
      <w:b/>
      <w:bCs/>
      <w:sz w:val="32"/>
      <w:szCs w:val="32"/>
    </w:rPr>
  </w:style>
  <w:style w:type="paragraph" w:customStyle="1" w:styleId="5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qFormat/>
    <w:uiPriority w:val="0"/>
    <w:pPr>
      <w:spacing w:line="0" w:lineRule="atLeast"/>
    </w:pPr>
    <w:rPr>
      <w:rFonts w:ascii="黑体" w:hAnsi="宋体" w:eastAsia="黑体"/>
    </w:rPr>
  </w:style>
  <w:style w:type="paragraph" w:customStyle="1" w:styleId="60">
    <w:name w:val="标准文件_标准正文"/>
    <w:basedOn w:val="1"/>
    <w:next w:val="61"/>
    <w:qFormat/>
    <w:uiPriority w:val="0"/>
    <w:pPr>
      <w:snapToGrid w:val="0"/>
      <w:ind w:firstLine="200" w:firstLineChars="200"/>
    </w:pPr>
    <w:rPr>
      <w:kern w:val="0"/>
    </w:rPr>
  </w:style>
  <w:style w:type="paragraph" w:customStyle="1" w:styleId="61">
    <w:name w:val="标准文件_段"/>
    <w:link w:val="18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qFormat/>
    <w:uiPriority w:val="0"/>
    <w:pPr>
      <w:adjustRightInd/>
      <w:snapToGrid/>
      <w:ind w:firstLine="0" w:firstLineChars="0"/>
    </w:pPr>
    <w:rPr>
      <w:rFonts w:ascii="宋体" w:hAnsi="宋体"/>
      <w:kern w:val="2"/>
    </w:rPr>
  </w:style>
  <w:style w:type="paragraph" w:customStyle="1" w:styleId="63">
    <w:name w:val="标准文件_标准部门"/>
    <w:basedOn w:val="1"/>
    <w:qFormat/>
    <w:uiPriority w:val="0"/>
    <w:pPr>
      <w:jc w:val="center"/>
    </w:pPr>
    <w:rPr>
      <w:rFonts w:ascii="黑体" w:eastAsia="黑体"/>
      <w:kern w:val="0"/>
      <w:sz w:val="44"/>
    </w:rPr>
  </w:style>
  <w:style w:type="paragraph" w:customStyle="1" w:styleId="64">
    <w:name w:val="标准文件_标准代替"/>
    <w:basedOn w:val="1"/>
    <w:next w:val="1"/>
    <w:qFormat/>
    <w:uiPriority w:val="0"/>
    <w:pPr>
      <w:spacing w:line="310" w:lineRule="exact"/>
      <w:jc w:val="right"/>
    </w:pPr>
    <w:rPr>
      <w:rFonts w:ascii="宋体" w:hAnsi="宋体"/>
      <w:kern w:val="0"/>
    </w:rPr>
  </w:style>
  <w:style w:type="paragraph" w:customStyle="1" w:styleId="65">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qFormat/>
    <w:uiPriority w:val="0"/>
    <w:pPr>
      <w:jc w:val="left"/>
    </w:pPr>
  </w:style>
  <w:style w:type="paragraph" w:customStyle="1" w:styleId="68">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1">
    <w:name w:val="标准文件_发布"/>
    <w:qFormat/>
    <w:uiPriority w:val="0"/>
    <w:rPr>
      <w:rFonts w:ascii="黑体" w:eastAsia="黑体"/>
      <w:spacing w:val="0"/>
      <w:w w:val="100"/>
      <w:position w:val="3"/>
      <w:sz w:val="28"/>
    </w:rPr>
  </w:style>
  <w:style w:type="paragraph" w:customStyle="1" w:styleId="72">
    <w:name w:val="标准文件_方框数字列项"/>
    <w:basedOn w:val="61"/>
    <w:qFormat/>
    <w:uiPriority w:val="0"/>
    <w:pPr>
      <w:numPr>
        <w:ilvl w:val="0"/>
        <w:numId w:val="3"/>
      </w:numPr>
      <w:ind w:firstLine="0" w:firstLineChars="0"/>
    </w:pPr>
  </w:style>
  <w:style w:type="paragraph" w:customStyle="1" w:styleId="73">
    <w:name w:val="标准文件_封面标准编号"/>
    <w:basedOn w:val="1"/>
    <w:next w:val="64"/>
    <w:qFormat/>
    <w:uiPriority w:val="0"/>
    <w:pPr>
      <w:spacing w:line="310" w:lineRule="exact"/>
      <w:jc w:val="right"/>
    </w:pPr>
    <w:rPr>
      <w:rFonts w:ascii="黑体" w:eastAsia="黑体"/>
      <w:kern w:val="0"/>
      <w:sz w:val="28"/>
    </w:rPr>
  </w:style>
  <w:style w:type="paragraph" w:customStyle="1" w:styleId="74">
    <w:name w:val="标准文件_封面标准分类号"/>
    <w:basedOn w:val="1"/>
    <w:qFormat/>
    <w:uiPriority w:val="0"/>
    <w:rPr>
      <w:rFonts w:ascii="黑体" w:eastAsia="黑体"/>
      <w:b/>
      <w:kern w:val="0"/>
      <w:sz w:val="28"/>
    </w:rPr>
  </w:style>
  <w:style w:type="paragraph" w:customStyle="1" w:styleId="75">
    <w:name w:val="标准文件_封面标准名称"/>
    <w:basedOn w:val="1"/>
    <w:qFormat/>
    <w:uiPriority w:val="0"/>
    <w:pPr>
      <w:spacing w:line="240" w:lineRule="auto"/>
      <w:jc w:val="center"/>
    </w:pPr>
    <w:rPr>
      <w:rFonts w:ascii="黑体" w:eastAsia="黑体"/>
      <w:kern w:val="0"/>
      <w:sz w:val="52"/>
    </w:rPr>
  </w:style>
  <w:style w:type="paragraph" w:customStyle="1" w:styleId="76">
    <w:name w:val="标准文件_封面标准英文名称"/>
    <w:basedOn w:val="1"/>
    <w:qFormat/>
    <w:uiPriority w:val="0"/>
    <w:pPr>
      <w:spacing w:line="240" w:lineRule="auto"/>
      <w:jc w:val="center"/>
    </w:pPr>
    <w:rPr>
      <w:rFonts w:ascii="黑体" w:eastAsia="黑体"/>
      <w:b/>
      <w:sz w:val="28"/>
    </w:rPr>
  </w:style>
  <w:style w:type="paragraph" w:customStyle="1" w:styleId="77">
    <w:name w:val="标准文件_封面发布日期"/>
    <w:basedOn w:val="1"/>
    <w:qFormat/>
    <w:uiPriority w:val="0"/>
    <w:pPr>
      <w:spacing w:line="310" w:lineRule="exact"/>
    </w:pPr>
    <w:rPr>
      <w:rFonts w:ascii="黑体" w:eastAsia="黑体"/>
      <w:kern w:val="0"/>
      <w:sz w:val="28"/>
    </w:rPr>
  </w:style>
  <w:style w:type="paragraph" w:customStyle="1" w:styleId="78">
    <w:name w:val="标准文件_封面密级"/>
    <w:basedOn w:val="1"/>
    <w:qFormat/>
    <w:uiPriority w:val="0"/>
    <w:rPr>
      <w:rFonts w:eastAsia="黑体"/>
      <w:sz w:val="32"/>
    </w:rPr>
  </w:style>
  <w:style w:type="paragraph" w:customStyle="1" w:styleId="79">
    <w:name w:val="标准文件_封面实施日期"/>
    <w:basedOn w:val="1"/>
    <w:qFormat/>
    <w:uiPriority w:val="0"/>
    <w:pPr>
      <w:spacing w:line="310" w:lineRule="exact"/>
      <w:jc w:val="right"/>
    </w:pPr>
    <w:rPr>
      <w:rFonts w:ascii="黑体" w:eastAsia="黑体"/>
      <w:sz w:val="28"/>
    </w:rPr>
  </w:style>
  <w:style w:type="paragraph" w:customStyle="1" w:styleId="80">
    <w:name w:val="标准文件_封面抬头"/>
    <w:basedOn w:val="61"/>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5"/>
    <w:qFormat/>
    <w:uiPriority w:val="0"/>
    <w:rPr>
      <w:rFonts w:ascii="Times New Roman" w:hAnsi="Times New Roman" w:eastAsia="宋体" w:cs="Times New Roman"/>
      <w:szCs w:val="20"/>
    </w:rPr>
  </w:style>
  <w:style w:type="paragraph" w:customStyle="1" w:styleId="92">
    <w:name w:val="标准文件_附录章标题"/>
    <w:next w:val="6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qFormat/>
    <w:uiPriority w:val="0"/>
    <w:pPr>
      <w:ind w:left="488" w:leftChars="200" w:hanging="289" w:hangingChars="290"/>
    </w:pPr>
  </w:style>
  <w:style w:type="paragraph" w:customStyle="1" w:styleId="94">
    <w:name w:val="标准文件_前言、引言标题"/>
    <w:next w:val="1"/>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qFormat/>
    <w:uiPriority w:val="0"/>
    <w:pPr>
      <w:spacing w:line="460" w:lineRule="exact"/>
    </w:pPr>
  </w:style>
  <w:style w:type="paragraph" w:customStyle="1" w:styleId="96">
    <w:name w:val="标准文件_目录标题"/>
    <w:basedOn w:val="1"/>
    <w:qFormat/>
    <w:uiPriority w:val="0"/>
    <w:pPr>
      <w:spacing w:afterLines="150" w:line="240" w:lineRule="auto"/>
      <w:jc w:val="center"/>
    </w:pPr>
    <w:rPr>
      <w:rFonts w:ascii="黑体" w:eastAsia="黑体"/>
      <w:sz w:val="32"/>
    </w:rPr>
  </w:style>
  <w:style w:type="paragraph" w:customStyle="1" w:styleId="97">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qFormat/>
    <w:uiPriority w:val="0"/>
    <w:pPr>
      <w:numPr>
        <w:numId w:val="10"/>
      </w:numPr>
      <w:ind w:left="0" w:firstLine="200"/>
    </w:pPr>
  </w:style>
  <w:style w:type="paragraph" w:customStyle="1" w:styleId="99">
    <w:name w:val="标准文件_三级条标题"/>
    <w:basedOn w:val="70"/>
    <w:next w:val="61"/>
    <w:qFormat/>
    <w:uiPriority w:val="0"/>
    <w:pPr>
      <w:widowControl/>
      <w:numPr>
        <w:ilvl w:val="4"/>
      </w:numPr>
      <w:spacing w:beforeLines="0" w:afterLines="0"/>
      <w:outlineLvl w:val="3"/>
    </w:pPr>
    <w:rPr>
      <w:rFonts w:ascii="宋体" w:eastAsia="宋体"/>
    </w:rPr>
  </w:style>
  <w:style w:type="character" w:customStyle="1" w:styleId="100">
    <w:name w:val="不明显参考1"/>
    <w:qFormat/>
    <w:uiPriority w:val="31"/>
    <w:rPr>
      <w:smallCaps/>
      <w:color w:val="C0504D"/>
      <w:u w:val="single"/>
    </w:rPr>
  </w:style>
  <w:style w:type="paragraph" w:customStyle="1" w:styleId="101">
    <w:name w:val="标准文件_示例后续"/>
    <w:basedOn w:val="1"/>
    <w:qFormat/>
    <w:uiPriority w:val="0"/>
    <w:pPr>
      <w:adjustRightInd/>
      <w:spacing w:line="240" w:lineRule="auto"/>
      <w:ind w:firstLine="200" w:firstLineChars="200"/>
    </w:pPr>
    <w:rPr>
      <w:sz w:val="18"/>
      <w:szCs w:val="24"/>
    </w:rPr>
  </w:style>
  <w:style w:type="paragraph" w:customStyle="1" w:styleId="102">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4"/>
    <w:semiHidden/>
    <w:qFormat/>
    <w:uiPriority w:val="0"/>
    <w:rPr>
      <w:rFonts w:ascii="宋体" w:hAnsi="Times New Roman" w:eastAsia="宋体" w:cs="Times New Roman"/>
      <w:sz w:val="18"/>
      <w:szCs w:val="18"/>
    </w:rPr>
  </w:style>
  <w:style w:type="paragraph" w:customStyle="1" w:styleId="105">
    <w:name w:val="标准文件_条文脚注"/>
    <w:basedOn w:val="24"/>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qFormat/>
    <w:uiPriority w:val="0"/>
    <w:pPr>
      <w:numPr>
        <w:ilvl w:val="0"/>
        <w:numId w:val="12"/>
      </w:numPr>
      <w:spacing w:line="240" w:lineRule="auto"/>
      <w:jc w:val="left"/>
    </w:pPr>
    <w:rPr>
      <w:rFonts w:ascii="宋体" w:hAnsi="宋体"/>
      <w:sz w:val="18"/>
    </w:rPr>
  </w:style>
  <w:style w:type="character" w:customStyle="1" w:styleId="107">
    <w:name w:val="标准文件_图表脚注内容"/>
    <w:qFormat/>
    <w:uiPriority w:val="0"/>
    <w:rPr>
      <w:rFonts w:ascii="宋体" w:hAnsi="宋体" w:eastAsia="宋体" w:cs="Times New Roman"/>
      <w:spacing w:val="0"/>
      <w:sz w:val="18"/>
      <w:vertAlign w:val="superscript"/>
    </w:rPr>
  </w:style>
  <w:style w:type="paragraph" w:customStyle="1" w:styleId="108">
    <w:name w:val="标准文件_五级条标题"/>
    <w:next w:val="61"/>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qFormat/>
    <w:uiPriority w:val="0"/>
    <w:pPr>
      <w:numPr>
        <w:ilvl w:val="2"/>
      </w:numPr>
      <w:spacing w:beforeLines="50" w:afterLines="50"/>
      <w:outlineLvl w:val="1"/>
    </w:pPr>
  </w:style>
  <w:style w:type="paragraph" w:customStyle="1" w:styleId="111">
    <w:name w:val="标准文件_一致程度"/>
    <w:basedOn w:val="1"/>
    <w:qFormat/>
    <w:uiPriority w:val="0"/>
    <w:pPr>
      <w:spacing w:line="440" w:lineRule="exact"/>
      <w:jc w:val="center"/>
    </w:pPr>
    <w:rPr>
      <w:sz w:val="28"/>
    </w:rPr>
  </w:style>
  <w:style w:type="paragraph" w:customStyle="1" w:styleId="112">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5">
    <w:name w:val="标准文件_英文注："/>
    <w:basedOn w:val="1"/>
    <w:next w:val="6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3">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4">
    <w:name w:val="发布部门"/>
    <w:next w:val="6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qFormat/>
    <w:uiPriority w:val="0"/>
    <w:pPr>
      <w:outlineLvl w:val="4"/>
    </w:pPr>
  </w:style>
  <w:style w:type="paragraph" w:customStyle="1" w:styleId="135">
    <w:name w:val="附录四级无标题条"/>
    <w:basedOn w:val="134"/>
    <w:next w:val="61"/>
    <w:qFormat/>
    <w:uiPriority w:val="0"/>
    <w:pPr>
      <w:outlineLvl w:val="5"/>
    </w:pPr>
  </w:style>
  <w:style w:type="paragraph" w:customStyle="1" w:styleId="136">
    <w:name w:val="附录图"/>
    <w:next w:val="61"/>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qFormat/>
    <w:uiPriority w:val="0"/>
    <w:pPr>
      <w:outlineLvl w:val="6"/>
    </w:pPr>
  </w:style>
  <w:style w:type="paragraph" w:customStyle="1" w:styleId="139">
    <w:name w:val="附录性质"/>
    <w:basedOn w:val="1"/>
    <w:qFormat/>
    <w:uiPriority w:val="0"/>
    <w:pPr>
      <w:widowControl/>
      <w:adjustRightInd/>
      <w:jc w:val="center"/>
    </w:pPr>
    <w:rPr>
      <w:rFonts w:ascii="黑体" w:eastAsia="黑体"/>
    </w:rPr>
  </w:style>
  <w:style w:type="paragraph" w:customStyle="1" w:styleId="140">
    <w:name w:val="附录一级无标题条"/>
    <w:basedOn w:val="92"/>
    <w:next w:val="61"/>
    <w:qFormat/>
    <w:uiPriority w:val="0"/>
    <w:pPr>
      <w:autoSpaceDN w:val="0"/>
      <w:outlineLvl w:val="2"/>
    </w:pPr>
    <w:rPr>
      <w:rFonts w:ascii="宋体" w:hAnsi="宋体" w:eastAsia="宋体"/>
    </w:rPr>
  </w:style>
  <w:style w:type="character" w:customStyle="1" w:styleId="141">
    <w:name w:val="个人答复风格"/>
    <w:qFormat/>
    <w:uiPriority w:val="0"/>
    <w:rPr>
      <w:rFonts w:ascii="Arial" w:hAnsi="Arial" w:eastAsia="宋体" w:cs="Arial"/>
      <w:color w:val="auto"/>
      <w:spacing w:val="0"/>
      <w:sz w:val="20"/>
    </w:rPr>
  </w:style>
  <w:style w:type="character" w:customStyle="1" w:styleId="142">
    <w:name w:val="个人撰写风格"/>
    <w:qFormat/>
    <w:uiPriority w:val="0"/>
    <w:rPr>
      <w:rFonts w:ascii="Arial" w:hAnsi="Arial" w:eastAsia="宋体" w:cs="Arial"/>
      <w:color w:val="auto"/>
      <w:spacing w:val="0"/>
      <w:sz w:val="20"/>
    </w:rPr>
  </w:style>
  <w:style w:type="paragraph" w:customStyle="1" w:styleId="143">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qFormat/>
    <w:uiPriority w:val="0"/>
    <w:pPr>
      <w:tabs>
        <w:tab w:val="left" w:pos="840"/>
      </w:tabs>
    </w:pPr>
  </w:style>
  <w:style w:type="paragraph" w:customStyle="1" w:styleId="14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semiHidden/>
    <w:qFormat/>
    <w:uiPriority w:val="0"/>
    <w:pPr>
      <w:adjustRightInd/>
      <w:spacing w:line="240" w:lineRule="auto"/>
      <w:jc w:val="left"/>
    </w:pPr>
    <w:rPr>
      <w:bCs/>
      <w:iCs/>
    </w:rPr>
  </w:style>
  <w:style w:type="paragraph" w:customStyle="1" w:styleId="148">
    <w:name w:val="目录 31"/>
    <w:basedOn w:val="1"/>
    <w:next w:val="1"/>
    <w:semiHidden/>
    <w:qFormat/>
    <w:uiPriority w:val="0"/>
    <w:pPr>
      <w:spacing w:line="240" w:lineRule="auto"/>
    </w:pPr>
    <w:rPr>
      <w:rFonts w:ascii="宋体" w:hAnsi="宋体"/>
      <w:iCs/>
    </w:rPr>
  </w:style>
  <w:style w:type="paragraph" w:customStyle="1" w:styleId="149">
    <w:name w:val="目录 41"/>
    <w:basedOn w:val="1"/>
    <w:next w:val="1"/>
    <w:semiHidden/>
    <w:qFormat/>
    <w:uiPriority w:val="0"/>
    <w:pPr>
      <w:adjustRightInd/>
      <w:spacing w:line="240" w:lineRule="auto"/>
      <w:jc w:val="left"/>
    </w:pPr>
  </w:style>
  <w:style w:type="paragraph" w:customStyle="1" w:styleId="150">
    <w:name w:val="目录 51"/>
    <w:basedOn w:val="1"/>
    <w:next w:val="1"/>
    <w:semiHidden/>
    <w:qFormat/>
    <w:uiPriority w:val="0"/>
    <w:pPr>
      <w:spacing w:line="240" w:lineRule="auto"/>
    </w:pPr>
    <w:rPr>
      <w:rFonts w:ascii="宋体" w:hAnsi="宋体"/>
    </w:rPr>
  </w:style>
  <w:style w:type="paragraph" w:customStyle="1" w:styleId="151">
    <w:name w:val="目录 61"/>
    <w:basedOn w:val="1"/>
    <w:next w:val="1"/>
    <w:semiHidden/>
    <w:qFormat/>
    <w:uiPriority w:val="0"/>
    <w:pPr>
      <w:adjustRightInd/>
      <w:spacing w:line="240" w:lineRule="auto"/>
      <w:jc w:val="left"/>
    </w:pPr>
  </w:style>
  <w:style w:type="paragraph" w:customStyle="1" w:styleId="152">
    <w:name w:val="目录 71"/>
    <w:basedOn w:val="151"/>
    <w:semiHidden/>
    <w:qFormat/>
    <w:uiPriority w:val="0"/>
    <w:pPr>
      <w:ind w:left="1260"/>
    </w:pPr>
  </w:style>
  <w:style w:type="paragraph" w:customStyle="1" w:styleId="153">
    <w:name w:val="目录 81"/>
    <w:basedOn w:val="152"/>
    <w:semiHidden/>
    <w:qFormat/>
    <w:uiPriority w:val="0"/>
    <w:pPr>
      <w:ind w:left="1470"/>
    </w:pPr>
  </w:style>
  <w:style w:type="paragraph" w:customStyle="1" w:styleId="154">
    <w:name w:val="目录 91"/>
    <w:basedOn w:val="153"/>
    <w:semiHidden/>
    <w:qFormat/>
    <w:uiPriority w:val="0"/>
    <w:pPr>
      <w:ind w:left="1680"/>
    </w:pPr>
  </w:style>
  <w:style w:type="paragraph" w:customStyle="1" w:styleId="15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qFormat/>
    <w:uiPriority w:val="0"/>
    <w:pPr>
      <w:framePr w:wrap="around"/>
      <w:spacing w:line="0" w:lineRule="atLeast"/>
    </w:pPr>
    <w:rPr>
      <w:rFonts w:ascii="黑体" w:eastAsia="黑体"/>
      <w:b w:val="0"/>
    </w:rPr>
  </w:style>
  <w:style w:type="paragraph" w:customStyle="1" w:styleId="157">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5"/>
    <w:qFormat/>
    <w:uiPriority w:val="0"/>
    <w:pPr>
      <w:framePr w:hSpace="0" w:wrap="around"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一级无标题"/>
    <w:basedOn w:val="110"/>
    <w:qFormat/>
    <w:uiPriority w:val="0"/>
    <w:pPr>
      <w:spacing w:beforeLines="0" w:afterLines="0"/>
      <w:outlineLvl w:val="9"/>
    </w:pPr>
    <w:rPr>
      <w:rFonts w:ascii="宋体" w:eastAsia="宋体"/>
    </w:rPr>
  </w:style>
  <w:style w:type="paragraph" w:customStyle="1" w:styleId="168">
    <w:name w:val="标准文件_五级无标题"/>
    <w:basedOn w:val="108"/>
    <w:qFormat/>
    <w:uiPriority w:val="0"/>
    <w:pPr>
      <w:spacing w:beforeLines="0" w:afterLines="0"/>
      <w:outlineLvl w:val="9"/>
    </w:pPr>
    <w:rPr>
      <w:rFonts w:ascii="宋体" w:eastAsia="宋体"/>
    </w:rPr>
  </w:style>
  <w:style w:type="paragraph" w:customStyle="1" w:styleId="169">
    <w:name w:val="标准文件_三级无标题"/>
    <w:basedOn w:val="99"/>
    <w:qFormat/>
    <w:uiPriority w:val="0"/>
    <w:pPr>
      <w:outlineLvl w:val="9"/>
    </w:pPr>
  </w:style>
  <w:style w:type="paragraph" w:customStyle="1" w:styleId="170">
    <w:name w:val="标准文件_二级无标题"/>
    <w:basedOn w:val="70"/>
    <w:qFormat/>
    <w:uiPriority w:val="0"/>
    <w:pPr>
      <w:spacing w:beforeLines="0" w:afterLines="0"/>
      <w:outlineLvl w:val="9"/>
    </w:pPr>
    <w:rPr>
      <w:rFonts w:ascii="宋体" w:eastAsia="宋体"/>
    </w:rPr>
  </w:style>
  <w:style w:type="paragraph" w:customStyle="1" w:styleId="171">
    <w:name w:val="标准_四级无标题"/>
    <w:basedOn w:val="103"/>
    <w:next w:val="61"/>
    <w:qFormat/>
    <w:uiPriority w:val="0"/>
    <w:rPr>
      <w:rFonts w:eastAsia="宋体"/>
    </w:rPr>
  </w:style>
  <w:style w:type="paragraph" w:customStyle="1" w:styleId="172">
    <w:name w:val="标准文件_四级无标题"/>
    <w:basedOn w:val="103"/>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qFormat/>
    <w:uiPriority w:val="0"/>
    <w:pPr>
      <w:numPr>
        <w:ilvl w:val="0"/>
        <w:numId w:val="24"/>
      </w:numPr>
      <w:ind w:firstLine="0" w:firstLineChars="0"/>
    </w:pPr>
    <w:rPr>
      <w:rFonts w:cs="Arial"/>
      <w:szCs w:val="28"/>
    </w:rPr>
  </w:style>
  <w:style w:type="paragraph" w:customStyle="1" w:styleId="175">
    <w:name w:val="标准文件_附录标题"/>
    <w:basedOn w:val="81"/>
    <w:qFormat/>
    <w:uiPriority w:val="0"/>
    <w:pPr>
      <w:numPr>
        <w:numId w:val="0"/>
      </w:numPr>
      <w:spacing w:after="280"/>
      <w:outlineLvl w:val="9"/>
    </w:pPr>
  </w:style>
  <w:style w:type="paragraph" w:customStyle="1" w:styleId="176">
    <w:name w:val="标准文件_二级项"/>
    <w:qFormat/>
    <w:uiPriority w:val="0"/>
    <w:rPr>
      <w:rFonts w:ascii="宋体" w:hAnsi="Times New Roman" w:eastAsia="宋体" w:cs="Times New Roman"/>
      <w:sz w:val="21"/>
      <w:lang w:val="en-US" w:eastAsia="zh-CN" w:bidi="ar-SA"/>
    </w:rPr>
  </w:style>
  <w:style w:type="paragraph" w:customStyle="1" w:styleId="177">
    <w:name w:val="标准文件_三级项"/>
    <w:basedOn w:val="1"/>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qFormat/>
    <w:uiPriority w:val="0"/>
    <w:pPr>
      <w:ind w:firstLine="0" w:firstLineChars="0"/>
      <w:jc w:val="center"/>
    </w:pPr>
    <w:rPr>
      <w:sz w:val="18"/>
    </w:rPr>
  </w:style>
  <w:style w:type="paragraph" w:customStyle="1" w:styleId="184">
    <w:name w:val="标准文件_注："/>
    <w:next w:val="6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qFormat/>
    <w:uiPriority w:val="0"/>
    <w:pPr>
      <w:ind w:firstLine="420"/>
    </w:pPr>
    <w:rPr>
      <w:sz w:val="18"/>
    </w:rPr>
  </w:style>
  <w:style w:type="paragraph" w:customStyle="1" w:styleId="188">
    <w:name w:val="标准文件_示例×："/>
    <w:basedOn w:val="1"/>
    <w:next w:val="187"/>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qFormat/>
    <w:uiPriority w:val="0"/>
    <w:rPr>
      <w:rFonts w:ascii="宋体" w:hAnsi="Times New Roman"/>
      <w:sz w:val="21"/>
    </w:rPr>
  </w:style>
  <w:style w:type="paragraph" w:customStyle="1" w:styleId="190">
    <w:name w:val="标准文件_表格续"/>
    <w:basedOn w:val="61"/>
    <w:next w:val="61"/>
    <w:qFormat/>
    <w:uiPriority w:val="0"/>
    <w:pPr>
      <w:jc w:val="center"/>
    </w:pPr>
    <w:rPr>
      <w:rFonts w:ascii="黑体" w:hAnsi="黑体" w:eastAsia="黑体"/>
    </w:rPr>
  </w:style>
  <w:style w:type="character" w:styleId="191">
    <w:name w:val="Placeholder Text"/>
    <w:basedOn w:val="32"/>
    <w:semiHidden/>
    <w:qFormat/>
    <w:uiPriority w:val="99"/>
    <w:rPr>
      <w:color w:val="808080"/>
    </w:rPr>
  </w:style>
  <w:style w:type="paragraph" w:customStyle="1" w:styleId="192">
    <w:name w:val="标准文件_二级项2"/>
    <w:basedOn w:val="61"/>
    <w:qFormat/>
    <w:uiPriority w:val="0"/>
    <w:pPr>
      <w:numPr>
        <w:ilvl w:val="1"/>
        <w:numId w:val="21"/>
      </w:numPr>
      <w:ind w:left="1271" w:hanging="420" w:firstLineChars="0"/>
    </w:pPr>
  </w:style>
  <w:style w:type="paragraph" w:customStyle="1" w:styleId="193">
    <w:name w:val="标准文件_三级项2"/>
    <w:basedOn w:val="61"/>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qFormat/>
    <w:uiPriority w:val="0"/>
    <w:pPr>
      <w:ind w:firstLine="420"/>
    </w:pPr>
    <w:rPr>
      <w:rFonts w:ascii="黑体" w:eastAsia="黑体"/>
    </w:rPr>
  </w:style>
  <w:style w:type="character" w:customStyle="1" w:styleId="196">
    <w:name w:val="标准文件_来源"/>
    <w:basedOn w:val="32"/>
    <w:qFormat/>
    <w:uiPriority w:val="1"/>
    <w:rPr>
      <w:rFonts w:eastAsia="宋体"/>
      <w:sz w:val="21"/>
    </w:rPr>
  </w:style>
  <w:style w:type="paragraph" w:customStyle="1" w:styleId="197">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qFormat/>
    <w:uiPriority w:val="0"/>
    <w:pPr>
      <w:framePr w:w="3997" w:h="471" w:hRule="exact" w:hSpace="0" w:vSpace="181" w:wrap="around" w:vAnchor="page" w:hAnchor="page" w:x="1419" w:y="14097"/>
    </w:pPr>
  </w:style>
  <w:style w:type="paragraph" w:customStyle="1" w:styleId="199">
    <w:name w:val="其他实施日期"/>
    <w:basedOn w:val="159"/>
    <w:qFormat/>
    <w:uiPriority w:val="0"/>
    <w:pPr>
      <w:framePr w:w="3997" w:h="471" w:hRule="exact" w:vSpace="181" w:wrap="around" w:vAnchor="page" w:hAnchor="page" w:x="7089" w:y="14097"/>
    </w:pPr>
  </w:style>
  <w:style w:type="paragraph" w:customStyle="1" w:styleId="200">
    <w:name w:val="标准文件_文件编号"/>
    <w:basedOn w:val="61"/>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qFormat/>
    <w:uiPriority w:val="0"/>
    <w:pPr>
      <w:spacing w:before="57"/>
    </w:pPr>
    <w:rPr>
      <w:sz w:val="21"/>
    </w:rPr>
  </w:style>
  <w:style w:type="paragraph" w:customStyle="1" w:styleId="202">
    <w:name w:val="标准文件_文件名称"/>
    <w:basedOn w:val="61"/>
    <w:next w:val="6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qFormat/>
    <w:uiPriority w:val="0"/>
    <w:pPr>
      <w:ind w:left="811" w:firstLine="0" w:firstLineChars="0"/>
    </w:pPr>
    <w:rPr>
      <w:sz w:val="18"/>
    </w:rPr>
  </w:style>
  <w:style w:type="paragraph" w:customStyle="1" w:styleId="211">
    <w:name w:val="标准文件_注X后"/>
    <w:basedOn w:val="61"/>
    <w:qFormat/>
    <w:uiPriority w:val="0"/>
    <w:pPr>
      <w:ind w:left="811" w:firstLine="0" w:firstLineChars="0"/>
    </w:pPr>
    <w:rPr>
      <w:sz w:val="18"/>
    </w:rPr>
  </w:style>
  <w:style w:type="paragraph" w:customStyle="1" w:styleId="212">
    <w:name w:val="标准文件_示例后"/>
    <w:basedOn w:val="61"/>
    <w:qFormat/>
    <w:uiPriority w:val="0"/>
    <w:pPr>
      <w:ind w:left="964" w:firstLine="0" w:firstLineChars="0"/>
    </w:pPr>
    <w:rPr>
      <w:sz w:val="18"/>
    </w:rPr>
  </w:style>
  <w:style w:type="paragraph" w:customStyle="1" w:styleId="213">
    <w:name w:val="标准文件_示例X后"/>
    <w:basedOn w:val="61"/>
    <w:link w:val="214"/>
    <w:qFormat/>
    <w:uiPriority w:val="0"/>
    <w:pPr>
      <w:ind w:left="1049" w:firstLine="0" w:firstLineChars="0"/>
    </w:pPr>
    <w:rPr>
      <w:sz w:val="18"/>
    </w:rPr>
  </w:style>
  <w:style w:type="character" w:customStyle="1" w:styleId="214">
    <w:name w:val="标准文件_示例X后 字符"/>
    <w:basedOn w:val="189"/>
    <w:link w:val="213"/>
    <w:qFormat/>
    <w:uiPriority w:val="0"/>
    <w:rPr>
      <w:rFonts w:ascii="宋体" w:hAnsi="Times New Roman"/>
      <w:sz w:val="18"/>
    </w:rPr>
  </w:style>
  <w:style w:type="paragraph" w:customStyle="1" w:styleId="215">
    <w:name w:val="标准文件_索引项"/>
    <w:basedOn w:val="61"/>
    <w:next w:val="61"/>
    <w:qFormat/>
    <w:uiPriority w:val="0"/>
    <w:pPr>
      <w:tabs>
        <w:tab w:val="right" w:leader="dot" w:pos="9356"/>
      </w:tabs>
      <w:ind w:left="210" w:hanging="210" w:firstLineChars="0"/>
      <w:jc w:val="left"/>
    </w:pPr>
  </w:style>
  <w:style w:type="paragraph" w:customStyle="1" w:styleId="216">
    <w:name w:val="标准文件_附录一级无标题"/>
    <w:basedOn w:val="83"/>
    <w:qFormat/>
    <w:uiPriority w:val="0"/>
    <w:pPr>
      <w:spacing w:beforeLines="0" w:afterLines="0" w:line="276" w:lineRule="auto"/>
      <w:outlineLvl w:val="9"/>
    </w:pPr>
    <w:rPr>
      <w:rFonts w:ascii="宋体" w:eastAsia="宋体"/>
    </w:rPr>
  </w:style>
  <w:style w:type="paragraph" w:customStyle="1" w:styleId="217">
    <w:name w:val="标准文件_附录二级无标题"/>
    <w:basedOn w:val="84"/>
    <w:qFormat/>
    <w:uiPriority w:val="0"/>
    <w:pPr>
      <w:spacing w:beforeLines="0" w:afterLines="0" w:line="276" w:lineRule="auto"/>
      <w:outlineLvl w:val="9"/>
    </w:pPr>
    <w:rPr>
      <w:rFonts w:ascii="宋体" w:eastAsia="宋体"/>
    </w:rPr>
  </w:style>
  <w:style w:type="paragraph" w:customStyle="1" w:styleId="218">
    <w:name w:val="标准文件_附录三级无标题"/>
    <w:basedOn w:val="86"/>
    <w:qFormat/>
    <w:uiPriority w:val="0"/>
    <w:pPr>
      <w:spacing w:beforeLines="0" w:afterLines="0" w:line="276" w:lineRule="auto"/>
      <w:outlineLvl w:val="9"/>
    </w:pPr>
    <w:rPr>
      <w:rFonts w:ascii="宋体" w:eastAsia="宋体"/>
    </w:rPr>
  </w:style>
  <w:style w:type="paragraph" w:customStyle="1" w:styleId="219">
    <w:name w:val="标准文件_附录四级无标题"/>
    <w:basedOn w:val="87"/>
    <w:qFormat/>
    <w:uiPriority w:val="0"/>
    <w:pPr>
      <w:spacing w:beforeLines="0" w:afterLines="0" w:line="276" w:lineRule="auto"/>
      <w:outlineLvl w:val="9"/>
    </w:pPr>
    <w:rPr>
      <w:rFonts w:ascii="宋体" w:eastAsia="宋体"/>
    </w:rPr>
  </w:style>
  <w:style w:type="paragraph" w:customStyle="1" w:styleId="220">
    <w:name w:val="标准文件_附录五级无标题"/>
    <w:basedOn w:val="89"/>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qFormat/>
    <w:uiPriority w:val="0"/>
    <w:pPr>
      <w:spacing w:beforeLines="0" w:afterLines="0" w:line="276" w:lineRule="auto"/>
    </w:pPr>
    <w:rPr>
      <w:rFonts w:ascii="宋体" w:eastAsia="宋体"/>
    </w:rPr>
  </w:style>
  <w:style w:type="paragraph" w:customStyle="1" w:styleId="222">
    <w:name w:val="标准文件_引言二级无标题"/>
    <w:basedOn w:val="206"/>
    <w:next w:val="61"/>
    <w:qFormat/>
    <w:uiPriority w:val="0"/>
    <w:pPr>
      <w:spacing w:beforeLines="0" w:afterLines="0" w:line="276" w:lineRule="auto"/>
    </w:pPr>
    <w:rPr>
      <w:rFonts w:ascii="宋体" w:eastAsia="宋体"/>
    </w:rPr>
  </w:style>
  <w:style w:type="paragraph" w:customStyle="1" w:styleId="223">
    <w:name w:val="标准文件_引言三级无标题"/>
    <w:basedOn w:val="207"/>
    <w:qFormat/>
    <w:uiPriority w:val="0"/>
    <w:pPr>
      <w:spacing w:beforeLines="0" w:afterLines="0" w:line="276" w:lineRule="auto"/>
    </w:pPr>
    <w:rPr>
      <w:rFonts w:ascii="宋体" w:eastAsia="宋体"/>
    </w:rPr>
  </w:style>
  <w:style w:type="paragraph" w:customStyle="1" w:styleId="224">
    <w:name w:val="标准文件_引言四级无标题"/>
    <w:basedOn w:val="208"/>
    <w:next w:val="61"/>
    <w:qFormat/>
    <w:uiPriority w:val="0"/>
    <w:pPr>
      <w:spacing w:beforeLines="0" w:afterLines="0" w:line="276" w:lineRule="auto"/>
    </w:pPr>
    <w:rPr>
      <w:rFonts w:ascii="宋体" w:eastAsia="宋体"/>
    </w:rPr>
  </w:style>
  <w:style w:type="paragraph" w:customStyle="1" w:styleId="225">
    <w:name w:val="标准文件_引言五级无标题"/>
    <w:basedOn w:val="209"/>
    <w:next w:val="61"/>
    <w:qFormat/>
    <w:uiPriority w:val="0"/>
    <w:pPr>
      <w:spacing w:beforeLines="0" w:afterLines="0" w:line="276" w:lineRule="auto"/>
    </w:pPr>
    <w:rPr>
      <w:rFonts w:ascii="宋体" w:eastAsia="宋体"/>
    </w:rPr>
  </w:style>
  <w:style w:type="paragraph" w:customStyle="1" w:styleId="226">
    <w:name w:val="标准文件_索引标题"/>
    <w:basedOn w:val="68"/>
    <w:next w:val="61"/>
    <w:qFormat/>
    <w:uiPriority w:val="0"/>
    <w:rPr>
      <w:rFonts w:hAnsi="黑体"/>
    </w:rPr>
  </w:style>
  <w:style w:type="paragraph" w:customStyle="1" w:styleId="227">
    <w:name w:val="标准文件_脚注内容"/>
    <w:basedOn w:val="61"/>
    <w:qFormat/>
    <w:uiPriority w:val="0"/>
    <w:pPr>
      <w:ind w:left="400" w:leftChars="200" w:hanging="200" w:hangingChars="200"/>
    </w:pPr>
    <w:rPr>
      <w:sz w:val="15"/>
    </w:rPr>
  </w:style>
  <w:style w:type="paragraph" w:customStyle="1" w:styleId="228">
    <w:name w:val="标准文件_术语条一"/>
    <w:basedOn w:val="167"/>
    <w:next w:val="61"/>
    <w:qFormat/>
    <w:uiPriority w:val="0"/>
  </w:style>
  <w:style w:type="paragraph" w:customStyle="1" w:styleId="229">
    <w:name w:val="标准文件_术语条二"/>
    <w:basedOn w:val="170"/>
    <w:next w:val="61"/>
    <w:qFormat/>
    <w:uiPriority w:val="0"/>
  </w:style>
  <w:style w:type="paragraph" w:customStyle="1" w:styleId="230">
    <w:name w:val="标准文件_术语条三"/>
    <w:basedOn w:val="169"/>
    <w:next w:val="61"/>
    <w:qFormat/>
    <w:uiPriority w:val="0"/>
  </w:style>
  <w:style w:type="paragraph" w:customStyle="1" w:styleId="231">
    <w:name w:val="标准文件_术语条四"/>
    <w:basedOn w:val="172"/>
    <w:next w:val="61"/>
    <w:qFormat/>
    <w:uiPriority w:val="0"/>
  </w:style>
  <w:style w:type="paragraph" w:customStyle="1" w:styleId="232">
    <w:name w:val="标准文件_术语条五"/>
    <w:basedOn w:val="168"/>
    <w:next w:val="61"/>
    <w:qFormat/>
    <w:uiPriority w:val="0"/>
  </w:style>
  <w:style w:type="paragraph" w:customStyle="1" w:styleId="23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段 Char"/>
    <w:link w:val="235"/>
    <w:qFormat/>
    <w:locked/>
    <w:uiPriority w:val="0"/>
    <w:rPr>
      <w:rFonts w:ascii="宋体" w:hAnsi="Times New Roman"/>
      <w:sz w:val="21"/>
    </w:rPr>
  </w:style>
  <w:style w:type="paragraph" w:customStyle="1" w:styleId="235">
    <w:name w:val="段"/>
    <w:link w:val="2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6">
    <w:name w:val="文档结构图 字符"/>
    <w:basedOn w:val="32"/>
    <w:link w:val="13"/>
    <w:semiHidden/>
    <w:qFormat/>
    <w:uiPriority w:val="99"/>
    <w:rPr>
      <w:rFonts w:ascii="宋体"/>
      <w:kern w:val="2"/>
      <w:sz w:val="18"/>
      <w:szCs w:val="18"/>
    </w:rPr>
  </w:style>
  <w:style w:type="character" w:customStyle="1" w:styleId="237">
    <w:name w:val="批注文字 字符"/>
    <w:basedOn w:val="32"/>
    <w:link w:val="14"/>
    <w:qFormat/>
    <w:uiPriority w:val="99"/>
    <w:rPr>
      <w:kern w:val="2"/>
      <w:sz w:val="21"/>
      <w:szCs w:val="21"/>
    </w:rPr>
  </w:style>
  <w:style w:type="character" w:customStyle="1" w:styleId="238">
    <w:name w:val="批注主题 字符"/>
    <w:basedOn w:val="237"/>
    <w:link w:val="29"/>
    <w:semiHidden/>
    <w:qFormat/>
    <w:uiPriority w:val="99"/>
    <w:rPr>
      <w:b/>
      <w:bCs/>
      <w:kern w:val="2"/>
      <w:sz w:val="21"/>
      <w:szCs w:val="21"/>
    </w:rPr>
  </w:style>
  <w:style w:type="paragraph" w:customStyle="1" w:styleId="239">
    <w:name w:val="修订1"/>
    <w:hidden/>
    <w:semiHidden/>
    <w:qFormat/>
    <w:uiPriority w:val="99"/>
    <w:rPr>
      <w:rFonts w:ascii="Calibri" w:hAnsi="Calibri" w:eastAsia="宋体" w:cs="Times New Roman"/>
      <w:kern w:val="2"/>
      <w:sz w:val="21"/>
      <w:szCs w:val="21"/>
      <w:lang w:val="en-US" w:eastAsia="zh-CN" w:bidi="ar-SA"/>
    </w:rPr>
  </w:style>
  <w:style w:type="character" w:customStyle="1" w:styleId="240">
    <w:name w:val="日期 字符"/>
    <w:basedOn w:val="32"/>
    <w:link w:val="18"/>
    <w:semiHidden/>
    <w:qFormat/>
    <w:uiPriority w:val="99"/>
    <w:rPr>
      <w:kern w:val="2"/>
      <w:sz w:val="21"/>
      <w:szCs w:val="21"/>
    </w:rPr>
  </w:style>
  <w:style w:type="paragraph" w:customStyle="1" w:styleId="24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42">
    <w:name w:val="Revision"/>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tiff"/><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uesr\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8E45F41D6A448459BFFB57F8F66E8E6"/>
        <w:style w:val=""/>
        <w:category>
          <w:name w:val="常规"/>
          <w:gallery w:val="placeholder"/>
        </w:category>
        <w:types>
          <w:type w:val="bbPlcHdr"/>
        </w:types>
        <w:behaviors>
          <w:behavior w:val="content"/>
        </w:behaviors>
        <w:description w:val=""/>
        <w:guid w:val="{91B082F1-0C9C-4B12-ADDD-588544213793}"/>
      </w:docPartPr>
      <w:docPartBody>
        <w:p w14:paraId="5726EC9C">
          <w:pPr>
            <w:pStyle w:val="5"/>
          </w:pPr>
          <w:r>
            <w:rPr>
              <w:rStyle w:val="4"/>
              <w:rFonts w:hint="eastAsia"/>
            </w:rPr>
            <w:t>单击或点击此处输入文字。</w:t>
          </w:r>
        </w:p>
      </w:docPartBody>
    </w:docPart>
    <w:docPart>
      <w:docPartPr>
        <w:name w:val="6B3AF853F09546DD9B78BAA518E1F39B"/>
        <w:style w:val=""/>
        <w:category>
          <w:name w:val="常规"/>
          <w:gallery w:val="placeholder"/>
        </w:category>
        <w:types>
          <w:type w:val="bbPlcHdr"/>
        </w:types>
        <w:behaviors>
          <w:behavior w:val="content"/>
        </w:behaviors>
        <w:description w:val=""/>
        <w:guid w:val="{3642B512-62B5-428F-BB1C-78ECFF9C138B}"/>
      </w:docPartPr>
      <w:docPartBody>
        <w:p w14:paraId="3F03675F">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C2"/>
    <w:rsid w:val="00002167"/>
    <w:rsid w:val="000A4F2E"/>
    <w:rsid w:val="000C7B21"/>
    <w:rsid w:val="001F06E3"/>
    <w:rsid w:val="001F271D"/>
    <w:rsid w:val="00272AB2"/>
    <w:rsid w:val="00275DCC"/>
    <w:rsid w:val="00277BCD"/>
    <w:rsid w:val="00287A87"/>
    <w:rsid w:val="002E5829"/>
    <w:rsid w:val="00302350"/>
    <w:rsid w:val="00311EF4"/>
    <w:rsid w:val="00330F0A"/>
    <w:rsid w:val="00371A2A"/>
    <w:rsid w:val="00387C75"/>
    <w:rsid w:val="00397C2F"/>
    <w:rsid w:val="003D61D4"/>
    <w:rsid w:val="003F6B7F"/>
    <w:rsid w:val="00405B60"/>
    <w:rsid w:val="00405E9B"/>
    <w:rsid w:val="0046342A"/>
    <w:rsid w:val="00491C81"/>
    <w:rsid w:val="004A205A"/>
    <w:rsid w:val="004F1E9F"/>
    <w:rsid w:val="004F4F73"/>
    <w:rsid w:val="004F51E3"/>
    <w:rsid w:val="00575B4F"/>
    <w:rsid w:val="005E4705"/>
    <w:rsid w:val="00606166"/>
    <w:rsid w:val="00633515"/>
    <w:rsid w:val="00690110"/>
    <w:rsid w:val="00693685"/>
    <w:rsid w:val="00733F3E"/>
    <w:rsid w:val="00760FE4"/>
    <w:rsid w:val="007862BE"/>
    <w:rsid w:val="00787160"/>
    <w:rsid w:val="007F2766"/>
    <w:rsid w:val="00885673"/>
    <w:rsid w:val="00887905"/>
    <w:rsid w:val="00893E44"/>
    <w:rsid w:val="008A5592"/>
    <w:rsid w:val="008B6741"/>
    <w:rsid w:val="008D4140"/>
    <w:rsid w:val="008E1DEA"/>
    <w:rsid w:val="009146A5"/>
    <w:rsid w:val="0093595F"/>
    <w:rsid w:val="00982052"/>
    <w:rsid w:val="009F63B7"/>
    <w:rsid w:val="00A11800"/>
    <w:rsid w:val="00A13B48"/>
    <w:rsid w:val="00A5416F"/>
    <w:rsid w:val="00A61B1D"/>
    <w:rsid w:val="00A93641"/>
    <w:rsid w:val="00A95E97"/>
    <w:rsid w:val="00AE7C0E"/>
    <w:rsid w:val="00B0167F"/>
    <w:rsid w:val="00B31146"/>
    <w:rsid w:val="00B50140"/>
    <w:rsid w:val="00B85D8E"/>
    <w:rsid w:val="00BA2FB7"/>
    <w:rsid w:val="00C650A0"/>
    <w:rsid w:val="00C77AB0"/>
    <w:rsid w:val="00C82718"/>
    <w:rsid w:val="00C95184"/>
    <w:rsid w:val="00CB1567"/>
    <w:rsid w:val="00CD75B7"/>
    <w:rsid w:val="00CE0572"/>
    <w:rsid w:val="00CE5510"/>
    <w:rsid w:val="00D13FC2"/>
    <w:rsid w:val="00D16CA9"/>
    <w:rsid w:val="00D26263"/>
    <w:rsid w:val="00D271F8"/>
    <w:rsid w:val="00DB2074"/>
    <w:rsid w:val="00DC6DC0"/>
    <w:rsid w:val="00E02A06"/>
    <w:rsid w:val="00E30F6E"/>
    <w:rsid w:val="00E413FE"/>
    <w:rsid w:val="00E5041D"/>
    <w:rsid w:val="00E71631"/>
    <w:rsid w:val="00F10F33"/>
    <w:rsid w:val="00F145AD"/>
    <w:rsid w:val="00F537ED"/>
    <w:rsid w:val="00F53ED4"/>
    <w:rsid w:val="00F600B3"/>
    <w:rsid w:val="00FF7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58E45F41D6A448459BFFB57F8F66E8E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B3AF853F09546DD9B78BAA518E1F39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14</Pages>
  <Words>6303</Words>
  <Characters>7780</Characters>
  <Lines>74</Lines>
  <Paragraphs>20</Paragraphs>
  <TotalTime>0</TotalTime>
  <ScaleCrop>false</ScaleCrop>
  <LinksUpToDate>false</LinksUpToDate>
  <CharactersWithSpaces>8125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2026-02-19T18:30:00Z</dcterms:created>
  <dc:creator>高晓明</dc:creator>
  <cp:lastModifiedBy>陈文昕</cp:lastModifiedBy>
  <cp:lastPrinted>2026-07-20T02:20:12Z</cp:lastPrinted>
  <dcterms:modified xsi:type="dcterms:W3CDTF">2026-07-20T02:20:14Z</dcterms:modified>
  <dc:title>国家标准</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3AA5A5620CC743AB9AA7026ABAA284A2_12</vt:lpwstr>
  </property>
  <property fmtid="{D5CDD505-2E9C-101B-9397-08002B2CF9AE}" pid="16" name="KSOTemplateDocerSaveRecord">
    <vt:lpwstr>eyJoZGlkIjoiN2FlZGZlODdlZTZiODE1YjgxZmQ3YWZhYWVjY2M4ZDgiLCJ1c2VySWQiOiIzMjY1MjczMzIifQ==</vt:lpwstr>
  </property>
</Properties>
</file>