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97F7C">
      <w:pPr>
        <w:pStyle w:val="2"/>
        <w:keepNext w:val="0"/>
        <w:keepLines w:val="0"/>
        <w:pageBreakBefore w:val="0"/>
        <w:widowControl w:val="0"/>
        <w:kinsoku/>
        <w:wordWrap/>
        <w:overflowPunct w:val="0"/>
        <w:topLinePunct w:val="0"/>
        <w:autoSpaceDE/>
        <w:autoSpaceDN/>
        <w:bidi w:val="0"/>
        <w:spacing w:before="0" w:after="0" w:line="579" w:lineRule="exact"/>
        <w:textAlignment w:val="auto"/>
        <w:rPr>
          <w:rFonts w:hint="eastAsia"/>
          <w:color w:val="auto"/>
          <w:spacing w:val="0"/>
          <w:kern w:val="21"/>
        </w:rPr>
      </w:pPr>
      <w:bookmarkStart w:id="0" w:name="_Toc5153"/>
      <w:bookmarkStart w:id="1" w:name="_Toc31169"/>
      <w:bookmarkStart w:id="2" w:name="_Toc15030"/>
    </w:p>
    <w:p w14:paraId="1A4CFA3D">
      <w:pPr>
        <w:keepNext w:val="0"/>
        <w:keepLines w:val="0"/>
        <w:pageBreakBefore w:val="0"/>
        <w:widowControl w:val="0"/>
        <w:kinsoku/>
        <w:wordWrap/>
        <w:overflowPunct w:val="0"/>
        <w:topLinePunct w:val="0"/>
        <w:autoSpaceDE/>
        <w:autoSpaceDN/>
        <w:bidi w:val="0"/>
        <w:adjustRightInd/>
        <w:snapToGrid/>
        <w:spacing w:line="579" w:lineRule="exact"/>
        <w:ind w:firstLine="0" w:firstLineChars="0"/>
        <w:jc w:val="center"/>
        <w:textAlignment w:val="auto"/>
        <w:rPr>
          <w:rFonts w:hint="eastAsia" w:ascii="仿宋_GB2312" w:hAnsi="仿宋_GB2312" w:eastAsia="方正小标宋简体" w:cs="方正小标宋简体"/>
          <w:bCs/>
          <w:color w:val="auto"/>
          <w:spacing w:val="0"/>
          <w:kern w:val="21"/>
          <w:sz w:val="44"/>
          <w:szCs w:val="44"/>
        </w:rPr>
      </w:pPr>
      <w:r>
        <w:rPr>
          <w:rFonts w:hint="eastAsia" w:ascii="仿宋_GB2312" w:hAnsi="仿宋_GB2312" w:eastAsia="方正小标宋简体" w:cs="方正小标宋简体"/>
          <w:bCs/>
          <w:color w:val="auto"/>
          <w:spacing w:val="0"/>
          <w:kern w:val="21"/>
          <w:sz w:val="44"/>
          <w:szCs w:val="44"/>
        </w:rPr>
        <w:t>延安市国民经济和社会发展</w:t>
      </w:r>
      <w:bookmarkStart w:id="181" w:name="_GoBack"/>
      <w:bookmarkEnd w:id="181"/>
    </w:p>
    <w:p w14:paraId="6CCE9F82">
      <w:pPr>
        <w:pStyle w:val="4"/>
        <w:keepNext w:val="0"/>
        <w:keepLines w:val="0"/>
        <w:pageBreakBefore w:val="0"/>
        <w:widowControl w:val="0"/>
        <w:kinsoku/>
        <w:wordWrap/>
        <w:overflowPunct w:val="0"/>
        <w:topLinePunct w:val="0"/>
        <w:autoSpaceDE/>
        <w:autoSpaceDN/>
        <w:bidi w:val="0"/>
        <w:adjustRightInd/>
        <w:snapToGrid/>
        <w:spacing w:before="0" w:beforeLines="0" w:after="0" w:afterLines="0" w:line="579" w:lineRule="exact"/>
        <w:jc w:val="center"/>
        <w:textAlignment w:val="auto"/>
        <w:rPr>
          <w:rFonts w:hint="eastAsia"/>
          <w:color w:val="auto"/>
          <w:spacing w:val="0"/>
          <w:kern w:val="21"/>
          <w:sz w:val="30"/>
          <w:szCs w:val="30"/>
        </w:rPr>
      </w:pPr>
      <w:r>
        <w:rPr>
          <w:rFonts w:hint="eastAsia" w:ascii="仿宋_GB2312" w:hAnsi="仿宋_GB2312" w:eastAsia="方正小标宋简体" w:cs="方正小标宋简体"/>
          <w:bCs/>
          <w:color w:val="auto"/>
          <w:spacing w:val="0"/>
          <w:kern w:val="21"/>
          <w:sz w:val="44"/>
          <w:szCs w:val="44"/>
        </w:rPr>
        <w:t>第十五个五年规划纲要</w:t>
      </w:r>
    </w:p>
    <w:p w14:paraId="53881812">
      <w:pPr>
        <w:keepNext w:val="0"/>
        <w:keepLines w:val="0"/>
        <w:pageBreakBefore w:val="0"/>
        <w:widowControl w:val="0"/>
        <w:kinsoku/>
        <w:wordWrap/>
        <w:overflowPunct w:val="0"/>
        <w:topLinePunct w:val="0"/>
        <w:autoSpaceDE/>
        <w:autoSpaceDN/>
        <w:bidi w:val="0"/>
        <w:spacing w:line="579" w:lineRule="exact"/>
        <w:ind w:left="0" w:leftChars="0" w:firstLine="0" w:firstLineChars="0"/>
        <w:jc w:val="both"/>
        <w:textAlignment w:val="auto"/>
        <w:rPr>
          <w:rFonts w:hint="eastAsia" w:ascii="楷体_GB2312" w:hAnsi="楷体_GB2312" w:eastAsia="楷体_GB2312" w:cs="楷体_GB2312"/>
          <w:color w:val="auto"/>
          <w:spacing w:val="0"/>
          <w:kern w:val="21"/>
          <w:lang w:eastAsia="zh-CN"/>
        </w:rPr>
      </w:pPr>
      <w:r>
        <w:rPr>
          <w:rFonts w:hint="eastAsia" w:ascii="楷体_GB2312" w:hAnsi="楷体_GB2312" w:eastAsia="楷体_GB2312" w:cs="楷体_GB2312"/>
          <w:color w:val="auto"/>
          <w:spacing w:val="0"/>
          <w:kern w:val="21"/>
          <w:lang w:eastAsia="zh-CN"/>
        </w:rPr>
        <w:t>（2026年2月5日延安市第六届人民代表大会第六次会议批准）</w:t>
      </w:r>
    </w:p>
    <w:p w14:paraId="2C0F9F26">
      <w:pPr>
        <w:pStyle w:val="2"/>
        <w:rPr>
          <w:rFonts w:hint="eastAsia"/>
          <w:color w:val="auto"/>
          <w:lang w:eastAsia="zh-CN"/>
        </w:rPr>
      </w:pPr>
    </w:p>
    <w:p w14:paraId="13FF662E">
      <w:pPr>
        <w:pStyle w:val="4"/>
        <w:keepNext w:val="0"/>
        <w:keepLines w:val="0"/>
        <w:pageBreakBefore w:val="0"/>
        <w:widowControl w:val="0"/>
        <w:kinsoku/>
        <w:wordWrap/>
        <w:overflowPunct w:val="0"/>
        <w:topLinePunct w:val="0"/>
        <w:autoSpaceDE/>
        <w:autoSpaceDN/>
        <w:bidi w:val="0"/>
        <w:adjustRightInd/>
        <w:snapToGrid/>
        <w:spacing w:before="0" w:beforeLines="0" w:after="0" w:afterLines="0" w:line="579" w:lineRule="exact"/>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第一篇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Cs w:val="36"/>
        </w:rPr>
        <w:t>“十五五”时期是</w:t>
      </w:r>
    </w:p>
    <w:p w14:paraId="572EEF6F">
      <w:pPr>
        <w:pStyle w:val="4"/>
        <w:keepNext w:val="0"/>
        <w:keepLines w:val="0"/>
        <w:pageBreakBefore w:val="0"/>
        <w:widowControl w:val="0"/>
        <w:kinsoku/>
        <w:wordWrap/>
        <w:overflowPunct w:val="0"/>
        <w:topLinePunct w:val="0"/>
        <w:autoSpaceDE/>
        <w:autoSpaceDN/>
        <w:bidi w:val="0"/>
        <w:adjustRightInd/>
        <w:snapToGrid/>
        <w:spacing w:before="0" w:beforeLines="0" w:after="0" w:afterLines="0" w:line="579" w:lineRule="exact"/>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Cs w:val="36"/>
        </w:rPr>
        <w:t>延安加快推进高质量发展现代化建设的关键时期</w:t>
      </w:r>
      <w:bookmarkEnd w:id="0"/>
      <w:bookmarkEnd w:id="1"/>
      <w:bookmarkEnd w:id="2"/>
    </w:p>
    <w:p w14:paraId="6728658B">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0"/>
          <w:szCs w:val="30"/>
        </w:rPr>
      </w:pPr>
    </w:p>
    <w:p w14:paraId="480E3389">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2"/>
          <w:szCs w:val="32"/>
        </w:rPr>
        <w:t>全面总结“十四五”发展成就和实践经验，科学</w:t>
      </w:r>
      <w:r>
        <w:rPr>
          <w:rFonts w:hint="eastAsia" w:ascii="仿宋_GB2312" w:hAnsi="仿宋_GB2312"/>
          <w:color w:val="auto"/>
          <w:spacing w:val="0"/>
          <w:kern w:val="21"/>
          <w:sz w:val="32"/>
          <w:szCs w:val="32"/>
          <w:lang w:val="en-US" w:eastAsia="zh-CN"/>
        </w:rPr>
        <w:t>审视</w:t>
      </w:r>
      <w:r>
        <w:rPr>
          <w:rFonts w:hint="eastAsia" w:ascii="仿宋_GB2312" w:hAnsi="仿宋_GB2312"/>
          <w:color w:val="auto"/>
          <w:spacing w:val="0"/>
          <w:kern w:val="21"/>
          <w:sz w:val="32"/>
          <w:szCs w:val="32"/>
        </w:rPr>
        <w:t>发展环境</w:t>
      </w:r>
      <w:r>
        <w:rPr>
          <w:rFonts w:hint="eastAsia" w:ascii="仿宋_GB2312" w:hAnsi="仿宋_GB2312"/>
          <w:color w:val="auto"/>
          <w:spacing w:val="0"/>
          <w:kern w:val="21"/>
          <w:sz w:val="32"/>
          <w:szCs w:val="32"/>
          <w:lang w:val="en-US" w:eastAsia="zh-CN"/>
        </w:rPr>
        <w:t>和市情特征</w:t>
      </w:r>
      <w:r>
        <w:rPr>
          <w:rFonts w:hint="eastAsia" w:ascii="仿宋_GB2312" w:hAnsi="仿宋_GB2312"/>
          <w:color w:val="auto"/>
          <w:spacing w:val="0"/>
          <w:kern w:val="21"/>
          <w:sz w:val="32"/>
          <w:szCs w:val="32"/>
        </w:rPr>
        <w:t>，</w:t>
      </w:r>
      <w:r>
        <w:rPr>
          <w:rFonts w:hint="eastAsia" w:ascii="仿宋_GB2312" w:hAnsi="仿宋_GB2312"/>
          <w:color w:val="auto"/>
          <w:spacing w:val="0"/>
          <w:kern w:val="21"/>
          <w:sz w:val="32"/>
          <w:szCs w:val="32"/>
          <w:lang w:val="en-US" w:eastAsia="zh-CN"/>
        </w:rPr>
        <w:t>找准</w:t>
      </w:r>
      <w:r>
        <w:rPr>
          <w:rFonts w:hint="eastAsia" w:ascii="仿宋_GB2312" w:hAnsi="仿宋_GB2312"/>
          <w:color w:val="auto"/>
          <w:spacing w:val="0"/>
          <w:kern w:val="21"/>
          <w:sz w:val="32"/>
          <w:szCs w:val="32"/>
        </w:rPr>
        <w:t>延安</w:t>
      </w:r>
      <w:r>
        <w:rPr>
          <w:rFonts w:hint="eastAsia" w:ascii="仿宋_GB2312" w:hAnsi="仿宋_GB2312"/>
          <w:color w:val="auto"/>
          <w:spacing w:val="0"/>
          <w:kern w:val="21"/>
          <w:sz w:val="32"/>
          <w:szCs w:val="32"/>
          <w:lang w:val="en-US" w:eastAsia="zh-CN"/>
        </w:rPr>
        <w:t>在全国全省发展大局中的定位，科学确定</w:t>
      </w:r>
      <w:r>
        <w:rPr>
          <w:rFonts w:hint="eastAsia" w:ascii="仿宋_GB2312" w:hAnsi="仿宋_GB2312"/>
          <w:color w:val="auto"/>
          <w:spacing w:val="0"/>
          <w:kern w:val="21"/>
          <w:sz w:val="32"/>
          <w:szCs w:val="32"/>
        </w:rPr>
        <w:t>发展目标</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锚定“一园四区”发展定位</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加快振兴发展</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推进</w:t>
      </w:r>
      <w:r>
        <w:rPr>
          <w:rFonts w:hint="eastAsia" w:ascii="仿宋_GB2312" w:hAnsi="仿宋_GB2312"/>
          <w:color w:val="auto"/>
          <w:spacing w:val="0"/>
          <w:kern w:val="21"/>
          <w:sz w:val="32"/>
          <w:szCs w:val="32"/>
          <w:highlight w:val="none"/>
        </w:rPr>
        <w:t>延安</w:t>
      </w:r>
      <w:r>
        <w:rPr>
          <w:rFonts w:hint="eastAsia" w:ascii="仿宋_GB2312" w:hAnsi="仿宋_GB2312"/>
          <w:color w:val="auto"/>
          <w:spacing w:val="0"/>
          <w:kern w:val="21"/>
          <w:sz w:val="32"/>
          <w:szCs w:val="32"/>
          <w:highlight w:val="none"/>
          <w:lang w:val="en-US" w:eastAsia="zh-CN"/>
        </w:rPr>
        <w:t>高质量发展现代化建设</w:t>
      </w:r>
      <w:r>
        <w:rPr>
          <w:rFonts w:hint="eastAsia" w:ascii="仿宋_GB2312" w:hAnsi="仿宋_GB2312"/>
          <w:color w:val="auto"/>
          <w:spacing w:val="0"/>
          <w:kern w:val="21"/>
          <w:sz w:val="32"/>
          <w:szCs w:val="32"/>
          <w:highlight w:val="none"/>
        </w:rPr>
        <w:t>“一六四”工作布局</w:t>
      </w:r>
      <w:r>
        <w:rPr>
          <w:rFonts w:hint="eastAsia" w:ascii="仿宋_GB2312" w:hAnsi="仿宋_GB2312"/>
          <w:color w:val="auto"/>
          <w:spacing w:val="0"/>
          <w:kern w:val="21"/>
          <w:sz w:val="32"/>
          <w:szCs w:val="32"/>
        </w:rPr>
        <w:t>持续蓄势、基本成势，为谱写陕西新篇、争做西部示范</w:t>
      </w:r>
      <w:r>
        <w:rPr>
          <w:rFonts w:hint="eastAsia" w:ascii="仿宋_GB2312" w:hAnsi="仿宋_GB2312" w:cs="仿宋_GB2312"/>
          <w:b w:val="0"/>
          <w:bCs/>
          <w:color w:val="auto"/>
          <w:spacing w:val="0"/>
          <w:kern w:val="21"/>
          <w:sz w:val="32"/>
          <w:szCs w:val="32"/>
          <w:lang w:val="en-US" w:eastAsia="zh-CN"/>
        </w:rPr>
        <w:t>勇担使命、增光添彩</w:t>
      </w:r>
      <w:r>
        <w:rPr>
          <w:rFonts w:hint="eastAsia" w:ascii="仿宋_GB2312" w:hAnsi="仿宋_GB2312"/>
          <w:color w:val="auto"/>
          <w:spacing w:val="0"/>
          <w:kern w:val="21"/>
          <w:sz w:val="32"/>
          <w:szCs w:val="32"/>
        </w:rPr>
        <w:t>。</w:t>
      </w:r>
    </w:p>
    <w:p w14:paraId="194C2E70">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color w:val="auto"/>
          <w:spacing w:val="0"/>
          <w:kern w:val="21"/>
          <w:sz w:val="32"/>
          <w:szCs w:val="32"/>
        </w:rPr>
      </w:pPr>
      <w:bookmarkStart w:id="3" w:name="_Toc14832"/>
      <w:bookmarkStart w:id="4" w:name="_Toc13320"/>
      <w:bookmarkStart w:id="5" w:name="_Toc17717"/>
    </w:p>
    <w:p w14:paraId="72017F50">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color w:val="auto"/>
          <w:spacing w:val="0"/>
          <w:kern w:val="21"/>
          <w:sz w:val="32"/>
          <w:szCs w:val="32"/>
        </w:rPr>
      </w:pPr>
      <w:r>
        <w:rPr>
          <w:rFonts w:hint="eastAsia"/>
          <w:color w:val="auto"/>
          <w:spacing w:val="0"/>
          <w:kern w:val="21"/>
          <w:sz w:val="32"/>
          <w:szCs w:val="32"/>
        </w:rPr>
        <w:t>第一章</w:t>
      </w:r>
      <w:r>
        <w:rPr>
          <w:rFonts w:hint="eastAsia"/>
          <w:color w:val="auto"/>
          <w:spacing w:val="0"/>
          <w:kern w:val="21"/>
          <w:sz w:val="32"/>
          <w:szCs w:val="32"/>
          <w:lang w:val="en-US" w:eastAsia="zh-CN"/>
        </w:rPr>
        <w:t xml:space="preserve">  </w:t>
      </w:r>
      <w:r>
        <w:rPr>
          <w:rFonts w:hint="eastAsia"/>
          <w:color w:val="auto"/>
          <w:spacing w:val="0"/>
          <w:kern w:val="21"/>
          <w:sz w:val="32"/>
          <w:szCs w:val="32"/>
        </w:rPr>
        <w:t>发展基础</w:t>
      </w:r>
      <w:bookmarkEnd w:id="3"/>
      <w:bookmarkEnd w:id="4"/>
      <w:bookmarkEnd w:id="5"/>
    </w:p>
    <w:p w14:paraId="0DCFA9A5">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rPr>
      </w:pPr>
    </w:p>
    <w:p w14:paraId="3D1EF335">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highlight w:val="none"/>
        </w:rPr>
      </w:pPr>
      <w:r>
        <w:rPr>
          <w:rFonts w:hint="eastAsia" w:ascii="仿宋_GB2312" w:hAnsi="仿宋_GB2312"/>
          <w:color w:val="auto"/>
          <w:spacing w:val="0"/>
          <w:kern w:val="21"/>
          <w:sz w:val="32"/>
          <w:szCs w:val="32"/>
        </w:rPr>
        <w:t>“十四五”时期是我国发展极不寻常、极不平凡的五年，是全省发展进程中具有里程碑意义的五年，也是延安各项事业追赶</w:t>
      </w:r>
      <w:r>
        <w:rPr>
          <w:rFonts w:hint="eastAsia" w:ascii="仿宋_GB2312" w:hAnsi="仿宋_GB2312"/>
          <w:color w:val="auto"/>
          <w:spacing w:val="0"/>
          <w:kern w:val="21"/>
          <w:sz w:val="32"/>
          <w:szCs w:val="32"/>
          <w:highlight w:val="none"/>
        </w:rPr>
        <w:t>超越、出彩添彩的五年。五年来，面对错综复杂的外部环境和艰巨繁重的改革发展稳定任务，全市上下坚持以习近平新时代中国特色社会主义思想为指导，贯通落实习近平总书记历次来陕考察重要讲话重要指示，聚焦“为谱写陕西新篇、争做西部示范增光添彩”时代使命，扎实推动延安</w:t>
      </w:r>
      <w:r>
        <w:rPr>
          <w:rFonts w:hint="eastAsia" w:ascii="仿宋_GB2312" w:hAnsi="仿宋_GB2312"/>
          <w:color w:val="auto"/>
          <w:spacing w:val="0"/>
          <w:kern w:val="21"/>
          <w:sz w:val="32"/>
          <w:szCs w:val="32"/>
          <w:highlight w:val="none"/>
          <w:lang w:val="en-US" w:eastAsia="zh-CN"/>
        </w:rPr>
        <w:t>高质量发展现代化建设</w:t>
      </w:r>
      <w:r>
        <w:rPr>
          <w:rFonts w:hint="eastAsia" w:ascii="仿宋_GB2312" w:hAnsi="仿宋_GB2312"/>
          <w:color w:val="auto"/>
          <w:spacing w:val="0"/>
          <w:kern w:val="21"/>
          <w:sz w:val="32"/>
          <w:szCs w:val="32"/>
          <w:highlight w:val="none"/>
        </w:rPr>
        <w:t>“一六四”工作布局突破起势、全面蓄势，经济社会发展实现了一系列具有标志性意义的重大突破，高质量发展迈出坚实步伐。</w:t>
      </w:r>
    </w:p>
    <w:p w14:paraId="52C40E98">
      <w:pPr>
        <w:keepNext w:val="0"/>
        <w:keepLines w:val="0"/>
        <w:pageBreakBefore w:val="0"/>
        <w:widowControl w:val="0"/>
        <w:kinsoku/>
        <w:wordWrap/>
        <w:overflowPunct w:val="0"/>
        <w:topLinePunct w:val="0"/>
        <w:autoSpaceDE/>
        <w:autoSpaceDN/>
        <w:bidi w:val="0"/>
        <w:adjustRightInd/>
        <w:snapToGrid/>
        <w:spacing w:line="579" w:lineRule="exact"/>
        <w:textAlignment w:val="auto"/>
        <w:rPr>
          <w:rFonts w:hint="eastAsia" w:ascii="仿宋_GB2312" w:hAnsi="仿宋_GB2312" w:eastAsia="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经济发展取得重大突破。</w:t>
      </w:r>
      <w:r>
        <w:rPr>
          <w:rFonts w:hint="eastAsia" w:ascii="仿宋_GB2312" w:hAnsi="仿宋_GB2312"/>
          <w:color w:val="auto"/>
          <w:spacing w:val="0"/>
          <w:kern w:val="21"/>
          <w:sz w:val="32"/>
          <w:szCs w:val="32"/>
        </w:rPr>
        <w:t>经济运行稳中有进，地区生产总值</w:t>
      </w:r>
      <w:r>
        <w:rPr>
          <w:rFonts w:hint="eastAsia" w:ascii="仿宋_GB2312" w:hAnsi="仿宋_GB2312"/>
          <w:color w:val="auto"/>
          <w:spacing w:val="0"/>
          <w:kern w:val="21"/>
          <w:sz w:val="32"/>
          <w:szCs w:val="32"/>
          <w:lang w:val="en-US" w:eastAsia="zh-CN"/>
        </w:rPr>
        <w:t>突破</w:t>
      </w:r>
      <w:r>
        <w:rPr>
          <w:rFonts w:hint="eastAsia" w:ascii="仿宋_GB2312" w:hAnsi="仿宋_GB2312"/>
          <w:color w:val="auto"/>
          <w:spacing w:val="0"/>
          <w:kern w:val="21"/>
          <w:sz w:val="32"/>
          <w:szCs w:val="32"/>
        </w:rPr>
        <w:t>2000亿元</w:t>
      </w:r>
      <w:r>
        <w:rPr>
          <w:rFonts w:hint="eastAsia" w:ascii="仿宋_GB2312" w:hAnsi="仿宋_GB2312"/>
          <w:color w:val="auto"/>
          <w:spacing w:val="0"/>
          <w:kern w:val="21"/>
          <w:sz w:val="32"/>
          <w:szCs w:val="32"/>
          <w:lang w:val="en-US" w:eastAsia="zh-CN"/>
        </w:rPr>
        <w:t>大关</w:t>
      </w:r>
      <w:r>
        <w:rPr>
          <w:rFonts w:hint="eastAsia" w:ascii="仿宋_GB2312" w:hAnsi="仿宋_GB2312"/>
          <w:color w:val="auto"/>
          <w:spacing w:val="0"/>
          <w:kern w:val="21"/>
          <w:sz w:val="32"/>
          <w:szCs w:val="32"/>
        </w:rPr>
        <w:t>，提前一年完成了“十四五”确定的生产总值总量任务，达到</w:t>
      </w:r>
      <w:r>
        <w:rPr>
          <w:rFonts w:hint="eastAsia" w:ascii="仿宋_GB2312" w:hAnsi="仿宋_GB2312"/>
          <w:color w:val="auto"/>
          <w:spacing w:val="0"/>
          <w:kern w:val="21"/>
          <w:sz w:val="32"/>
          <w:szCs w:val="32"/>
          <w:lang w:val="en-US" w:eastAsia="zh-CN"/>
        </w:rPr>
        <w:t>2372.17</w:t>
      </w:r>
      <w:r>
        <w:rPr>
          <w:rFonts w:hint="eastAsia" w:ascii="仿宋_GB2312" w:hAnsi="仿宋_GB2312"/>
          <w:color w:val="auto"/>
          <w:spacing w:val="0"/>
          <w:kern w:val="21"/>
          <w:sz w:val="32"/>
          <w:szCs w:val="32"/>
        </w:rPr>
        <w:t>亿元，较“十三五”末净增</w:t>
      </w:r>
      <w:r>
        <w:rPr>
          <w:rFonts w:hint="eastAsia" w:ascii="仿宋_GB2312" w:hAnsi="仿宋_GB2312"/>
          <w:color w:val="auto"/>
          <w:spacing w:val="0"/>
          <w:kern w:val="21"/>
          <w:sz w:val="32"/>
          <w:szCs w:val="32"/>
          <w:lang w:val="en-US" w:eastAsia="zh-CN"/>
        </w:rPr>
        <w:t>764.39</w:t>
      </w:r>
      <w:r>
        <w:rPr>
          <w:rFonts w:hint="eastAsia" w:ascii="仿宋_GB2312" w:hAnsi="仿宋_GB2312"/>
          <w:color w:val="auto"/>
          <w:spacing w:val="0"/>
          <w:kern w:val="21"/>
          <w:sz w:val="32"/>
          <w:szCs w:val="32"/>
        </w:rPr>
        <w:t>亿元，年均增长</w:t>
      </w:r>
      <w:r>
        <w:rPr>
          <w:rFonts w:hint="eastAsia" w:ascii="仿宋_GB2312" w:hAnsi="仿宋_GB2312"/>
          <w:color w:val="auto"/>
          <w:spacing w:val="0"/>
          <w:kern w:val="21"/>
          <w:sz w:val="32"/>
          <w:szCs w:val="32"/>
          <w:lang w:val="en-US" w:eastAsia="zh-CN"/>
        </w:rPr>
        <w:t>5.1</w:t>
      </w:r>
      <w:r>
        <w:rPr>
          <w:rFonts w:hint="eastAsia" w:ascii="仿宋_GB2312" w:hAnsi="仿宋_GB2312"/>
          <w:color w:val="auto"/>
          <w:spacing w:val="0"/>
          <w:kern w:val="21"/>
          <w:sz w:val="32"/>
          <w:szCs w:val="32"/>
        </w:rPr>
        <w:t>%。人均生产总值突破10万元大关，位居全省第</w:t>
      </w:r>
      <w:r>
        <w:rPr>
          <w:rFonts w:hint="eastAsia" w:ascii="仿宋_GB2312" w:hAnsi="仿宋_GB2312"/>
          <w:color w:val="auto"/>
          <w:spacing w:val="0"/>
          <w:kern w:val="21"/>
          <w:sz w:val="32"/>
          <w:szCs w:val="32"/>
          <w:lang w:val="en-US" w:eastAsia="zh-CN"/>
        </w:rPr>
        <w:t>一方阵</w:t>
      </w:r>
      <w:r>
        <w:rPr>
          <w:rFonts w:hint="eastAsia" w:ascii="仿宋_GB2312" w:hAnsi="仿宋_GB2312"/>
          <w:color w:val="auto"/>
          <w:spacing w:val="0"/>
          <w:kern w:val="21"/>
          <w:sz w:val="32"/>
          <w:szCs w:val="32"/>
        </w:rPr>
        <w:t>。地方财政收入达到</w:t>
      </w:r>
      <w:r>
        <w:rPr>
          <w:rFonts w:hint="eastAsia" w:ascii="仿宋_GB2312" w:hAnsi="仿宋_GB2312"/>
          <w:color w:val="auto"/>
          <w:spacing w:val="0"/>
          <w:kern w:val="21"/>
          <w:sz w:val="32"/>
          <w:szCs w:val="32"/>
          <w:lang w:val="en-US" w:eastAsia="zh-CN"/>
        </w:rPr>
        <w:t>174</w:t>
      </w:r>
      <w:r>
        <w:rPr>
          <w:rFonts w:hint="eastAsia" w:ascii="仿宋_GB2312" w:hAnsi="仿宋_GB2312"/>
          <w:color w:val="auto"/>
          <w:spacing w:val="0"/>
          <w:kern w:val="21"/>
          <w:sz w:val="32"/>
          <w:szCs w:val="32"/>
        </w:rPr>
        <w:t>亿元</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稳居全省第三</w:t>
      </w:r>
      <w:r>
        <w:rPr>
          <w:rFonts w:hint="eastAsia" w:ascii="仿宋_GB2312" w:hAnsi="仿宋_GB2312"/>
          <w:color w:val="auto"/>
          <w:spacing w:val="0"/>
          <w:kern w:val="21"/>
          <w:sz w:val="32"/>
          <w:szCs w:val="32"/>
        </w:rPr>
        <w:t>。固定资产投资</w:t>
      </w:r>
      <w:r>
        <w:rPr>
          <w:rFonts w:hint="eastAsia" w:ascii="仿宋_GB2312" w:hAnsi="仿宋_GB2312"/>
          <w:color w:val="auto"/>
          <w:spacing w:val="0"/>
          <w:kern w:val="21"/>
          <w:sz w:val="32"/>
          <w:szCs w:val="32"/>
          <w:lang w:val="en-US" w:eastAsia="zh-CN"/>
        </w:rPr>
        <w:t>累计</w:t>
      </w:r>
      <w:r>
        <w:rPr>
          <w:rFonts w:hint="eastAsia" w:ascii="仿宋_GB2312" w:hAnsi="仿宋_GB2312"/>
          <w:color w:val="auto"/>
          <w:spacing w:val="0"/>
          <w:kern w:val="21"/>
          <w:sz w:val="32"/>
          <w:szCs w:val="32"/>
        </w:rPr>
        <w:t>完成3</w:t>
      </w:r>
      <w:r>
        <w:rPr>
          <w:rFonts w:hint="eastAsia" w:ascii="仿宋_GB2312" w:hAnsi="仿宋_GB2312"/>
          <w:color w:val="auto"/>
          <w:spacing w:val="0"/>
          <w:kern w:val="21"/>
          <w:sz w:val="32"/>
          <w:szCs w:val="32"/>
          <w:lang w:val="en-US" w:eastAsia="zh-CN"/>
        </w:rPr>
        <w:t>7</w:t>
      </w:r>
      <w:r>
        <w:rPr>
          <w:rFonts w:hint="eastAsia" w:ascii="仿宋_GB2312" w:hAnsi="仿宋_GB2312"/>
          <w:color w:val="auto"/>
          <w:spacing w:val="0"/>
          <w:kern w:val="21"/>
          <w:sz w:val="32"/>
          <w:szCs w:val="32"/>
        </w:rPr>
        <w:t>00亿元</w:t>
      </w:r>
      <w:r>
        <w:rPr>
          <w:rFonts w:hint="eastAsia" w:ascii="仿宋_GB2312" w:hAnsi="仿宋_GB2312"/>
          <w:color w:val="auto"/>
          <w:spacing w:val="0"/>
          <w:kern w:val="21"/>
          <w:sz w:val="32"/>
          <w:szCs w:val="32"/>
          <w:lang w:val="en-US" w:eastAsia="zh-CN"/>
        </w:rPr>
        <w:t>以上</w:t>
      </w:r>
      <w:r>
        <w:rPr>
          <w:rFonts w:hint="eastAsia" w:ascii="仿宋_GB2312" w:hAnsi="仿宋_GB2312"/>
          <w:color w:val="auto"/>
          <w:spacing w:val="0"/>
          <w:kern w:val="21"/>
          <w:sz w:val="32"/>
          <w:szCs w:val="32"/>
        </w:rPr>
        <w:t>。</w:t>
      </w:r>
    </w:p>
    <w:p w14:paraId="0C0FE1EE">
      <w:pPr>
        <w:keepNext w:val="0"/>
        <w:keepLines w:val="0"/>
        <w:pageBreakBefore w:val="0"/>
        <w:widowControl w:val="0"/>
        <w:kinsoku/>
        <w:wordWrap/>
        <w:overflowPunct w:val="0"/>
        <w:topLinePunct w:val="0"/>
        <w:autoSpaceDE/>
        <w:autoSpaceDN/>
        <w:bidi w:val="0"/>
        <w:adjustRightInd/>
        <w:snapToGrid/>
        <w:spacing w:line="579" w:lineRule="exact"/>
        <w:textAlignment w:val="auto"/>
        <w:rPr>
          <w:rFonts w:hint="eastAsia" w:ascii="仿宋_GB2312" w:hAnsi="仿宋_GB2312" w:eastAsia="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科技创新</w:t>
      </w:r>
      <w:r>
        <w:rPr>
          <w:rFonts w:hint="eastAsia" w:ascii="楷体_GB2312" w:hAnsi="楷体_GB2312" w:eastAsia="楷体_GB2312" w:cs="楷体_GB2312"/>
          <w:b w:val="0"/>
          <w:bCs w:val="0"/>
          <w:color w:val="auto"/>
          <w:spacing w:val="0"/>
          <w:kern w:val="21"/>
          <w:sz w:val="32"/>
          <w:szCs w:val="32"/>
          <w:lang w:val="en-US" w:eastAsia="zh-CN"/>
        </w:rPr>
        <w:t>取得</w:t>
      </w:r>
      <w:r>
        <w:rPr>
          <w:rFonts w:hint="eastAsia" w:ascii="楷体_GB2312" w:hAnsi="楷体_GB2312" w:eastAsia="楷体_GB2312" w:cs="楷体_GB2312"/>
          <w:b w:val="0"/>
          <w:bCs w:val="0"/>
          <w:color w:val="auto"/>
          <w:spacing w:val="0"/>
          <w:kern w:val="21"/>
          <w:sz w:val="32"/>
          <w:szCs w:val="32"/>
        </w:rPr>
        <w:t>重大突破。</w:t>
      </w:r>
      <w:r>
        <w:rPr>
          <w:rFonts w:hint="eastAsia" w:ascii="仿宋_GB2312" w:hAnsi="仿宋_GB2312"/>
          <w:color w:val="auto"/>
          <w:spacing w:val="0"/>
          <w:kern w:val="21"/>
          <w:sz w:val="32"/>
          <w:szCs w:val="32"/>
        </w:rPr>
        <w:t>实施两链融合、平台提升、企业倍增等工程，全市累计建成各类科技创新研发平台598个</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设立院士工作站42个、专家工作站18个。秦创原（延安）创新促进中心、</w:t>
      </w:r>
      <w:r>
        <w:rPr>
          <w:rFonts w:hint="eastAsia" w:ascii="仿宋_GB2312" w:hAnsi="仿宋_GB2312"/>
          <w:color w:val="auto"/>
          <w:spacing w:val="0"/>
          <w:kern w:val="21"/>
          <w:sz w:val="32"/>
          <w:szCs w:val="32"/>
          <w:lang w:val="en-US" w:eastAsia="zh-CN"/>
        </w:rPr>
        <w:t>延安</w:t>
      </w:r>
      <w:r>
        <w:rPr>
          <w:rFonts w:hint="eastAsia" w:ascii="仿宋_GB2312" w:hAnsi="仿宋_GB2312"/>
          <w:color w:val="auto"/>
          <w:spacing w:val="0"/>
          <w:kern w:val="21"/>
          <w:sz w:val="32"/>
          <w:szCs w:val="32"/>
        </w:rPr>
        <w:t>苹果研究院等科创平台建成投</w:t>
      </w:r>
      <w:r>
        <w:rPr>
          <w:rFonts w:hint="eastAsia" w:ascii="仿宋_GB2312" w:hAnsi="仿宋_GB2312"/>
          <w:color w:val="auto"/>
          <w:spacing w:val="0"/>
          <w:kern w:val="21"/>
          <w:sz w:val="32"/>
          <w:szCs w:val="32"/>
          <w:lang w:val="en-US" w:eastAsia="zh-CN"/>
        </w:rPr>
        <w:t>用</w:t>
      </w:r>
      <w:r>
        <w:rPr>
          <w:rFonts w:hint="eastAsia" w:ascii="仿宋_GB2312" w:hAnsi="仿宋_GB2312"/>
          <w:color w:val="auto"/>
          <w:spacing w:val="0"/>
          <w:kern w:val="21"/>
          <w:sz w:val="32"/>
          <w:szCs w:val="32"/>
        </w:rPr>
        <w:t>，延安大学科技园、</w:t>
      </w:r>
      <w:r>
        <w:rPr>
          <w:rFonts w:hint="eastAsia" w:ascii="仿宋_GB2312" w:hAnsi="仿宋_GB2312"/>
          <w:color w:val="auto"/>
          <w:spacing w:val="0"/>
          <w:kern w:val="21"/>
          <w:sz w:val="32"/>
          <w:szCs w:val="32"/>
          <w:lang w:val="en-US" w:eastAsia="zh-CN"/>
        </w:rPr>
        <w:t>省级</w:t>
      </w:r>
      <w:r>
        <w:rPr>
          <w:rFonts w:hint="eastAsia" w:ascii="仿宋_GB2312" w:hAnsi="仿宋_GB2312"/>
          <w:color w:val="auto"/>
          <w:spacing w:val="0"/>
          <w:kern w:val="21"/>
          <w:sz w:val="32"/>
          <w:szCs w:val="32"/>
        </w:rPr>
        <w:t>能源装备</w:t>
      </w:r>
      <w:r>
        <w:rPr>
          <w:rFonts w:hint="eastAsia" w:ascii="仿宋_GB2312" w:hAnsi="仿宋_GB2312"/>
          <w:color w:val="auto"/>
          <w:spacing w:val="0"/>
          <w:kern w:val="21"/>
          <w:sz w:val="32"/>
          <w:szCs w:val="32"/>
          <w:lang w:val="en-US" w:eastAsia="zh-CN"/>
        </w:rPr>
        <w:t>制造</w:t>
      </w:r>
      <w:r>
        <w:rPr>
          <w:rFonts w:hint="eastAsia" w:ascii="仿宋_GB2312" w:hAnsi="仿宋_GB2312"/>
          <w:color w:val="auto"/>
          <w:spacing w:val="0"/>
          <w:kern w:val="21"/>
          <w:sz w:val="32"/>
          <w:szCs w:val="32"/>
        </w:rPr>
        <w:t>中试基地获批建设</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累计完成技术合同成交额54.75亿元，产出并登记省级科技成果152项，获省科学技术进步奖26项。创办科技成果转化企业44家</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highlight w:val="none"/>
        </w:rPr>
        <w:t>科技型中小企业、高新技术企业数量分别增长5倍和5.2</w:t>
      </w:r>
      <w:r>
        <w:rPr>
          <w:rFonts w:hint="eastAsia" w:ascii="仿宋_GB2312" w:hAnsi="仿宋_GB2312"/>
          <w:color w:val="auto"/>
          <w:spacing w:val="0"/>
          <w:kern w:val="21"/>
          <w:sz w:val="32"/>
          <w:szCs w:val="32"/>
        </w:rPr>
        <w:t>倍</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省级专精特新企业达到41户，国家专精特新“小巨人”企业实现零突破</w:t>
      </w:r>
      <w:r>
        <w:rPr>
          <w:rFonts w:hint="eastAsia" w:ascii="仿宋_GB2312" w:hAnsi="仿宋_GB2312"/>
          <w:color w:val="auto"/>
          <w:spacing w:val="0"/>
          <w:kern w:val="21"/>
          <w:sz w:val="32"/>
          <w:szCs w:val="32"/>
        </w:rPr>
        <w:t>。</w:t>
      </w:r>
    </w:p>
    <w:p w14:paraId="5ACC0EEA">
      <w:pPr>
        <w:keepNext w:val="0"/>
        <w:keepLines w:val="0"/>
        <w:pageBreakBefore w:val="0"/>
        <w:widowControl w:val="0"/>
        <w:kinsoku/>
        <w:wordWrap/>
        <w:overflowPunct w:val="0"/>
        <w:topLinePunct w:val="0"/>
        <w:autoSpaceDE/>
        <w:autoSpaceDN/>
        <w:bidi w:val="0"/>
        <w:adjustRightInd/>
        <w:snapToGrid/>
        <w:spacing w:line="579" w:lineRule="exact"/>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现代化产业体系建设取得重大突破</w:t>
      </w:r>
      <w:r>
        <w:rPr>
          <w:rFonts w:ascii="楷体_GB2312" w:hAnsi="楷体_GB2312" w:eastAsia="楷体_GB2312" w:cs="楷体_GB2312"/>
          <w:b w:val="0"/>
          <w:bCs w:val="0"/>
          <w:color w:val="auto"/>
          <w:spacing w:val="0"/>
          <w:kern w:val="21"/>
          <w:sz w:val="32"/>
          <w:szCs w:val="32"/>
        </w:rPr>
        <w:t>。</w:t>
      </w:r>
      <w:r>
        <w:rPr>
          <w:rFonts w:hint="eastAsia" w:ascii="仿宋_GB2312" w:hAnsi="仿宋_GB2312"/>
          <w:color w:val="auto"/>
          <w:spacing w:val="0"/>
          <w:kern w:val="21"/>
          <w:sz w:val="32"/>
          <w:szCs w:val="32"/>
        </w:rPr>
        <w:t>“7+25”产业链群建设取得积极成效，“五集五区”新质工业园区加快建设</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创新推出开发区（园区）星级认定机制，延安高新区创建国家级高新区取得重要进展，黄陵县工业园区成功创建省级特色高新区，延川、富县2个工业园区升级为省级经开区，吴起、志丹等11个园区被认定为省级化工园区。</w:t>
      </w:r>
      <w:r>
        <w:rPr>
          <w:rFonts w:hint="eastAsia" w:ascii="仿宋_GB2312" w:hAnsi="仿宋_GB2312"/>
          <w:color w:val="auto"/>
          <w:spacing w:val="0"/>
          <w:kern w:val="21"/>
          <w:sz w:val="32"/>
          <w:szCs w:val="32"/>
        </w:rPr>
        <w:t>粮食产量稳中有增，延安苹果“十</w:t>
      </w:r>
      <w:r>
        <w:rPr>
          <w:rFonts w:hint="eastAsia" w:ascii="仿宋_GB2312" w:hAnsi="仿宋_GB2312"/>
          <w:color w:val="auto"/>
          <w:spacing w:val="0"/>
          <w:kern w:val="21"/>
          <w:sz w:val="32"/>
          <w:szCs w:val="32"/>
          <w:lang w:val="en-US" w:eastAsia="zh-CN"/>
        </w:rPr>
        <w:t>二</w:t>
      </w:r>
      <w:r>
        <w:rPr>
          <w:rFonts w:hint="eastAsia" w:ascii="仿宋_GB2312" w:hAnsi="仿宋_GB2312"/>
          <w:color w:val="auto"/>
          <w:spacing w:val="0"/>
          <w:kern w:val="21"/>
          <w:sz w:val="32"/>
          <w:szCs w:val="32"/>
        </w:rPr>
        <w:t>上太空”，圆满完成苹果高质量发展先行区建设三年行动任务，入选国家级优势特色产业集群，</w:t>
      </w:r>
      <w:r>
        <w:rPr>
          <w:rFonts w:hint="eastAsia" w:ascii="仿宋_GB2312" w:hAnsi="仿宋_GB2312"/>
          <w:color w:val="auto"/>
          <w:spacing w:val="0"/>
          <w:kern w:val="21"/>
          <w:sz w:val="32"/>
          <w:szCs w:val="32"/>
          <w:lang w:val="en-US" w:eastAsia="zh-CN"/>
        </w:rPr>
        <w:t>苹果产量、鲜果产值、全产业链产值均创历史新高，</w:t>
      </w:r>
      <w:r>
        <w:rPr>
          <w:rFonts w:hint="eastAsia" w:ascii="仿宋_GB2312" w:hAnsi="仿宋_GB2312"/>
          <w:color w:val="auto"/>
          <w:spacing w:val="0"/>
          <w:kern w:val="21"/>
          <w:sz w:val="32"/>
          <w:szCs w:val="32"/>
        </w:rPr>
        <w:t>苹果</w:t>
      </w:r>
      <w:r>
        <w:rPr>
          <w:rFonts w:hint="eastAsia" w:ascii="仿宋_GB2312" w:hAnsi="仿宋_GB2312"/>
          <w:color w:val="auto"/>
          <w:spacing w:val="0"/>
          <w:kern w:val="21"/>
          <w:sz w:val="32"/>
          <w:szCs w:val="32"/>
          <w:lang w:val="en-US" w:eastAsia="zh-CN"/>
        </w:rPr>
        <w:t>年</w:t>
      </w:r>
      <w:r>
        <w:rPr>
          <w:rFonts w:hint="eastAsia" w:ascii="仿宋_GB2312" w:hAnsi="仿宋_GB2312"/>
          <w:color w:val="auto"/>
          <w:spacing w:val="0"/>
          <w:kern w:val="21"/>
          <w:sz w:val="32"/>
          <w:szCs w:val="32"/>
        </w:rPr>
        <w:t>产量达到528万吨，较2020年增长42.5%</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全产业链产值突破600亿元</w:t>
      </w:r>
      <w:r>
        <w:rPr>
          <w:rFonts w:hint="eastAsia" w:ascii="仿宋_GB2312" w:hAnsi="仿宋_GB2312"/>
          <w:color w:val="auto"/>
          <w:spacing w:val="0"/>
          <w:kern w:val="21"/>
          <w:sz w:val="32"/>
          <w:szCs w:val="32"/>
          <w:lang w:val="en-US" w:eastAsia="zh-CN"/>
        </w:rPr>
        <w:t>。</w:t>
      </w:r>
      <w:r>
        <w:rPr>
          <w:rFonts w:hint="eastAsia" w:ascii="仿宋_GB2312" w:hAnsi="仿宋_GB2312"/>
          <w:color w:val="auto"/>
          <w:spacing w:val="0"/>
          <w:kern w:val="21"/>
          <w:sz w:val="32"/>
          <w:szCs w:val="32"/>
        </w:rPr>
        <w:t>一批现代化工、能源装备制造、农产品加工等先进制造业项目顺利实施，主要工业品产能较快增长，子长矿区总体规划获批</w:t>
      </w:r>
      <w:r>
        <w:rPr>
          <w:rFonts w:hint="eastAsia" w:ascii="仿宋_GB2312" w:hAnsi="仿宋_GB2312"/>
          <w:color w:val="auto"/>
          <w:spacing w:val="0"/>
          <w:kern w:val="21"/>
          <w:sz w:val="32"/>
          <w:szCs w:val="32"/>
          <w:lang w:val="en-US" w:eastAsia="zh-CN"/>
        </w:rPr>
        <w:t>实施</w:t>
      </w:r>
      <w:r>
        <w:rPr>
          <w:rFonts w:hint="eastAsia" w:ascii="仿宋_GB2312" w:hAnsi="仿宋_GB2312"/>
          <w:color w:val="auto"/>
          <w:spacing w:val="0"/>
          <w:kern w:val="21"/>
          <w:sz w:val="32"/>
          <w:szCs w:val="32"/>
        </w:rPr>
        <w:t>，建成延长石油富县电厂</w:t>
      </w:r>
      <w:r>
        <w:rPr>
          <w:rFonts w:hint="eastAsia" w:ascii="仿宋_GB2312" w:hAnsi="仿宋_GB2312"/>
          <w:color w:val="auto"/>
          <w:spacing w:val="0"/>
          <w:kern w:val="21"/>
          <w:sz w:val="32"/>
          <w:szCs w:val="32"/>
          <w:lang w:val="en-US" w:eastAsia="zh-CN"/>
        </w:rPr>
        <w:t>一</w:t>
      </w:r>
      <w:r>
        <w:rPr>
          <w:rFonts w:hint="eastAsia" w:ascii="仿宋_GB2312" w:hAnsi="仿宋_GB2312"/>
          <w:color w:val="auto"/>
          <w:spacing w:val="0"/>
          <w:kern w:val="21"/>
          <w:sz w:val="32"/>
          <w:szCs w:val="32"/>
        </w:rPr>
        <w:t>期、</w:t>
      </w:r>
      <w:r>
        <w:rPr>
          <w:rFonts w:hint="eastAsia" w:ascii="仿宋_GB2312" w:hAnsi="仿宋_GB2312"/>
          <w:color w:val="auto"/>
          <w:spacing w:val="0"/>
          <w:kern w:val="21"/>
          <w:sz w:val="32"/>
          <w:szCs w:val="32"/>
          <w:lang w:val="en-US" w:eastAsia="zh-CN"/>
        </w:rPr>
        <w:t>150亿方天然气产能倍增工程</w:t>
      </w:r>
      <w:r>
        <w:rPr>
          <w:rFonts w:hint="eastAsia" w:ascii="仿宋_GB2312" w:hAnsi="仿宋_GB2312"/>
          <w:color w:val="auto"/>
          <w:spacing w:val="0"/>
          <w:kern w:val="21"/>
          <w:sz w:val="32"/>
          <w:szCs w:val="32"/>
        </w:rPr>
        <w:t>、安塞CO₂驱油与封存等</w:t>
      </w:r>
      <w:r>
        <w:rPr>
          <w:rFonts w:hint="eastAsia" w:ascii="仿宋_GB2312" w:hAnsi="仿宋_GB2312"/>
          <w:color w:val="auto"/>
          <w:spacing w:val="0"/>
          <w:kern w:val="21"/>
          <w:sz w:val="32"/>
          <w:szCs w:val="32"/>
          <w:lang w:val="en-US" w:eastAsia="zh-CN"/>
        </w:rPr>
        <w:t>一批</w:t>
      </w:r>
      <w:r>
        <w:rPr>
          <w:rFonts w:hint="eastAsia" w:ascii="仿宋_GB2312" w:hAnsi="仿宋_GB2312"/>
          <w:color w:val="auto"/>
          <w:spacing w:val="0"/>
          <w:kern w:val="21"/>
          <w:sz w:val="32"/>
          <w:szCs w:val="32"/>
        </w:rPr>
        <w:t>延链补链项目，煤炭、原油、天然气、发电</w:t>
      </w:r>
      <w:r>
        <w:rPr>
          <w:rFonts w:hint="eastAsia" w:ascii="仿宋_GB2312" w:hAnsi="仿宋_GB2312"/>
          <w:color w:val="auto"/>
          <w:spacing w:val="0"/>
          <w:kern w:val="21"/>
          <w:sz w:val="32"/>
          <w:szCs w:val="32"/>
          <w:lang w:val="en-US" w:eastAsia="zh-CN"/>
        </w:rPr>
        <w:t>量</w:t>
      </w:r>
      <w:r>
        <w:rPr>
          <w:rFonts w:hint="eastAsia" w:ascii="仿宋_GB2312" w:hAnsi="仿宋_GB2312"/>
          <w:color w:val="auto"/>
          <w:spacing w:val="0"/>
          <w:kern w:val="21"/>
          <w:sz w:val="32"/>
          <w:szCs w:val="32"/>
        </w:rPr>
        <w:t>分别达到</w:t>
      </w:r>
      <w:r>
        <w:rPr>
          <w:rFonts w:hint="eastAsia" w:ascii="仿宋_GB2312" w:hAnsi="仿宋_GB2312"/>
          <w:color w:val="auto"/>
          <w:spacing w:val="0"/>
          <w:kern w:val="21"/>
          <w:sz w:val="32"/>
          <w:szCs w:val="32"/>
          <w:lang w:val="en-US" w:eastAsia="zh-CN"/>
        </w:rPr>
        <w:t>6161.90</w:t>
      </w:r>
      <w:r>
        <w:rPr>
          <w:rFonts w:hint="eastAsia" w:ascii="仿宋_GB2312" w:hAnsi="仿宋_GB2312"/>
          <w:color w:val="auto"/>
          <w:spacing w:val="0"/>
          <w:kern w:val="21"/>
          <w:sz w:val="32"/>
          <w:szCs w:val="32"/>
        </w:rPr>
        <w:t>万吨、</w:t>
      </w:r>
      <w:r>
        <w:rPr>
          <w:rFonts w:hint="eastAsia" w:ascii="仿宋_GB2312" w:hAnsi="仿宋_GB2312"/>
          <w:color w:val="auto"/>
          <w:spacing w:val="0"/>
          <w:kern w:val="21"/>
          <w:sz w:val="32"/>
          <w:szCs w:val="32"/>
          <w:lang w:val="en-US" w:eastAsia="zh-CN"/>
        </w:rPr>
        <w:t>1411.94</w:t>
      </w:r>
      <w:r>
        <w:rPr>
          <w:rFonts w:hint="eastAsia" w:ascii="仿宋_GB2312" w:hAnsi="仿宋_GB2312"/>
          <w:color w:val="auto"/>
          <w:spacing w:val="0"/>
          <w:kern w:val="21"/>
          <w:sz w:val="32"/>
          <w:szCs w:val="32"/>
        </w:rPr>
        <w:t>万吨、</w:t>
      </w:r>
      <w:r>
        <w:rPr>
          <w:rFonts w:hint="eastAsia" w:ascii="仿宋_GB2312" w:hAnsi="仿宋_GB2312"/>
          <w:color w:val="auto"/>
          <w:spacing w:val="0"/>
          <w:kern w:val="21"/>
          <w:sz w:val="32"/>
          <w:szCs w:val="32"/>
          <w:lang w:val="en-US" w:eastAsia="zh-CN"/>
        </w:rPr>
        <w:t>130.52</w:t>
      </w:r>
      <w:r>
        <w:rPr>
          <w:rFonts w:hint="eastAsia" w:ascii="仿宋_GB2312" w:hAnsi="仿宋_GB2312"/>
          <w:color w:val="auto"/>
          <w:spacing w:val="0"/>
          <w:kern w:val="21"/>
          <w:sz w:val="32"/>
          <w:szCs w:val="32"/>
        </w:rPr>
        <w:t>亿立方米、</w:t>
      </w:r>
      <w:r>
        <w:rPr>
          <w:rFonts w:hint="eastAsia" w:ascii="仿宋_GB2312" w:hAnsi="仿宋_GB2312"/>
          <w:color w:val="auto"/>
          <w:spacing w:val="0"/>
          <w:kern w:val="21"/>
          <w:sz w:val="32"/>
          <w:szCs w:val="32"/>
          <w:lang w:val="en-US" w:eastAsia="zh-CN"/>
        </w:rPr>
        <w:t>346.56</w:t>
      </w:r>
      <w:r>
        <w:rPr>
          <w:rFonts w:hint="eastAsia" w:ascii="仿宋_GB2312" w:hAnsi="仿宋_GB2312"/>
          <w:color w:val="auto"/>
          <w:spacing w:val="0"/>
          <w:kern w:val="21"/>
          <w:sz w:val="32"/>
          <w:szCs w:val="32"/>
        </w:rPr>
        <w:t>亿千瓦时</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黄陵煤炭智能装备制造、安塞能源装备制造、甘泉农副产品加工、吴起油气产业被认定为省级中小企业特色产业集群</w:t>
      </w:r>
      <w:r>
        <w:rPr>
          <w:rFonts w:hint="eastAsia" w:ascii="仿宋_GB2312" w:hAnsi="仿宋_GB2312"/>
          <w:color w:val="auto"/>
          <w:spacing w:val="0"/>
          <w:kern w:val="21"/>
          <w:sz w:val="32"/>
          <w:szCs w:val="32"/>
        </w:rPr>
        <w:t>。壶口瀑布、乾坤湾景区成功创建5A级景区，加入世界旅游联盟和丝绸之路旅游城市联盟，宝塔区列入全国红色旅游融合发展试点，五年累计接待旅游人数</w:t>
      </w:r>
      <w:r>
        <w:rPr>
          <w:rFonts w:hint="eastAsia" w:ascii="仿宋_GB2312" w:hAnsi="仿宋_GB2312"/>
          <w:color w:val="auto"/>
          <w:spacing w:val="0"/>
          <w:kern w:val="21"/>
          <w:sz w:val="32"/>
          <w:szCs w:val="32"/>
          <w:lang w:val="en-US" w:eastAsia="zh-CN"/>
        </w:rPr>
        <w:t>1.9亿</w:t>
      </w:r>
      <w:r>
        <w:rPr>
          <w:rFonts w:hint="eastAsia" w:ascii="仿宋_GB2312" w:hAnsi="仿宋_GB2312"/>
          <w:color w:val="auto"/>
          <w:spacing w:val="0"/>
          <w:kern w:val="21"/>
          <w:sz w:val="32"/>
          <w:szCs w:val="32"/>
        </w:rPr>
        <w:t>人次</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游客总花费1500.7亿元</w:t>
      </w:r>
      <w:r>
        <w:rPr>
          <w:rFonts w:hint="eastAsia" w:ascii="仿宋_GB2312" w:hAnsi="仿宋_GB2312"/>
          <w:color w:val="auto"/>
          <w:spacing w:val="0"/>
          <w:kern w:val="21"/>
          <w:sz w:val="32"/>
          <w:szCs w:val="32"/>
        </w:rPr>
        <w:t>。数字经济等新产业新业态快速发展，数据资源开发利用实现零的突破，成功创建全国千兆城市，无锡·延安智算中心建成运营。三次产业结构由</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十三五</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末</w:t>
      </w:r>
      <w:r>
        <w:rPr>
          <w:rFonts w:hint="eastAsia" w:ascii="仿宋_GB2312" w:hAnsi="仿宋_GB2312"/>
          <w:color w:val="auto"/>
          <w:spacing w:val="0"/>
          <w:kern w:val="21"/>
          <w:sz w:val="32"/>
          <w:szCs w:val="32"/>
        </w:rPr>
        <w:t>11.</w:t>
      </w:r>
      <w:r>
        <w:rPr>
          <w:rFonts w:hint="eastAsia" w:ascii="仿宋_GB2312" w:hAnsi="仿宋_GB2312"/>
          <w:color w:val="auto"/>
          <w:spacing w:val="0"/>
          <w:kern w:val="21"/>
          <w:sz w:val="32"/>
          <w:szCs w:val="32"/>
          <w:lang w:val="en-US" w:eastAsia="zh-CN"/>
        </w:rPr>
        <w:t>9</w:t>
      </w:r>
      <w:r>
        <w:rPr>
          <w:rFonts w:hint="eastAsia" w:ascii="仿宋_GB2312" w:hAnsi="仿宋_GB2312"/>
          <w:color w:val="auto"/>
          <w:spacing w:val="0"/>
          <w:kern w:val="21"/>
          <w:sz w:val="32"/>
          <w:szCs w:val="32"/>
        </w:rPr>
        <w:t>:5</w:t>
      </w:r>
      <w:r>
        <w:rPr>
          <w:rFonts w:hint="eastAsia" w:ascii="仿宋_GB2312" w:hAnsi="仿宋_GB2312"/>
          <w:color w:val="auto"/>
          <w:spacing w:val="0"/>
          <w:kern w:val="21"/>
          <w:sz w:val="32"/>
          <w:szCs w:val="32"/>
          <w:lang w:val="en-US" w:eastAsia="zh-CN"/>
        </w:rPr>
        <w:t>5</w:t>
      </w:r>
      <w:r>
        <w:rPr>
          <w:rFonts w:hint="eastAsia" w:ascii="仿宋_GB2312" w:hAnsi="仿宋_GB2312"/>
          <w:color w:val="auto"/>
          <w:spacing w:val="0"/>
          <w:kern w:val="21"/>
          <w:sz w:val="32"/>
          <w:szCs w:val="32"/>
        </w:rPr>
        <w:t>.</w:t>
      </w:r>
      <w:r>
        <w:rPr>
          <w:rFonts w:hint="eastAsia" w:ascii="仿宋_GB2312" w:hAnsi="仿宋_GB2312"/>
          <w:color w:val="auto"/>
          <w:spacing w:val="0"/>
          <w:kern w:val="21"/>
          <w:sz w:val="32"/>
          <w:szCs w:val="32"/>
          <w:lang w:val="en-US" w:eastAsia="zh-CN"/>
        </w:rPr>
        <w:t>3</w:t>
      </w:r>
      <w:r>
        <w:rPr>
          <w:rFonts w:hint="eastAsia" w:ascii="仿宋_GB2312" w:hAnsi="仿宋_GB2312"/>
          <w:color w:val="auto"/>
          <w:spacing w:val="0"/>
          <w:kern w:val="21"/>
          <w:sz w:val="32"/>
          <w:szCs w:val="32"/>
        </w:rPr>
        <w:t>:3</w:t>
      </w:r>
      <w:r>
        <w:rPr>
          <w:rFonts w:hint="eastAsia" w:ascii="仿宋_GB2312" w:hAnsi="仿宋_GB2312"/>
          <w:color w:val="auto"/>
          <w:spacing w:val="0"/>
          <w:kern w:val="21"/>
          <w:sz w:val="32"/>
          <w:szCs w:val="32"/>
          <w:lang w:val="en-US" w:eastAsia="zh-CN"/>
        </w:rPr>
        <w:t>2.8</w:t>
      </w:r>
      <w:r>
        <w:rPr>
          <w:rFonts w:hint="eastAsia" w:ascii="仿宋_GB2312" w:hAnsi="仿宋_GB2312"/>
          <w:color w:val="auto"/>
          <w:spacing w:val="0"/>
          <w:kern w:val="21"/>
          <w:sz w:val="32"/>
          <w:szCs w:val="32"/>
        </w:rPr>
        <w:t>优化调整为</w:t>
      </w:r>
      <w:r>
        <w:rPr>
          <w:rFonts w:hint="eastAsia" w:ascii="仿宋_GB2312" w:hAnsi="仿宋_GB2312"/>
          <w:color w:val="auto"/>
          <w:spacing w:val="0"/>
          <w:kern w:val="21"/>
          <w:sz w:val="32"/>
          <w:szCs w:val="32"/>
          <w:lang w:val="en-US" w:eastAsia="zh-CN"/>
        </w:rPr>
        <w:t>10.9:53.4:35.7</w:t>
      </w:r>
      <w:r>
        <w:rPr>
          <w:rFonts w:hint="eastAsia" w:ascii="仿宋_GB2312" w:hAnsi="仿宋_GB2312"/>
          <w:color w:val="auto"/>
          <w:spacing w:val="0"/>
          <w:kern w:val="21"/>
          <w:sz w:val="32"/>
          <w:szCs w:val="32"/>
        </w:rPr>
        <w:t>。</w:t>
      </w:r>
    </w:p>
    <w:p w14:paraId="121410B1">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基础设施建设取得重大突破</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olor w:val="auto"/>
          <w:spacing w:val="0"/>
          <w:kern w:val="21"/>
          <w:sz w:val="32"/>
          <w:szCs w:val="32"/>
        </w:rPr>
        <w:t>西延高铁建成通车，延榆高铁</w:t>
      </w:r>
      <w:r>
        <w:rPr>
          <w:rFonts w:hint="eastAsia" w:ascii="仿宋_GB2312" w:hAnsi="仿宋_GB2312"/>
          <w:color w:val="auto"/>
          <w:spacing w:val="0"/>
          <w:kern w:val="21"/>
          <w:sz w:val="32"/>
          <w:szCs w:val="32"/>
          <w:lang w:val="en-US" w:eastAsia="zh-CN"/>
        </w:rPr>
        <w:t>开工建设</w:t>
      </w:r>
      <w:r>
        <w:rPr>
          <w:rFonts w:hint="eastAsia" w:ascii="仿宋_GB2312" w:hAnsi="仿宋_GB2312"/>
          <w:color w:val="auto"/>
          <w:spacing w:val="0"/>
          <w:kern w:val="21"/>
          <w:sz w:val="32"/>
          <w:szCs w:val="32"/>
        </w:rPr>
        <w:t>。延长至黄龙高速公路等建成通车，绕城高速环线形成，实现县县通高速</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全市96个乡镇实现等级公路全覆盖，三级及以上公路比例达到95.8%。南泥湾机场运营航线2</w:t>
      </w:r>
      <w:r>
        <w:rPr>
          <w:rFonts w:hint="eastAsia" w:ascii="仿宋_GB2312" w:hAnsi="仿宋_GB2312"/>
          <w:color w:val="auto"/>
          <w:spacing w:val="0"/>
          <w:kern w:val="21"/>
          <w:sz w:val="32"/>
          <w:szCs w:val="32"/>
          <w:lang w:val="en-US" w:eastAsia="zh-CN"/>
        </w:rPr>
        <w:t>4</w:t>
      </w:r>
      <w:r>
        <w:rPr>
          <w:rFonts w:hint="eastAsia" w:ascii="仿宋_GB2312" w:hAnsi="仿宋_GB2312"/>
          <w:color w:val="auto"/>
          <w:spacing w:val="0"/>
          <w:kern w:val="21"/>
          <w:sz w:val="32"/>
          <w:szCs w:val="32"/>
        </w:rPr>
        <w:t>条，通航城市26个，</w:t>
      </w:r>
      <w:r>
        <w:rPr>
          <w:rFonts w:hint="eastAsia" w:ascii="仿宋_GB2312" w:hAnsi="仿宋_GB2312"/>
          <w:color w:val="auto"/>
          <w:spacing w:val="0"/>
          <w:kern w:val="21"/>
          <w:sz w:val="32"/>
          <w:szCs w:val="32"/>
          <w:lang w:val="en-US" w:eastAsia="zh-CN"/>
        </w:rPr>
        <w:t>累计</w:t>
      </w:r>
      <w:r>
        <w:rPr>
          <w:rFonts w:hint="eastAsia" w:ascii="仿宋_GB2312" w:hAnsi="仿宋_GB2312"/>
          <w:color w:val="auto"/>
          <w:spacing w:val="0"/>
          <w:kern w:val="21"/>
          <w:sz w:val="32"/>
          <w:szCs w:val="32"/>
        </w:rPr>
        <w:t>旅客吞吐量</w:t>
      </w:r>
      <w:r>
        <w:rPr>
          <w:rFonts w:hint="eastAsia" w:ascii="仿宋_GB2312" w:hAnsi="仿宋_GB2312"/>
          <w:color w:val="auto"/>
          <w:spacing w:val="0"/>
          <w:kern w:val="21"/>
          <w:sz w:val="32"/>
          <w:szCs w:val="32"/>
          <w:highlight w:val="none"/>
        </w:rPr>
        <w:t>264.49</w:t>
      </w:r>
      <w:r>
        <w:rPr>
          <w:rFonts w:hint="eastAsia" w:ascii="仿宋_GB2312" w:hAnsi="仿宋_GB2312"/>
          <w:color w:val="auto"/>
          <w:spacing w:val="0"/>
          <w:kern w:val="21"/>
          <w:sz w:val="32"/>
          <w:szCs w:val="32"/>
        </w:rPr>
        <w:t>万人次</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货邮吞吐量</w:t>
      </w:r>
      <w:r>
        <w:rPr>
          <w:rFonts w:hint="eastAsia" w:ascii="仿宋_GB2312" w:hAnsi="仿宋_GB2312"/>
          <w:color w:val="auto"/>
          <w:spacing w:val="0"/>
          <w:kern w:val="21"/>
          <w:sz w:val="32"/>
          <w:szCs w:val="32"/>
          <w:highlight w:val="none"/>
        </w:rPr>
        <w:t>3697.9</w:t>
      </w:r>
      <w:r>
        <w:rPr>
          <w:rFonts w:hint="eastAsia" w:ascii="仿宋_GB2312" w:hAnsi="仿宋_GB2312"/>
          <w:color w:val="auto"/>
          <w:spacing w:val="0"/>
          <w:kern w:val="21"/>
          <w:sz w:val="32"/>
          <w:szCs w:val="32"/>
        </w:rPr>
        <w:t>吨。古贤水利枢纽、王瑶水库扩容等重大水利工程开工建设。</w:t>
      </w:r>
      <w:r>
        <w:rPr>
          <w:rFonts w:hint="eastAsia" w:ascii="仿宋_GB2312" w:hAnsi="仿宋_GB2312"/>
          <w:color w:val="auto"/>
          <w:spacing w:val="0"/>
          <w:kern w:val="21"/>
          <w:sz w:val="32"/>
          <w:szCs w:val="32"/>
          <w:lang w:val="en-US" w:eastAsia="zh-CN"/>
        </w:rPr>
        <w:t>入选</w:t>
      </w:r>
      <w:r>
        <w:rPr>
          <w:rFonts w:hint="eastAsia" w:ascii="仿宋_GB2312" w:hAnsi="仿宋_GB2312"/>
          <w:color w:val="auto"/>
          <w:spacing w:val="0"/>
          <w:kern w:val="21"/>
          <w:sz w:val="32"/>
          <w:szCs w:val="32"/>
        </w:rPr>
        <w:t>国家海绵城市建设示范城市</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电力装机突破1000万千瓦、达到12</w:t>
      </w:r>
      <w:r>
        <w:rPr>
          <w:rFonts w:hint="eastAsia" w:ascii="仿宋_GB2312" w:hAnsi="仿宋_GB2312"/>
          <w:color w:val="auto"/>
          <w:spacing w:val="0"/>
          <w:kern w:val="21"/>
          <w:sz w:val="32"/>
          <w:szCs w:val="32"/>
          <w:lang w:val="en-US" w:eastAsia="zh-CN"/>
        </w:rPr>
        <w:t>37</w:t>
      </w:r>
      <w:r>
        <w:rPr>
          <w:rFonts w:hint="eastAsia" w:ascii="仿宋_GB2312" w:hAnsi="仿宋_GB2312"/>
          <w:color w:val="auto"/>
          <w:spacing w:val="0"/>
          <w:kern w:val="21"/>
          <w:sz w:val="32"/>
          <w:szCs w:val="32"/>
        </w:rPr>
        <w:t>万千瓦，其中新能源装机达到63</w:t>
      </w:r>
      <w:r>
        <w:rPr>
          <w:rFonts w:hint="eastAsia" w:ascii="仿宋_GB2312" w:hAnsi="仿宋_GB2312"/>
          <w:color w:val="auto"/>
          <w:spacing w:val="0"/>
          <w:kern w:val="21"/>
          <w:sz w:val="32"/>
          <w:szCs w:val="32"/>
          <w:lang w:val="en-US" w:eastAsia="zh-CN"/>
        </w:rPr>
        <w:t>8</w:t>
      </w:r>
      <w:r>
        <w:rPr>
          <w:rFonts w:hint="eastAsia" w:ascii="仿宋_GB2312" w:hAnsi="仿宋_GB2312"/>
          <w:color w:val="auto"/>
          <w:spacing w:val="0"/>
          <w:kern w:val="21"/>
          <w:sz w:val="32"/>
          <w:szCs w:val="32"/>
        </w:rPr>
        <w:t>万千瓦，陕北至关中第三通道750千伏输变电工程、陕皖800千伏特高压输电工程加快建设，农村电网完成第二轮升级改造，行政村通动力电全覆盖</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天然气气化人口超130万人，县城通气率达到100%</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乡镇以上行政区</w:t>
      </w:r>
      <w:r>
        <w:rPr>
          <w:rFonts w:hint="eastAsia" w:ascii="仿宋_GB2312" w:hAnsi="仿宋_GB2312"/>
          <w:color w:val="auto"/>
          <w:spacing w:val="0"/>
          <w:kern w:val="21"/>
          <w:sz w:val="32"/>
          <w:szCs w:val="32"/>
          <w:lang w:val="en-US" w:eastAsia="zh-CN"/>
        </w:rPr>
        <w:t>实现</w:t>
      </w:r>
      <w:r>
        <w:rPr>
          <w:rFonts w:hint="eastAsia" w:ascii="仿宋_GB2312" w:hAnsi="仿宋_GB2312"/>
          <w:color w:val="auto"/>
          <w:spacing w:val="0"/>
          <w:kern w:val="21"/>
          <w:sz w:val="32"/>
          <w:szCs w:val="32"/>
        </w:rPr>
        <w:t>5G</w:t>
      </w:r>
      <w:r>
        <w:rPr>
          <w:rFonts w:hint="eastAsia" w:ascii="仿宋_GB2312" w:hAnsi="仿宋_GB2312"/>
          <w:color w:val="auto"/>
          <w:spacing w:val="0"/>
          <w:kern w:val="21"/>
          <w:sz w:val="32"/>
          <w:szCs w:val="32"/>
          <w:lang w:val="en-US" w:eastAsia="zh-CN"/>
        </w:rPr>
        <w:t>网络全</w:t>
      </w:r>
      <w:r>
        <w:rPr>
          <w:rFonts w:hint="eastAsia" w:ascii="仿宋_GB2312" w:hAnsi="仿宋_GB2312"/>
          <w:color w:val="auto"/>
          <w:spacing w:val="0"/>
          <w:kern w:val="21"/>
          <w:sz w:val="32"/>
          <w:szCs w:val="32"/>
        </w:rPr>
        <w:t>覆盖。</w:t>
      </w:r>
    </w:p>
    <w:p w14:paraId="5CEFDE06">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改革开放取得重大突破。</w:t>
      </w:r>
      <w:r>
        <w:rPr>
          <w:rFonts w:hint="eastAsia" w:ascii="仿宋_GB2312" w:hAnsi="仿宋_GB2312"/>
          <w:color w:val="auto"/>
          <w:spacing w:val="0"/>
          <w:kern w:val="21"/>
          <w:sz w:val="32"/>
          <w:szCs w:val="32"/>
        </w:rPr>
        <w:t>市属国企改革、营商环境优化提升</w:t>
      </w:r>
      <w:r>
        <w:rPr>
          <w:rFonts w:hint="eastAsia" w:ascii="仿宋_GB2312" w:hAnsi="仿宋_GB2312"/>
          <w:color w:val="auto"/>
          <w:spacing w:val="0"/>
          <w:kern w:val="21"/>
          <w:sz w:val="32"/>
          <w:szCs w:val="32"/>
          <w:lang w:val="en-US" w:eastAsia="zh-CN"/>
        </w:rPr>
        <w:t>等工作</w:t>
      </w:r>
      <w:r>
        <w:rPr>
          <w:rFonts w:hint="eastAsia" w:ascii="仿宋_GB2312" w:hAnsi="仿宋_GB2312"/>
          <w:color w:val="auto"/>
          <w:spacing w:val="0"/>
          <w:kern w:val="21"/>
          <w:sz w:val="32"/>
          <w:szCs w:val="32"/>
        </w:rPr>
        <w:t>走在全省前列</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市属国企“四类公司”改革取得实质性进展</w:t>
      </w:r>
      <w:r>
        <w:rPr>
          <w:rFonts w:hint="eastAsia" w:ascii="仿宋_GB2312" w:hAnsi="仿宋_GB2312"/>
          <w:color w:val="auto"/>
          <w:spacing w:val="0"/>
          <w:kern w:val="21"/>
          <w:sz w:val="32"/>
          <w:szCs w:val="32"/>
          <w:lang w:eastAsia="zh-CN"/>
        </w:rPr>
        <w:t>，“1+1+1+N”市属国企发展新格局正在形成，成功组建省内首家地市级国有资本运营公司，获评全市首个AAA主体信用评级</w:t>
      </w:r>
      <w:r>
        <w:rPr>
          <w:rFonts w:hint="eastAsia" w:ascii="仿宋_GB2312" w:hAnsi="仿宋_GB2312"/>
          <w:color w:val="auto"/>
          <w:spacing w:val="0"/>
          <w:kern w:val="21"/>
          <w:sz w:val="32"/>
          <w:szCs w:val="32"/>
        </w:rPr>
        <w:t>。率先在全省推行工程建设项目开工许可“一次办”，水电气网联合报装、就医费用报销等16个重点事项实现“高效办成一件事”，创新建立营商环境“体验官”工作制度，消费环境指数测评连续六年位列全省第一。</w:t>
      </w:r>
      <w:r>
        <w:rPr>
          <w:rFonts w:hint="eastAsia" w:ascii="仿宋_GB2312" w:hAnsi="仿宋_GB2312"/>
          <w:color w:val="auto"/>
          <w:spacing w:val="0"/>
          <w:kern w:val="21"/>
          <w:sz w:val="32"/>
          <w:szCs w:val="32"/>
          <w:lang w:val="en-US" w:eastAsia="zh-CN"/>
        </w:rPr>
        <w:t>经营</w:t>
      </w:r>
      <w:r>
        <w:rPr>
          <w:rFonts w:hint="eastAsia" w:ascii="仿宋_GB2312" w:hAnsi="仿宋_GB2312"/>
          <w:color w:val="auto"/>
          <w:spacing w:val="0"/>
          <w:kern w:val="21"/>
          <w:sz w:val="32"/>
          <w:szCs w:val="32"/>
        </w:rPr>
        <w:t>主体达到2</w:t>
      </w:r>
      <w:r>
        <w:rPr>
          <w:rFonts w:hint="eastAsia" w:ascii="仿宋_GB2312" w:hAnsi="仿宋_GB2312"/>
          <w:color w:val="auto"/>
          <w:spacing w:val="0"/>
          <w:kern w:val="21"/>
          <w:sz w:val="32"/>
          <w:szCs w:val="32"/>
          <w:lang w:val="en-US" w:eastAsia="zh-CN"/>
        </w:rPr>
        <w:t>6.1</w:t>
      </w:r>
      <w:r>
        <w:rPr>
          <w:rFonts w:hint="eastAsia" w:ascii="仿宋_GB2312" w:hAnsi="仿宋_GB2312"/>
          <w:color w:val="auto"/>
          <w:spacing w:val="0"/>
          <w:kern w:val="21"/>
          <w:sz w:val="32"/>
          <w:szCs w:val="32"/>
        </w:rPr>
        <w:t>万户，在库</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五上</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企业</w:t>
      </w:r>
      <w:r>
        <w:rPr>
          <w:rFonts w:hint="eastAsia" w:ascii="仿宋_GB2312" w:hAnsi="仿宋_GB2312"/>
          <w:color w:val="auto"/>
          <w:spacing w:val="0"/>
          <w:kern w:val="21"/>
          <w:sz w:val="32"/>
          <w:szCs w:val="32"/>
          <w:lang w:val="en-US" w:eastAsia="zh-CN"/>
        </w:rPr>
        <w:t>达到</w:t>
      </w:r>
      <w:r>
        <w:rPr>
          <w:rFonts w:hint="eastAsia" w:ascii="仿宋_GB2312" w:hAnsi="仿宋_GB2312"/>
          <w:color w:val="auto"/>
          <w:spacing w:val="0"/>
          <w:kern w:val="21"/>
          <w:sz w:val="32"/>
          <w:szCs w:val="32"/>
        </w:rPr>
        <w:t>2325户</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较“十三五”末增加871户</w:t>
      </w:r>
      <w:r>
        <w:rPr>
          <w:rFonts w:hint="eastAsia" w:ascii="仿宋_GB2312" w:hAnsi="仿宋_GB2312"/>
          <w:color w:val="auto"/>
          <w:spacing w:val="0"/>
          <w:kern w:val="21"/>
          <w:sz w:val="32"/>
          <w:szCs w:val="32"/>
        </w:rPr>
        <w:t>。“三解”机制</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“融救助”</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“以株代亩”等创新举措入选国家级典型案例</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黄陵“双随机、一公开”商事制度改革获国务院通报表彰。</w:t>
      </w:r>
      <w:r>
        <w:rPr>
          <w:rFonts w:hint="eastAsia" w:ascii="仿宋_GB2312" w:hAnsi="仿宋_GB2312"/>
          <w:color w:val="auto"/>
          <w:spacing w:val="0"/>
          <w:kern w:val="21"/>
          <w:sz w:val="32"/>
          <w:szCs w:val="32"/>
        </w:rPr>
        <w:t>延锡友好合作走深走实，中欧班列</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延西欧</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专列开</w:t>
      </w:r>
      <w:r>
        <w:rPr>
          <w:rFonts w:hint="eastAsia" w:ascii="仿宋_GB2312" w:hAnsi="仿宋_GB2312"/>
          <w:color w:val="auto"/>
          <w:spacing w:val="0"/>
          <w:kern w:val="21"/>
          <w:sz w:val="32"/>
          <w:szCs w:val="32"/>
        </w:rPr>
        <w:t>行</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保税物流中心（B型）获批建设</w:t>
      </w:r>
      <w:r>
        <w:rPr>
          <w:rFonts w:hint="eastAsia" w:ascii="仿宋_GB2312" w:hAnsi="仿宋_GB2312"/>
          <w:color w:val="auto"/>
          <w:spacing w:val="0"/>
          <w:kern w:val="21"/>
          <w:sz w:val="32"/>
          <w:szCs w:val="32"/>
          <w:lang w:eastAsia="zh-CN"/>
        </w:rPr>
        <w:t>，新区、高新区跨境电商产业园建成投运，</w:t>
      </w:r>
      <w:r>
        <w:rPr>
          <w:rFonts w:hint="eastAsia" w:ascii="仿宋_GB2312" w:hAnsi="仿宋_GB2312"/>
          <w:color w:val="auto"/>
          <w:spacing w:val="0"/>
          <w:kern w:val="21"/>
          <w:sz w:val="32"/>
          <w:szCs w:val="32"/>
        </w:rPr>
        <w:t>实际使用省外资金、外贸出口年均增速</w:t>
      </w:r>
      <w:r>
        <w:rPr>
          <w:rFonts w:hint="eastAsia" w:ascii="仿宋_GB2312" w:hAnsi="仿宋_GB2312"/>
          <w:color w:val="auto"/>
          <w:spacing w:val="0"/>
          <w:kern w:val="21"/>
          <w:sz w:val="32"/>
          <w:szCs w:val="32"/>
          <w:lang w:val="en-US" w:eastAsia="zh-CN"/>
        </w:rPr>
        <w:t>均</w:t>
      </w:r>
      <w:r>
        <w:rPr>
          <w:rFonts w:hint="eastAsia" w:ascii="仿宋_GB2312" w:hAnsi="仿宋_GB2312"/>
          <w:color w:val="auto"/>
          <w:spacing w:val="0"/>
          <w:kern w:val="21"/>
          <w:sz w:val="32"/>
          <w:szCs w:val="32"/>
        </w:rPr>
        <w:t>居全省第2位。</w:t>
      </w:r>
    </w:p>
    <w:p w14:paraId="716B2182">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城乡区域协调发展取得重大突破。</w:t>
      </w:r>
      <w:r>
        <w:rPr>
          <w:rFonts w:hint="eastAsia" w:ascii="仿宋_GB2312" w:hAnsi="仿宋_GB2312"/>
          <w:color w:val="auto"/>
          <w:spacing w:val="0"/>
          <w:kern w:val="21"/>
          <w:sz w:val="32"/>
          <w:szCs w:val="32"/>
        </w:rPr>
        <w:t>获批全省城市基础设施生命线安全工程建设试点，深入推进老旧小区改造和物业管理改革，累计改造老旧小区</w:t>
      </w:r>
      <w:r>
        <w:rPr>
          <w:rFonts w:hint="eastAsia" w:ascii="仿宋_GB2312" w:hAnsi="仿宋_GB2312"/>
          <w:color w:val="auto"/>
          <w:spacing w:val="0"/>
          <w:kern w:val="21"/>
          <w:sz w:val="32"/>
          <w:szCs w:val="32"/>
          <w:lang w:val="en-US" w:eastAsia="zh-CN"/>
        </w:rPr>
        <w:t>1341</w:t>
      </w:r>
      <w:r>
        <w:rPr>
          <w:rFonts w:hint="eastAsia" w:ascii="仿宋_GB2312" w:hAnsi="仿宋_GB2312"/>
          <w:color w:val="auto"/>
          <w:spacing w:val="0"/>
          <w:kern w:val="21"/>
          <w:sz w:val="32"/>
          <w:szCs w:val="32"/>
        </w:rPr>
        <w:t>个，宝塔、安塞、黄龙被认定为全省城镇老旧小区改造示范县区。实施县域经济高质量发展三年行动，</w:t>
      </w:r>
      <w:r>
        <w:rPr>
          <w:rFonts w:hint="eastAsia" w:ascii="仿宋_GB2312" w:hAnsi="仿宋_GB2312"/>
          <w:color w:val="auto"/>
          <w:spacing w:val="0"/>
          <w:kern w:val="21"/>
          <w:sz w:val="32"/>
          <w:szCs w:val="32"/>
          <w:lang w:val="en-US" w:eastAsia="zh-CN"/>
        </w:rPr>
        <w:t>县域经济总量达到1878.9亿元，200亿元以上的县区达到4个</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黄陵、吴起、志丹、宝塔入选西部百强县区，</w:t>
      </w:r>
      <w:r>
        <w:rPr>
          <w:rFonts w:hint="eastAsia" w:ascii="仿宋_GB2312" w:hAnsi="仿宋_GB2312"/>
          <w:color w:val="auto"/>
          <w:spacing w:val="0"/>
          <w:kern w:val="21"/>
          <w:sz w:val="32"/>
          <w:szCs w:val="32"/>
          <w:lang w:val="en-US" w:eastAsia="zh-CN"/>
        </w:rPr>
        <w:t>甘泉、富县获评全省县域经济发展“突出贡献县”，安塞获评“发展潜力县”。黄龙等</w:t>
      </w:r>
      <w:r>
        <w:rPr>
          <w:rFonts w:hint="eastAsia" w:ascii="仿宋_GB2312" w:hAnsi="仿宋_GB2312"/>
          <w:color w:val="auto"/>
          <w:spacing w:val="0"/>
          <w:kern w:val="21"/>
          <w:sz w:val="32"/>
          <w:szCs w:val="32"/>
          <w:lang w:eastAsia="zh-CN"/>
        </w:rPr>
        <w:t>5个县创建为全省县城建设示范县，</w:t>
      </w:r>
      <w:r>
        <w:rPr>
          <w:rFonts w:hint="eastAsia" w:ascii="仿宋_GB2312" w:hAnsi="仿宋_GB2312"/>
          <w:color w:val="auto"/>
          <w:spacing w:val="0"/>
          <w:kern w:val="21"/>
          <w:sz w:val="32"/>
          <w:szCs w:val="32"/>
        </w:rPr>
        <w:t>10个省级、13个市级重点镇建设有序推进，110个村入选全省“千万工程”示范村</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脱贫攻坚成果持续巩固拓展，</w:t>
      </w:r>
      <w:r>
        <w:rPr>
          <w:rFonts w:hint="eastAsia" w:ascii="仿宋_GB2312" w:hAnsi="仿宋_GB2312"/>
          <w:color w:val="auto"/>
          <w:spacing w:val="0"/>
          <w:kern w:val="21"/>
          <w:sz w:val="32"/>
          <w:szCs w:val="32"/>
          <w:lang w:val="en-US" w:eastAsia="zh-CN"/>
        </w:rPr>
        <w:t>农村集体经济收入年均增长4.6%，黄陵、洛川入选国家乡村振兴示范县，</w:t>
      </w:r>
      <w:r>
        <w:rPr>
          <w:rFonts w:hint="eastAsia" w:ascii="仿宋_GB2312" w:hAnsi="仿宋_GB2312"/>
          <w:color w:val="auto"/>
          <w:spacing w:val="0"/>
          <w:kern w:val="21"/>
          <w:sz w:val="32"/>
          <w:szCs w:val="32"/>
        </w:rPr>
        <w:t>安塞南沟村入选全国巩固拓展脱贫攻坚成果实践交流基地。城乡居民收入比</w:t>
      </w:r>
      <w:r>
        <w:rPr>
          <w:rFonts w:hint="eastAsia" w:ascii="仿宋_GB2312" w:hAnsi="仿宋_GB2312"/>
          <w:color w:val="auto"/>
          <w:spacing w:val="0"/>
          <w:kern w:val="21"/>
          <w:sz w:val="32"/>
          <w:szCs w:val="32"/>
          <w:lang w:val="en-US" w:eastAsia="zh-CN"/>
        </w:rPr>
        <w:t>由“十三五”末的</w:t>
      </w:r>
      <w:r>
        <w:rPr>
          <w:rFonts w:hint="eastAsia" w:ascii="仿宋_GB2312" w:hAnsi="仿宋_GB2312"/>
          <w:color w:val="auto"/>
          <w:spacing w:val="0"/>
          <w:kern w:val="21"/>
          <w:sz w:val="32"/>
          <w:szCs w:val="32"/>
        </w:rPr>
        <w:t>2.85</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1</w:t>
      </w:r>
      <w:r>
        <w:rPr>
          <w:rFonts w:hint="eastAsia" w:ascii="仿宋_GB2312" w:hAnsi="仿宋_GB2312"/>
          <w:color w:val="auto"/>
          <w:spacing w:val="0"/>
          <w:kern w:val="21"/>
          <w:sz w:val="32"/>
          <w:szCs w:val="32"/>
          <w:lang w:val="en-US" w:eastAsia="zh-CN"/>
        </w:rPr>
        <w:t>降至2.51:1</w:t>
      </w:r>
      <w:r>
        <w:rPr>
          <w:rFonts w:hint="eastAsia" w:ascii="仿宋_GB2312" w:hAnsi="仿宋_GB2312"/>
          <w:color w:val="auto"/>
          <w:spacing w:val="0"/>
          <w:kern w:val="21"/>
          <w:sz w:val="32"/>
          <w:szCs w:val="32"/>
        </w:rPr>
        <w:t>。</w:t>
      </w:r>
    </w:p>
    <w:p w14:paraId="60B5C7C9">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文化事业发展取得重大突破。</w:t>
      </w:r>
      <w:r>
        <w:rPr>
          <w:rFonts w:hint="eastAsia" w:ascii="仿宋_GB2312" w:hAnsi="仿宋_GB2312"/>
          <w:color w:val="auto"/>
          <w:spacing w:val="0"/>
          <w:kern w:val="21"/>
          <w:sz w:val="32"/>
          <w:szCs w:val="32"/>
        </w:rPr>
        <w:t>精神文明建设常态化推进，成功举办中国乡风文明大会。成功创建革命文物国家文物保护利用示范区</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国家级陕北文化生态保护区，延安博物馆</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抗大博物馆等7座文博场馆</w:t>
      </w:r>
      <w:r>
        <w:rPr>
          <w:rFonts w:hint="eastAsia" w:ascii="仿宋_GB2312" w:hAnsi="仿宋_GB2312"/>
          <w:color w:val="auto"/>
          <w:spacing w:val="0"/>
          <w:kern w:val="21"/>
          <w:sz w:val="32"/>
          <w:szCs w:val="32"/>
        </w:rPr>
        <w:t>建成开放，延安革命纪念馆获评“全国博物馆十大陈列展览精品奖”。成功举办全国</w:t>
      </w:r>
      <w:r>
        <w:rPr>
          <w:rFonts w:hint="eastAsia" w:ascii="仿宋_GB2312" w:hAnsi="仿宋_GB2312"/>
          <w:color w:val="auto"/>
          <w:spacing w:val="0"/>
          <w:kern w:val="21"/>
          <w:sz w:val="32"/>
          <w:szCs w:val="32"/>
          <w:lang w:val="en-US" w:eastAsia="zh-CN"/>
        </w:rPr>
        <w:t>青少年</w:t>
      </w:r>
      <w:r>
        <w:rPr>
          <w:rFonts w:hint="eastAsia" w:ascii="仿宋_GB2312" w:hAnsi="仿宋_GB2312"/>
          <w:color w:val="auto"/>
          <w:spacing w:val="0"/>
          <w:kern w:val="21"/>
          <w:sz w:val="32"/>
          <w:szCs w:val="32"/>
        </w:rPr>
        <w:t>越野滑雪锦标赛、中超陕西志丹女足主场等赛事</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红色半程马拉松</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highlight w:val="none"/>
          <w:lang w:val="en-US" w:eastAsia="zh-CN"/>
        </w:rPr>
        <w:t>深受欢迎</w:t>
      </w:r>
      <w:r>
        <w:rPr>
          <w:rFonts w:hint="eastAsia" w:ascii="仿宋_GB2312" w:hAnsi="仿宋_GB2312"/>
          <w:color w:val="auto"/>
          <w:spacing w:val="0"/>
          <w:kern w:val="21"/>
          <w:sz w:val="32"/>
          <w:szCs w:val="32"/>
          <w:highlight w:val="none"/>
          <w:lang w:eastAsia="zh-CN"/>
        </w:rPr>
        <w:t>，</w:t>
      </w:r>
      <w:r>
        <w:rPr>
          <w:rFonts w:hint="eastAsia" w:ascii="仿宋_GB2312" w:hAnsi="仿宋_GB2312"/>
          <w:color w:val="auto"/>
          <w:spacing w:val="0"/>
          <w:kern w:val="21"/>
          <w:sz w:val="32"/>
          <w:szCs w:val="32"/>
          <w:highlight w:val="none"/>
        </w:rPr>
        <w:t>新“九一”运动会精彩圆满，“延安过大年”等系列</w:t>
      </w:r>
      <w:r>
        <w:rPr>
          <w:rFonts w:hint="eastAsia" w:ascii="仿宋_GB2312" w:hAnsi="仿宋_GB2312"/>
          <w:color w:val="auto"/>
          <w:spacing w:val="0"/>
          <w:kern w:val="21"/>
          <w:sz w:val="32"/>
          <w:szCs w:val="32"/>
        </w:rPr>
        <w:t>文化活动广受好评</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一批文艺作品荣获国家级奖项</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新大众文艺蓬勃兴起</w:t>
      </w:r>
      <w:r>
        <w:rPr>
          <w:rFonts w:hint="eastAsia" w:ascii="仿宋_GB2312" w:hAnsi="仿宋_GB2312"/>
          <w:color w:val="auto"/>
          <w:spacing w:val="0"/>
          <w:kern w:val="21"/>
          <w:sz w:val="32"/>
          <w:szCs w:val="32"/>
          <w:lang w:eastAsia="zh-CN"/>
        </w:rPr>
        <w:t>。</w:t>
      </w:r>
    </w:p>
    <w:p w14:paraId="2DBCBA9A">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绿色低碳发展取得重大突破。</w:t>
      </w:r>
      <w:r>
        <w:rPr>
          <w:rFonts w:hint="eastAsia" w:ascii="仿宋_GB2312" w:hAnsi="仿宋_GB2312"/>
          <w:color w:val="auto"/>
          <w:spacing w:val="0"/>
          <w:kern w:val="21"/>
          <w:sz w:val="32"/>
          <w:szCs w:val="32"/>
        </w:rPr>
        <w:t>退耕还林成果持续巩固，“三北”工程攻坚战扎实推进，累计完成营造林</w:t>
      </w:r>
      <w:r>
        <w:rPr>
          <w:rFonts w:hint="eastAsia" w:ascii="仿宋_GB2312" w:hAnsi="仿宋_GB2312"/>
          <w:color w:val="auto"/>
          <w:spacing w:val="0"/>
          <w:kern w:val="21"/>
          <w:sz w:val="32"/>
          <w:szCs w:val="32"/>
          <w:lang w:val="en-US" w:eastAsia="zh-CN"/>
        </w:rPr>
        <w:t>755.7</w:t>
      </w:r>
      <w:r>
        <w:rPr>
          <w:rFonts w:hint="eastAsia" w:ascii="仿宋_GB2312" w:hAnsi="仿宋_GB2312"/>
          <w:color w:val="auto"/>
          <w:spacing w:val="0"/>
          <w:kern w:val="21"/>
          <w:sz w:val="32"/>
          <w:szCs w:val="32"/>
        </w:rPr>
        <w:t>万亩，治理水土流失面积43</w:t>
      </w:r>
      <w:r>
        <w:rPr>
          <w:rFonts w:hint="eastAsia" w:ascii="仿宋_GB2312" w:hAnsi="仿宋_GB2312"/>
          <w:color w:val="auto"/>
          <w:spacing w:val="0"/>
          <w:kern w:val="21"/>
          <w:sz w:val="32"/>
          <w:szCs w:val="32"/>
          <w:lang w:val="en-US" w:eastAsia="zh-CN"/>
        </w:rPr>
        <w:t>2</w:t>
      </w:r>
      <w:r>
        <w:rPr>
          <w:rFonts w:hint="eastAsia" w:ascii="仿宋_GB2312" w:hAnsi="仿宋_GB2312"/>
          <w:color w:val="auto"/>
          <w:spacing w:val="0"/>
          <w:kern w:val="21"/>
          <w:sz w:val="32"/>
          <w:szCs w:val="32"/>
        </w:rPr>
        <w:t>4平方公里。</w:t>
      </w:r>
      <w:r>
        <w:rPr>
          <w:rFonts w:hint="eastAsia" w:ascii="仿宋_GB2312" w:hAnsi="仿宋_GB2312"/>
          <w:color w:val="auto"/>
          <w:spacing w:val="0"/>
          <w:kern w:val="21"/>
          <w:sz w:val="32"/>
          <w:szCs w:val="32"/>
          <w:lang w:val="en-US" w:eastAsia="zh-CN"/>
        </w:rPr>
        <w:t>18.8万棵古树名木实行挂牌保护，</w:t>
      </w:r>
      <w:r>
        <w:rPr>
          <w:rFonts w:hint="eastAsia" w:ascii="仿宋_GB2312" w:hAnsi="仿宋_GB2312"/>
          <w:color w:val="auto"/>
          <w:spacing w:val="0"/>
          <w:kern w:val="21"/>
          <w:sz w:val="32"/>
          <w:szCs w:val="32"/>
        </w:rPr>
        <w:t>黄陵获批全国首批古树名木保护试点县。冬季清洁取暖试点任务全面完成，</w:t>
      </w:r>
      <w:r>
        <w:rPr>
          <w:rFonts w:hint="eastAsia" w:ascii="仿宋_GB2312" w:hAnsi="仿宋_GB2312"/>
          <w:color w:val="auto"/>
          <w:spacing w:val="0"/>
          <w:kern w:val="21"/>
          <w:sz w:val="32"/>
          <w:szCs w:val="32"/>
          <w:lang w:val="en-US" w:eastAsia="zh-CN"/>
        </w:rPr>
        <w:t>城区空气质量连续5年进入国家二级达标城市行列。</w:t>
      </w:r>
      <w:r>
        <w:rPr>
          <w:rFonts w:hint="eastAsia" w:ascii="仿宋_GB2312" w:hAnsi="仿宋_GB2312"/>
          <w:color w:val="auto"/>
          <w:spacing w:val="0"/>
          <w:kern w:val="21"/>
          <w:sz w:val="32"/>
          <w:szCs w:val="32"/>
        </w:rPr>
        <w:t>国省市控断面水质</w:t>
      </w:r>
      <w:r>
        <w:rPr>
          <w:rFonts w:hint="eastAsia" w:ascii="仿宋_GB2312" w:hAnsi="仿宋_GB2312"/>
          <w:color w:val="auto"/>
          <w:spacing w:val="0"/>
          <w:kern w:val="21"/>
          <w:sz w:val="32"/>
          <w:szCs w:val="32"/>
          <w:lang w:val="en-US" w:eastAsia="zh-CN"/>
        </w:rPr>
        <w:t>稳定改善</w:t>
      </w:r>
      <w:r>
        <w:rPr>
          <w:rFonts w:hint="eastAsia" w:ascii="仿宋_GB2312" w:hAnsi="仿宋_GB2312"/>
          <w:color w:val="auto"/>
          <w:spacing w:val="0"/>
          <w:kern w:val="21"/>
          <w:sz w:val="32"/>
          <w:szCs w:val="32"/>
          <w:lang w:eastAsia="zh-CN"/>
        </w:rPr>
        <w:t>，入选国家区域再生水循环利用试点城市，</w:t>
      </w:r>
      <w:r>
        <w:rPr>
          <w:rFonts w:hint="eastAsia" w:ascii="仿宋_GB2312" w:hAnsi="仿宋_GB2312"/>
          <w:color w:val="auto"/>
          <w:spacing w:val="0"/>
          <w:kern w:val="21"/>
          <w:sz w:val="32"/>
          <w:szCs w:val="32"/>
        </w:rPr>
        <w:t>延河入选全国美丽河湖优秀案例，宝塔区薛张小流域水土保持项目完成黄河流域首例碳汇交易。宝塔、宜川成功创建生态文明建设示范区，安塞</w:t>
      </w:r>
      <w:r>
        <w:rPr>
          <w:rFonts w:hint="eastAsia" w:ascii="仿宋_GB2312" w:hAnsi="仿宋_GB2312"/>
          <w:color w:val="auto"/>
          <w:spacing w:val="0"/>
          <w:kern w:val="21"/>
          <w:sz w:val="32"/>
          <w:szCs w:val="32"/>
          <w:lang w:eastAsia="zh-CN"/>
        </w:rPr>
        <w:t>、黄龙</w:t>
      </w:r>
      <w:r>
        <w:rPr>
          <w:rFonts w:hint="eastAsia" w:ascii="仿宋_GB2312" w:hAnsi="仿宋_GB2312"/>
          <w:color w:val="auto"/>
          <w:spacing w:val="0"/>
          <w:kern w:val="21"/>
          <w:sz w:val="32"/>
          <w:szCs w:val="32"/>
        </w:rPr>
        <w:t>被授予全国“两山”实践创新基地，黄陵创建为国家水土保持示范县，延川入选全国首批自然资源节约集约示范县</w:t>
      </w:r>
      <w:r>
        <w:rPr>
          <w:rFonts w:hint="eastAsia" w:ascii="仿宋_GB2312" w:hAnsi="仿宋_GB2312"/>
          <w:color w:val="auto"/>
          <w:spacing w:val="0"/>
          <w:kern w:val="21"/>
          <w:sz w:val="32"/>
          <w:szCs w:val="32"/>
          <w:lang w:eastAsia="zh-CN"/>
        </w:rPr>
        <w:t>。</w:t>
      </w:r>
    </w:p>
    <w:p w14:paraId="6A96E29A">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民生事业发展取得重大突破。</w:t>
      </w:r>
      <w:r>
        <w:rPr>
          <w:rFonts w:hint="eastAsia" w:ascii="仿宋_GB2312" w:hAnsi="仿宋_GB2312"/>
          <w:color w:val="auto"/>
          <w:spacing w:val="0"/>
          <w:kern w:val="21"/>
          <w:sz w:val="32"/>
          <w:szCs w:val="32"/>
        </w:rPr>
        <w:t>坚持每年办好“民生十件实事”，中心城区山体沟道人居环境综合治理总体完成</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环卫工人免费早餐、城区公交票价“一元制”等民生实事广受好评。就业规模和质量稳步提升，获批全国公共就业服务能力提升示范项目，居民收入平均增速高于经济增速，城镇、农村居民人均可支配收入分别达</w:t>
      </w:r>
      <w:r>
        <w:rPr>
          <w:rFonts w:hint="eastAsia" w:ascii="仿宋_GB2312" w:hAnsi="仿宋_GB2312"/>
          <w:color w:val="auto"/>
          <w:spacing w:val="0"/>
          <w:kern w:val="21"/>
          <w:sz w:val="32"/>
          <w:szCs w:val="32"/>
          <w:lang w:val="en-US" w:eastAsia="zh-CN"/>
        </w:rPr>
        <w:t>47051</w:t>
      </w:r>
      <w:r>
        <w:rPr>
          <w:rFonts w:hint="eastAsia" w:ascii="仿宋_GB2312" w:hAnsi="仿宋_GB2312"/>
          <w:color w:val="auto"/>
          <w:spacing w:val="0"/>
          <w:kern w:val="21"/>
          <w:sz w:val="32"/>
          <w:szCs w:val="32"/>
        </w:rPr>
        <w:t>元、</w:t>
      </w:r>
      <w:r>
        <w:rPr>
          <w:rFonts w:hint="eastAsia" w:ascii="仿宋_GB2312" w:hAnsi="仿宋_GB2312"/>
          <w:color w:val="auto"/>
          <w:spacing w:val="0"/>
          <w:kern w:val="21"/>
          <w:sz w:val="32"/>
          <w:szCs w:val="32"/>
          <w:lang w:val="en-US" w:eastAsia="zh-CN"/>
        </w:rPr>
        <w:t>18759</w:t>
      </w:r>
      <w:r>
        <w:rPr>
          <w:rFonts w:hint="eastAsia" w:ascii="仿宋_GB2312" w:hAnsi="仿宋_GB2312"/>
          <w:color w:val="auto"/>
          <w:spacing w:val="0"/>
          <w:kern w:val="21"/>
          <w:sz w:val="32"/>
          <w:szCs w:val="32"/>
        </w:rPr>
        <w:t>元。集团化办学全面展开</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建成“用延安精神教书育人”特色</w:t>
      </w:r>
      <w:r>
        <w:rPr>
          <w:rFonts w:hint="eastAsia" w:ascii="仿宋_GB2312" w:hAnsi="仿宋_GB2312"/>
          <w:color w:val="auto"/>
          <w:spacing w:val="0"/>
          <w:kern w:val="21"/>
          <w:sz w:val="32"/>
          <w:szCs w:val="32"/>
          <w:lang w:val="en-US" w:eastAsia="zh-CN"/>
        </w:rPr>
        <w:t>学</w:t>
      </w:r>
      <w:r>
        <w:rPr>
          <w:rFonts w:hint="eastAsia" w:ascii="仿宋_GB2312" w:hAnsi="仿宋_GB2312"/>
          <w:color w:val="auto"/>
          <w:spacing w:val="0"/>
          <w:kern w:val="21"/>
          <w:sz w:val="32"/>
          <w:szCs w:val="32"/>
        </w:rPr>
        <w:t>校100所，新建、改扩建中小学幼儿园2</w:t>
      </w:r>
      <w:r>
        <w:rPr>
          <w:rFonts w:hint="eastAsia" w:ascii="仿宋_GB2312" w:hAnsi="仿宋_GB2312"/>
          <w:color w:val="auto"/>
          <w:spacing w:val="0"/>
          <w:kern w:val="21"/>
          <w:sz w:val="32"/>
          <w:szCs w:val="32"/>
          <w:lang w:val="en-US" w:eastAsia="zh-CN"/>
        </w:rPr>
        <w:t>31</w:t>
      </w:r>
      <w:r>
        <w:rPr>
          <w:rFonts w:hint="eastAsia" w:ascii="仿宋_GB2312" w:hAnsi="仿宋_GB2312"/>
          <w:color w:val="auto"/>
          <w:spacing w:val="0"/>
          <w:kern w:val="21"/>
          <w:sz w:val="32"/>
          <w:szCs w:val="32"/>
        </w:rPr>
        <w:t>所，增加学位3.</w:t>
      </w:r>
      <w:r>
        <w:rPr>
          <w:rFonts w:hint="eastAsia" w:ascii="仿宋_GB2312" w:hAnsi="仿宋_GB2312"/>
          <w:color w:val="auto"/>
          <w:spacing w:val="0"/>
          <w:kern w:val="21"/>
          <w:sz w:val="32"/>
          <w:szCs w:val="32"/>
          <w:lang w:val="en-US" w:eastAsia="zh-CN"/>
        </w:rPr>
        <w:t>8</w:t>
      </w:r>
      <w:r>
        <w:rPr>
          <w:rFonts w:hint="eastAsia" w:ascii="仿宋_GB2312" w:hAnsi="仿宋_GB2312"/>
          <w:color w:val="auto"/>
          <w:spacing w:val="0"/>
          <w:kern w:val="21"/>
          <w:sz w:val="32"/>
          <w:szCs w:val="32"/>
        </w:rPr>
        <w:t>万个，组建教育集团43个，全面启用“教育入学一件事”招生平台和初中学业水平体育与健康管理系统</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吴起、黄龙评估认定</w:t>
      </w:r>
      <w:r>
        <w:rPr>
          <w:rFonts w:hint="eastAsia" w:ascii="仿宋_GB2312" w:hAnsi="仿宋_GB2312"/>
          <w:color w:val="auto"/>
          <w:spacing w:val="0"/>
          <w:kern w:val="21"/>
          <w:sz w:val="32"/>
          <w:szCs w:val="32"/>
          <w:lang w:val="en-US" w:eastAsia="zh-CN"/>
        </w:rPr>
        <w:t>为</w:t>
      </w:r>
      <w:r>
        <w:rPr>
          <w:rFonts w:hint="eastAsia" w:ascii="仿宋_GB2312" w:hAnsi="仿宋_GB2312"/>
          <w:color w:val="auto"/>
          <w:spacing w:val="0"/>
          <w:kern w:val="21"/>
          <w:sz w:val="32"/>
          <w:szCs w:val="32"/>
        </w:rPr>
        <w:t>国家义务教育优质均衡发展县，宜川、黄龙</w:t>
      </w:r>
      <w:r>
        <w:rPr>
          <w:rFonts w:hint="eastAsia" w:ascii="仿宋_GB2312" w:hAnsi="仿宋_GB2312"/>
          <w:color w:val="auto"/>
          <w:spacing w:val="0"/>
          <w:kern w:val="21"/>
          <w:sz w:val="32"/>
          <w:szCs w:val="32"/>
          <w:lang w:val="en-US" w:eastAsia="zh-CN"/>
        </w:rPr>
        <w:t>为</w:t>
      </w:r>
      <w:r>
        <w:rPr>
          <w:rFonts w:hint="eastAsia" w:ascii="仿宋_GB2312" w:hAnsi="仿宋_GB2312"/>
          <w:color w:val="auto"/>
          <w:spacing w:val="0"/>
          <w:kern w:val="21"/>
          <w:sz w:val="32"/>
          <w:szCs w:val="32"/>
        </w:rPr>
        <w:t>国家学前教育普及普惠县</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延安大学获批博士学位授予单位，延安职业技术学院成功获批省级“双高”院校。入选国家紧密型城市医疗集团建设试点城市，市人民医院</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市中医院</w:t>
      </w:r>
      <w:r>
        <w:rPr>
          <w:rFonts w:hint="eastAsia" w:ascii="仿宋_GB2312" w:hAnsi="仿宋_GB2312"/>
          <w:color w:val="auto"/>
          <w:spacing w:val="0"/>
          <w:kern w:val="21"/>
          <w:sz w:val="32"/>
          <w:szCs w:val="32"/>
        </w:rPr>
        <w:t>紧密型城市医疗集团启动运行，</w:t>
      </w:r>
      <w:r>
        <w:rPr>
          <w:rFonts w:hint="eastAsia" w:ascii="仿宋_GB2312" w:hAnsi="仿宋_GB2312"/>
          <w:color w:val="auto"/>
          <w:spacing w:val="0"/>
          <w:kern w:val="21"/>
          <w:sz w:val="32"/>
          <w:szCs w:val="32"/>
          <w:lang w:val="en-US" w:eastAsia="zh-CN"/>
        </w:rPr>
        <w:t>获批国家公立医院改革与高质量发展示范项目，</w:t>
      </w:r>
      <w:r>
        <w:rPr>
          <w:rFonts w:hint="eastAsia" w:ascii="仿宋_GB2312" w:hAnsi="仿宋_GB2312"/>
          <w:color w:val="auto"/>
          <w:spacing w:val="0"/>
          <w:kern w:val="21"/>
          <w:sz w:val="32"/>
          <w:szCs w:val="32"/>
        </w:rPr>
        <w:t>县域内就诊率保持在90%以上</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城乡适龄妇女免费两癌筛查实现全覆盖。市社会福利院建成投用，建成全国“老年友好型社区”9个，创建国家级“敬老文明号”4个。多层次社会保障体系更加健全，</w:t>
      </w:r>
      <w:r>
        <w:rPr>
          <w:rFonts w:hint="eastAsia" w:ascii="仿宋_GB2312" w:hAnsi="仿宋_GB2312"/>
          <w:color w:val="auto"/>
          <w:spacing w:val="0"/>
          <w:kern w:val="21"/>
          <w:sz w:val="32"/>
          <w:szCs w:val="32"/>
          <w:lang w:val="en-US" w:eastAsia="zh-CN"/>
        </w:rPr>
        <w:t>基本医疗保障制度全覆盖。</w:t>
      </w:r>
    </w:p>
    <w:p w14:paraId="1E8C0580">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ascii="楷体_GB2312" w:hAnsi="楷体_GB2312" w:eastAsia="楷体_GB2312" w:cs="楷体_GB2312"/>
          <w:b w:val="0"/>
          <w:bCs w:val="0"/>
          <w:color w:val="auto"/>
          <w:spacing w:val="0"/>
          <w:kern w:val="21"/>
          <w:sz w:val="32"/>
          <w:szCs w:val="32"/>
        </w:rPr>
        <w:t>社会治理取得重大突破。</w:t>
      </w:r>
      <w:r>
        <w:rPr>
          <w:rFonts w:hint="eastAsia" w:ascii="仿宋_GB2312" w:hAnsi="仿宋_GB2312"/>
          <w:color w:val="auto"/>
          <w:spacing w:val="0"/>
          <w:kern w:val="21"/>
          <w:sz w:val="32"/>
          <w:szCs w:val="32"/>
        </w:rPr>
        <w:t>建立国家安全新机制，防范化解重大风险有力有效</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推进安全生产治本攻坚九大行动</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在全国首家开展农村集体聚餐食品安全监管地方立法。信访工作法治化稳步推进，常态化开展扫黑除恶、矛盾纠纷排查化解，健全完善社会治安防控体系，成功创建全国法治政府建设示范市</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宝塔消防救援站被授予“时代楷模”</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枣园派出所被授予全国“公安楷模”。连年荣获全省“平安市”，</w:t>
      </w:r>
      <w:r>
        <w:rPr>
          <w:rFonts w:hint="eastAsia" w:ascii="仿宋_GB2312" w:hAnsi="仿宋_GB2312"/>
          <w:color w:val="auto"/>
          <w:spacing w:val="0"/>
          <w:kern w:val="21"/>
          <w:sz w:val="32"/>
          <w:szCs w:val="32"/>
          <w:lang w:val="en-US" w:eastAsia="zh-CN"/>
        </w:rPr>
        <w:t>蝉联</w:t>
      </w:r>
      <w:r>
        <w:rPr>
          <w:rFonts w:hint="eastAsia" w:ascii="仿宋_GB2312" w:hAnsi="仿宋_GB2312"/>
          <w:color w:val="auto"/>
          <w:spacing w:val="0"/>
          <w:kern w:val="21"/>
          <w:sz w:val="32"/>
          <w:szCs w:val="32"/>
        </w:rPr>
        <w:t>全国双拥模范城“十连冠”。</w:t>
      </w:r>
    </w:p>
    <w:p w14:paraId="64F4030A">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rPr>
      </w:pPr>
      <w:r>
        <w:rPr>
          <w:rFonts w:hint="eastAsia" w:ascii="仿宋_GB2312" w:hAnsi="仿宋_GB2312"/>
          <w:color w:val="auto"/>
          <w:spacing w:val="0"/>
          <w:kern w:val="21"/>
          <w:sz w:val="32"/>
          <w:szCs w:val="32"/>
        </w:rPr>
        <w:t>“十四五”时期是延安市委、市政府团结带领全市人民</w:t>
      </w:r>
      <w:r>
        <w:rPr>
          <w:rFonts w:hint="eastAsia" w:ascii="仿宋_GB2312" w:hAnsi="仿宋_GB2312"/>
          <w:color w:val="auto"/>
          <w:spacing w:val="0"/>
          <w:kern w:val="21"/>
          <w:sz w:val="32"/>
          <w:szCs w:val="32"/>
          <w:lang w:val="en-US" w:eastAsia="zh-CN"/>
        </w:rPr>
        <w:t>踔厉奋发</w:t>
      </w:r>
      <w:r>
        <w:rPr>
          <w:rFonts w:hint="eastAsia" w:ascii="仿宋_GB2312" w:hAnsi="仿宋_GB2312"/>
          <w:color w:val="auto"/>
          <w:spacing w:val="0"/>
          <w:kern w:val="21"/>
          <w:sz w:val="32"/>
          <w:szCs w:val="32"/>
        </w:rPr>
        <w:t>，不断拼搏，各方面工作迈上新台阶，实现新跨越的五年，是经历前所未有困难和挑战，突破一系列风险难题的五年，是牢牢把握重大历史机遇，办成一系列大事、取得重大标志性成果的五年。这些成就是在积极应对世纪疫情冲击、克服能化产品价格大幅下跌影响、抗击频发自然灾害、主动防范化解各类风险隐患中取得的，来之不易，根本在于以习近平同志为核心的党中央领航掌舵，在于习近平新时代中国特色社会主义思想科学指引。实践</w:t>
      </w:r>
      <w:r>
        <w:rPr>
          <w:rFonts w:hint="eastAsia" w:ascii="仿宋_GB2312" w:hAnsi="仿宋_GB2312"/>
          <w:color w:val="auto"/>
          <w:spacing w:val="0"/>
          <w:kern w:val="21"/>
          <w:sz w:val="32"/>
          <w:szCs w:val="32"/>
          <w:lang w:val="en-US" w:eastAsia="zh-CN"/>
        </w:rPr>
        <w:t>充分</w:t>
      </w:r>
      <w:r>
        <w:rPr>
          <w:rFonts w:hint="eastAsia" w:ascii="仿宋_GB2312" w:hAnsi="仿宋_GB2312"/>
          <w:color w:val="auto"/>
          <w:spacing w:val="0"/>
          <w:kern w:val="21"/>
          <w:sz w:val="32"/>
          <w:szCs w:val="32"/>
        </w:rPr>
        <w:t>证明，一个地方只要对习近平新时代中国特色社会主义思想理解得深刻、执行得彻底、落实得到位，就一定能发展得更优更好更快。</w:t>
      </w:r>
      <w:r>
        <w:rPr>
          <w:rFonts w:hint="eastAsia" w:ascii="仿宋_GB2312" w:hAnsi="仿宋_GB2312" w:cs="仿宋_GB2312"/>
          <w:color w:val="auto"/>
          <w:spacing w:val="0"/>
          <w:kern w:val="21"/>
          <w:sz w:val="32"/>
          <w:szCs w:val="32"/>
        </w:rPr>
        <w:t>全市上下要深刻领悟“两个确立”的决定性意义，增强“四个意识”、坚定“四个自信”、做到“两个维护”，始终沿着习近平总书记指引的方向前进。</w:t>
      </w:r>
    </w:p>
    <w:p w14:paraId="3EBB3EB6">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ascii="仿宋_GB2312" w:hAnsi="仿宋_GB2312"/>
          <w:color w:val="auto"/>
          <w:spacing w:val="0"/>
          <w:kern w:val="21"/>
          <w:sz w:val="32"/>
          <w:szCs w:val="32"/>
        </w:rPr>
      </w:pPr>
      <w:bookmarkStart w:id="6" w:name="_Toc16818"/>
      <w:bookmarkStart w:id="7" w:name="_Toc21232"/>
      <w:bookmarkStart w:id="8" w:name="_Toc7508"/>
    </w:p>
    <w:p w14:paraId="7EA703A6">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r>
        <w:rPr>
          <w:rFonts w:ascii="仿宋_GB2312" w:hAnsi="仿宋_GB2312"/>
          <w:color w:val="auto"/>
          <w:spacing w:val="0"/>
          <w:kern w:val="21"/>
          <w:sz w:val="32"/>
          <w:szCs w:val="32"/>
        </w:rPr>
        <w:t>第二章</w:t>
      </w:r>
      <w:r>
        <w:rPr>
          <w:rFonts w:hint="eastAsia" w:ascii="仿宋_GB2312" w:hAnsi="仿宋_GB2312"/>
          <w:color w:val="auto"/>
          <w:spacing w:val="0"/>
          <w:kern w:val="21"/>
          <w:sz w:val="32"/>
          <w:szCs w:val="32"/>
          <w:lang w:val="en-US" w:eastAsia="zh-CN"/>
        </w:rPr>
        <w:t xml:space="preserve">  </w:t>
      </w:r>
      <w:r>
        <w:rPr>
          <w:rFonts w:ascii="仿宋_GB2312" w:hAnsi="仿宋_GB2312"/>
          <w:color w:val="auto"/>
          <w:spacing w:val="0"/>
          <w:kern w:val="21"/>
          <w:sz w:val="32"/>
          <w:szCs w:val="32"/>
        </w:rPr>
        <w:t>发展环境</w:t>
      </w:r>
      <w:bookmarkEnd w:id="6"/>
      <w:bookmarkEnd w:id="7"/>
      <w:bookmarkEnd w:id="8"/>
    </w:p>
    <w:p w14:paraId="5982158E">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rPr>
      </w:pPr>
    </w:p>
    <w:p w14:paraId="29016990">
      <w:pPr>
        <w:keepNext w:val="0"/>
        <w:keepLines w:val="0"/>
        <w:pageBreakBefore w:val="0"/>
        <w:widowControl w:val="0"/>
        <w:kinsoku/>
        <w:wordWrap/>
        <w:overflowPunct w:val="0"/>
        <w:topLinePunct w:val="0"/>
        <w:autoSpaceDE/>
        <w:autoSpaceDN/>
        <w:bidi w:val="0"/>
        <w:spacing w:line="579" w:lineRule="exact"/>
        <w:ind w:firstLine="640"/>
        <w:textAlignment w:val="auto"/>
        <w:rPr>
          <w:rFonts w:hint="default" w:ascii="仿宋_GB2312" w:hAnsi="仿宋_GB2312" w:eastAsia="仿宋_GB2312" w:cs="仿宋_GB2312"/>
          <w:color w:val="auto"/>
          <w:spacing w:val="0"/>
          <w:kern w:val="21"/>
          <w:sz w:val="32"/>
          <w:szCs w:val="32"/>
          <w:lang w:val="en-US" w:eastAsia="zh-CN"/>
        </w:rPr>
      </w:pPr>
      <w:r>
        <w:rPr>
          <w:rFonts w:hint="eastAsia" w:ascii="仿宋_GB2312" w:hAnsi="仿宋_GB2312"/>
          <w:color w:val="auto"/>
          <w:spacing w:val="0"/>
          <w:kern w:val="21"/>
          <w:sz w:val="32"/>
          <w:szCs w:val="32"/>
        </w:rPr>
        <w:t>“十五五”时期在基本实现社会主义现代化进程中具有承前启后的重要地位。</w:t>
      </w:r>
      <w:r>
        <w:rPr>
          <w:rFonts w:hint="eastAsia" w:ascii="仿宋_GB2312" w:hAnsi="仿宋_GB2312"/>
          <w:color w:val="auto"/>
          <w:spacing w:val="0"/>
          <w:kern w:val="21"/>
          <w:sz w:val="32"/>
          <w:szCs w:val="32"/>
          <w:lang w:val="en-US" w:eastAsia="zh-CN"/>
        </w:rPr>
        <w:t>谋划和推动延安“十五五”发展，必须把思想和行动统一到党中央对外部环境和形势的科学判断上，切实以历史主动精神不断打开延安高质量发展现代化建设新天地。</w:t>
      </w:r>
      <w:r>
        <w:rPr>
          <w:rFonts w:hint="eastAsia" w:ascii="黑体" w:hAnsi="黑体" w:eastAsia="黑体" w:cs="黑体"/>
          <w:b w:val="0"/>
          <w:bCs/>
          <w:color w:val="auto"/>
          <w:spacing w:val="0"/>
          <w:kern w:val="21"/>
          <w:sz w:val="32"/>
          <w:szCs w:val="32"/>
        </w:rPr>
        <w:t>从全球看，</w:t>
      </w:r>
      <w:r>
        <w:rPr>
          <w:rFonts w:hint="eastAsia" w:ascii="仿宋_GB2312" w:hAnsi="仿宋_GB2312" w:eastAsia="仿宋_GB2312" w:cs="仿宋_GB2312"/>
          <w:b w:val="0"/>
          <w:bCs/>
          <w:color w:val="auto"/>
          <w:spacing w:val="0"/>
          <w:kern w:val="21"/>
          <w:sz w:val="32"/>
          <w:szCs w:val="32"/>
          <w:lang w:val="en-US" w:eastAsia="zh-CN"/>
        </w:rPr>
        <w:t>当今世界变乱交织、动荡加剧，</w:t>
      </w:r>
      <w:r>
        <w:rPr>
          <w:rFonts w:hint="eastAsia" w:ascii="仿宋_GB2312" w:hAnsi="仿宋_GB2312" w:eastAsia="仿宋_GB2312" w:cs="仿宋_GB2312"/>
          <w:b w:val="0"/>
          <w:bCs/>
          <w:color w:val="auto"/>
          <w:spacing w:val="0"/>
          <w:kern w:val="21"/>
          <w:sz w:val="32"/>
          <w:szCs w:val="32"/>
        </w:rPr>
        <w:t>世界政治经济格局将继续经历大调整、大分化、大重组，国际经济贸易秩序面临严峻挑战。同时，新一轮科技革命和产业变革加速突破，正在重塑科研范式、产业形态和经济格局，我国具备主动运筹国际空间、塑造外部环境的诸多有利因素。我们要顺应世界发展大势，更加主动融入和服务构建新发展格局，更加深度融入共建“一带一路”大格局，更加主动服务国家高水平科技自立自强，在持续扩大开放和加强自主创新中拓展发展空间、培育发展新机</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以延安一域之光为全局添彩</w:t>
      </w:r>
      <w:r>
        <w:rPr>
          <w:rFonts w:hint="eastAsia" w:ascii="仿宋_GB2312" w:hAnsi="仿宋_GB2312" w:eastAsia="仿宋_GB2312" w:cs="仿宋_GB2312"/>
          <w:b w:val="0"/>
          <w:bCs/>
          <w:color w:val="auto"/>
          <w:spacing w:val="0"/>
          <w:kern w:val="21"/>
          <w:sz w:val="32"/>
          <w:szCs w:val="32"/>
        </w:rPr>
        <w:t>。</w:t>
      </w:r>
      <w:r>
        <w:rPr>
          <w:rFonts w:hint="eastAsia" w:ascii="黑体" w:hAnsi="黑体" w:eastAsia="黑体" w:cs="黑体"/>
          <w:b w:val="0"/>
          <w:bCs/>
          <w:color w:val="auto"/>
          <w:spacing w:val="0"/>
          <w:kern w:val="21"/>
          <w:sz w:val="32"/>
          <w:szCs w:val="32"/>
        </w:rPr>
        <w:t>从国内看，</w:t>
      </w:r>
      <w:r>
        <w:rPr>
          <w:rFonts w:hint="eastAsia" w:ascii="仿宋_GB2312" w:hAnsi="仿宋_GB2312" w:eastAsia="仿宋_GB2312" w:cs="仿宋_GB2312"/>
          <w:b w:val="0"/>
          <w:bCs/>
          <w:color w:val="auto"/>
          <w:spacing w:val="0"/>
          <w:kern w:val="21"/>
          <w:sz w:val="32"/>
          <w:szCs w:val="32"/>
        </w:rPr>
        <w:t>我国经济基础稳、优势多、韧性强、潜能大，长期向好的支撑条件和基本趋势没有变。同时，经济循环动力转换、能源结构调整、人口结构变化、房地产市场转型等拐点性变化加速凸显。我们要加强前瞻研判和战略预置，更加积极主动融入全国统一大市场建设，</w:t>
      </w:r>
      <w:r>
        <w:rPr>
          <w:rFonts w:hint="eastAsia" w:ascii="仿宋_GB2312" w:hAnsi="仿宋_GB2312" w:cs="仿宋_GB2312"/>
          <w:b w:val="0"/>
          <w:bCs/>
          <w:color w:val="auto"/>
          <w:spacing w:val="0"/>
          <w:kern w:val="21"/>
          <w:sz w:val="32"/>
          <w:szCs w:val="32"/>
          <w:lang w:val="en-US" w:eastAsia="zh-CN"/>
        </w:rPr>
        <w:t>统筹好消费和投资、投资于物和投资于人、培育新动能和更新旧动能、做优增量和盘活存量等诸多重要关系，</w:t>
      </w:r>
      <w:r>
        <w:rPr>
          <w:rFonts w:hint="eastAsia" w:ascii="仿宋_GB2312" w:hAnsi="仿宋_GB2312" w:eastAsia="仿宋_GB2312" w:cs="仿宋_GB2312"/>
          <w:b w:val="0"/>
          <w:bCs/>
          <w:color w:val="auto"/>
          <w:spacing w:val="0"/>
          <w:kern w:val="21"/>
          <w:sz w:val="32"/>
          <w:szCs w:val="32"/>
        </w:rPr>
        <w:t>努力把拐点性变化带来的不利影响降到最低，把蕴含其中的历史性机遇用足用好。</w:t>
      </w:r>
      <w:r>
        <w:rPr>
          <w:rFonts w:hint="eastAsia" w:ascii="仿宋_GB2312" w:hAnsi="仿宋_GB2312" w:cs="仿宋_GB2312"/>
          <w:b w:val="0"/>
          <w:bCs/>
          <w:color w:val="auto"/>
          <w:spacing w:val="0"/>
          <w:kern w:val="21"/>
          <w:sz w:val="32"/>
          <w:szCs w:val="32"/>
          <w:lang w:val="en-US" w:eastAsia="zh-CN"/>
        </w:rPr>
        <w:t>特别是</w:t>
      </w:r>
      <w:r>
        <w:rPr>
          <w:rFonts w:hint="eastAsia" w:ascii="仿宋_GB2312" w:hAnsi="仿宋_GB2312" w:eastAsia="仿宋_GB2312" w:cs="仿宋_GB2312"/>
          <w:b w:val="0"/>
          <w:bCs/>
          <w:color w:val="auto"/>
          <w:spacing w:val="0"/>
          <w:kern w:val="21"/>
          <w:sz w:val="32"/>
          <w:szCs w:val="32"/>
        </w:rPr>
        <w:t>新时代推进西部大开发形成新格局、黄河流域生态保护和高质量发展、新时代支持革命老区振兴发展等国家战略全面落地，</w:t>
      </w:r>
      <w:r>
        <w:rPr>
          <w:rFonts w:hint="eastAsia" w:ascii="仿宋_GB2312" w:hAnsi="仿宋_GB2312" w:cs="仿宋_GB2312"/>
          <w:b w:val="0"/>
          <w:bCs/>
          <w:color w:val="auto"/>
          <w:spacing w:val="0"/>
          <w:kern w:val="21"/>
          <w:sz w:val="32"/>
          <w:szCs w:val="32"/>
          <w:lang w:val="en-US" w:eastAsia="zh-CN"/>
        </w:rPr>
        <w:t>为延安高质量发展带来了新的机遇。</w:t>
      </w:r>
      <w:r>
        <w:rPr>
          <w:rFonts w:hint="eastAsia" w:ascii="黑体" w:hAnsi="黑体" w:eastAsia="黑体" w:cs="黑体"/>
          <w:b w:val="0"/>
          <w:bCs/>
          <w:color w:val="auto"/>
          <w:spacing w:val="0"/>
          <w:kern w:val="21"/>
          <w:sz w:val="32"/>
          <w:szCs w:val="32"/>
        </w:rPr>
        <w:t>从陕西看，</w:t>
      </w:r>
      <w:r>
        <w:rPr>
          <w:rFonts w:hint="eastAsia" w:ascii="仿宋_GB2312" w:hAnsi="仿宋_GB2312" w:eastAsia="仿宋_GB2312" w:cs="仿宋_GB2312"/>
          <w:b w:val="0"/>
          <w:bCs/>
          <w:color w:val="auto"/>
          <w:spacing w:val="0"/>
          <w:kern w:val="21"/>
          <w:sz w:val="32"/>
          <w:szCs w:val="32"/>
        </w:rPr>
        <w:t>全省沿着习近平总书记擘画的“谱写陕西新篇、争做西部示范”宏伟蓝图砥砺前行，发展态势越来越好。</w:t>
      </w:r>
      <w:r>
        <w:rPr>
          <w:rFonts w:hint="eastAsia" w:ascii="仿宋_GB2312" w:hAnsi="仿宋_GB2312" w:cs="仿宋_GB2312"/>
          <w:b w:val="0"/>
          <w:bCs/>
          <w:color w:val="auto"/>
          <w:spacing w:val="0"/>
          <w:kern w:val="21"/>
          <w:sz w:val="32"/>
          <w:szCs w:val="32"/>
          <w:lang w:val="en-US" w:eastAsia="zh-CN"/>
        </w:rPr>
        <w:t>陕西将实施</w:t>
      </w:r>
      <w:r>
        <w:rPr>
          <w:rFonts w:hint="eastAsia" w:ascii="仿宋_GB2312" w:hAnsi="仿宋_GB2312" w:eastAsia="仿宋_GB2312" w:cs="仿宋_GB2312"/>
          <w:b w:val="0"/>
          <w:bCs/>
          <w:color w:val="auto"/>
          <w:spacing w:val="0"/>
          <w:kern w:val="21"/>
          <w:sz w:val="32"/>
          <w:szCs w:val="32"/>
        </w:rPr>
        <w:t>“双极带动、多点支撑、三区协同”战略</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支持陕北能源革命转型升级，着力打造现代能源、文化旅游、现代服务业等万亿级产业集群，为延安融入西安都市圈、呼包鄂榆城市群，</w:t>
      </w:r>
      <w:r>
        <w:rPr>
          <w:rFonts w:hint="eastAsia" w:ascii="仿宋_GB2312" w:hAnsi="仿宋_GB2312" w:eastAsia="仿宋_GB2312" w:cs="仿宋_GB2312"/>
          <w:b w:val="0"/>
          <w:bCs/>
          <w:color w:val="auto"/>
          <w:spacing w:val="0"/>
          <w:kern w:val="21"/>
          <w:sz w:val="32"/>
          <w:szCs w:val="32"/>
        </w:rPr>
        <w:t>与其他地</w:t>
      </w:r>
      <w:r>
        <w:rPr>
          <w:rFonts w:hint="eastAsia" w:ascii="仿宋_GB2312" w:hAnsi="仿宋_GB2312" w:cs="仿宋_GB2312"/>
          <w:b w:val="0"/>
          <w:bCs/>
          <w:color w:val="auto"/>
          <w:spacing w:val="0"/>
          <w:kern w:val="21"/>
          <w:sz w:val="32"/>
          <w:szCs w:val="32"/>
          <w:lang w:val="en-US" w:eastAsia="zh-CN"/>
        </w:rPr>
        <w:t>区</w:t>
      </w:r>
      <w:r>
        <w:rPr>
          <w:rFonts w:hint="eastAsia" w:ascii="仿宋_GB2312" w:hAnsi="仿宋_GB2312" w:eastAsia="仿宋_GB2312" w:cs="仿宋_GB2312"/>
          <w:b w:val="0"/>
          <w:bCs/>
          <w:color w:val="auto"/>
          <w:spacing w:val="0"/>
          <w:kern w:val="21"/>
          <w:sz w:val="32"/>
          <w:szCs w:val="32"/>
        </w:rPr>
        <w:t>错位联动、协同升级</w:t>
      </w:r>
      <w:r>
        <w:rPr>
          <w:rFonts w:hint="eastAsia" w:ascii="仿宋_GB2312" w:hAnsi="仿宋_GB2312" w:cs="仿宋_GB2312"/>
          <w:b w:val="0"/>
          <w:bCs/>
          <w:color w:val="auto"/>
          <w:spacing w:val="0"/>
          <w:kern w:val="21"/>
          <w:sz w:val="32"/>
          <w:szCs w:val="32"/>
          <w:lang w:val="en-US" w:eastAsia="zh-CN"/>
        </w:rPr>
        <w:t>，延伸产业链条，构建现代化产业体系，实现突破发展提供战略机遇。</w:t>
      </w:r>
      <w:r>
        <w:rPr>
          <w:rFonts w:hint="eastAsia" w:ascii="黑体" w:hAnsi="黑体" w:eastAsia="黑体" w:cs="黑体"/>
          <w:b w:val="0"/>
          <w:bCs/>
          <w:color w:val="auto"/>
          <w:spacing w:val="0"/>
          <w:kern w:val="21"/>
          <w:sz w:val="32"/>
          <w:szCs w:val="32"/>
        </w:rPr>
        <w:t>从我市看，</w:t>
      </w:r>
      <w:r>
        <w:rPr>
          <w:rFonts w:hint="eastAsia" w:ascii="仿宋_GB2312" w:hAnsi="仿宋_GB2312" w:eastAsia="仿宋_GB2312" w:cs="仿宋_GB2312"/>
          <w:b w:val="0"/>
          <w:bCs/>
          <w:color w:val="auto"/>
          <w:spacing w:val="0"/>
          <w:kern w:val="21"/>
          <w:sz w:val="32"/>
          <w:szCs w:val="32"/>
          <w:lang w:val="en-US" w:eastAsia="zh-CN"/>
        </w:rPr>
        <w:t>经过五年的不懈奋斗，</w:t>
      </w:r>
      <w:r>
        <w:rPr>
          <w:rFonts w:hint="eastAsia" w:ascii="仿宋_GB2312" w:hAnsi="仿宋_GB2312" w:cs="仿宋_GB2312"/>
          <w:b w:val="0"/>
          <w:bCs/>
          <w:color w:val="auto"/>
          <w:spacing w:val="0"/>
          <w:kern w:val="21"/>
          <w:sz w:val="32"/>
          <w:szCs w:val="32"/>
          <w:lang w:val="en-US" w:eastAsia="zh-CN"/>
        </w:rPr>
        <w:t>延安</w:t>
      </w:r>
      <w:r>
        <w:rPr>
          <w:rFonts w:hint="eastAsia" w:ascii="仿宋_GB2312" w:hAnsi="仿宋_GB2312" w:cs="仿宋_GB2312"/>
          <w:bCs/>
          <w:color w:val="auto"/>
          <w:spacing w:val="0"/>
          <w:kern w:val="21"/>
          <w:sz w:val="32"/>
          <w:szCs w:val="32"/>
        </w:rPr>
        <w:t>站上了新的战略起点，</w:t>
      </w:r>
      <w:r>
        <w:rPr>
          <w:rFonts w:hint="eastAsia" w:ascii="仿宋_GB2312" w:hAnsi="仿宋_GB2312" w:eastAsia="仿宋_GB2312" w:cs="仿宋_GB2312"/>
          <w:b w:val="0"/>
          <w:bCs/>
          <w:color w:val="auto"/>
          <w:spacing w:val="0"/>
          <w:kern w:val="21"/>
          <w:sz w:val="32"/>
          <w:szCs w:val="32"/>
        </w:rPr>
        <w:t>发展基础更加坚实</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内生动力显著增强，</w:t>
      </w:r>
      <w:r>
        <w:rPr>
          <w:rFonts w:hint="eastAsia" w:ascii="仿宋_GB2312" w:hAnsi="仿宋_GB2312" w:cs="仿宋_GB2312"/>
          <w:bCs/>
          <w:color w:val="auto"/>
          <w:spacing w:val="0"/>
          <w:kern w:val="21"/>
          <w:sz w:val="32"/>
          <w:szCs w:val="32"/>
          <w:lang w:val="en-US" w:eastAsia="zh-CN"/>
        </w:rPr>
        <w:t>为“十五五”高质量发展奠定了坚实基础。同时</w:t>
      </w:r>
      <w:r>
        <w:rPr>
          <w:rFonts w:hint="eastAsia" w:ascii="仿宋_GB2312" w:hAnsi="仿宋_GB2312" w:cs="仿宋_GB2312"/>
          <w:bCs/>
          <w:color w:val="auto"/>
          <w:spacing w:val="0"/>
          <w:kern w:val="21"/>
          <w:sz w:val="32"/>
          <w:szCs w:val="32"/>
        </w:rPr>
        <w:t>，</w:t>
      </w:r>
      <w:r>
        <w:rPr>
          <w:rFonts w:hint="eastAsia" w:ascii="仿宋_GB2312" w:hAnsi="仿宋_GB2312" w:cs="仿宋_GB2312"/>
          <w:bCs/>
          <w:color w:val="auto"/>
          <w:spacing w:val="0"/>
          <w:kern w:val="21"/>
          <w:sz w:val="32"/>
          <w:szCs w:val="32"/>
          <w:lang w:val="en-US" w:eastAsia="zh-CN"/>
        </w:rPr>
        <w:t>还存在经济增长易受大宗商品价格周期性波动影响，新质动能培育还需加快，</w:t>
      </w:r>
      <w:r>
        <w:rPr>
          <w:rFonts w:hint="eastAsia" w:ascii="仿宋_GB2312" w:hAnsi="仿宋_GB2312" w:cs="仿宋_GB2312"/>
          <w:bCs/>
          <w:color w:val="auto"/>
          <w:spacing w:val="0"/>
          <w:kern w:val="21"/>
          <w:sz w:val="32"/>
          <w:szCs w:val="32"/>
        </w:rPr>
        <w:t>科技创新能力不强、对外开放不够、产业链条延伸不长等问题，民生改善、生态治理、风险防范化解等领域还有不少薄弱环节。全市上下要深刻领悟党中央对“十五五”时期发展形势的科学判断和省委工作要求，准确把握国际格局的战略性调整、科技产业的突破性变革、影响全局的拐点性变化、自身发展的阶段性特征，立足于为基本实现社会主义现代化夯实基础、全面发力，巩固拓展优势、破除瓶颈制约、补强短板弱项，以历史主动精神勇担时代使命、奋力追赶超越，持续为谱写陕西新篇、争做西部示范出彩添彩。</w:t>
      </w:r>
    </w:p>
    <w:p w14:paraId="59048AA6">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bookmarkStart w:id="9" w:name="_Toc12373"/>
      <w:bookmarkStart w:id="10" w:name="_Toc18486"/>
      <w:bookmarkStart w:id="11" w:name="_Toc27389"/>
    </w:p>
    <w:p w14:paraId="4053D793">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第三章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总体要求</w:t>
      </w:r>
      <w:bookmarkEnd w:id="9"/>
      <w:bookmarkEnd w:id="10"/>
      <w:bookmarkEnd w:id="11"/>
    </w:p>
    <w:p w14:paraId="6D67CABD">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rPr>
      </w:pPr>
    </w:p>
    <w:p w14:paraId="7ACF6137">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坚持马克思列宁主义、毛泽东思想、邓小平理论、“三个代表”重要思想、科学发展观，全面贯彻习近平新时代中国特色社会主义思想，深入贯彻党的二十大和二十届历次全会精神，贯通落实习近平总书记历次来陕考察重要讲话重要指示，紧紧围绕</w:t>
      </w:r>
      <w:r>
        <w:rPr>
          <w:rFonts w:hint="eastAsia" w:ascii="仿宋_GB2312" w:hAnsi="仿宋_GB2312"/>
          <w:color w:val="auto"/>
          <w:spacing w:val="0"/>
          <w:kern w:val="21"/>
          <w:sz w:val="32"/>
          <w:szCs w:val="32"/>
          <w:highlight w:val="none"/>
        </w:rPr>
        <w:t>“为谱写陕西新篇、争做西部示范增光添彩”时代使命，统筹推</w:t>
      </w:r>
      <w:r>
        <w:rPr>
          <w:rFonts w:hint="eastAsia" w:ascii="仿宋_GB2312" w:hAnsi="仿宋_GB2312"/>
          <w:color w:val="auto"/>
          <w:spacing w:val="0"/>
          <w:kern w:val="21"/>
          <w:sz w:val="32"/>
          <w:szCs w:val="32"/>
        </w:rPr>
        <w:t>进“五位一体”总体布局，协调推进“四个全面”战略布局，完整准确全面贯彻新发展理念，主动融入和服务构建新发展格局，坚持稳中求进工作总基调，坚持以经济建设为中心，以推动高质量发展为主题，以改革创新为根本动力，以满足人民日益增长的美好生活需要为根本目的，以全面从严治党为根本保障，锚定守护中国共产党人</w:t>
      </w:r>
      <w:r>
        <w:rPr>
          <w:rFonts w:hint="eastAsia" w:ascii="仿宋_GB2312" w:hAnsi="仿宋_GB2312"/>
          <w:color w:val="auto"/>
          <w:spacing w:val="0"/>
          <w:kern w:val="21"/>
          <w:sz w:val="32"/>
          <w:szCs w:val="32"/>
          <w:lang w:eastAsia="zh-CN"/>
        </w:rPr>
        <w:t>的</w:t>
      </w:r>
      <w:r>
        <w:rPr>
          <w:rFonts w:hint="eastAsia" w:ascii="仿宋_GB2312" w:hAnsi="仿宋_GB2312"/>
          <w:color w:val="auto"/>
          <w:spacing w:val="0"/>
          <w:kern w:val="21"/>
          <w:sz w:val="32"/>
          <w:szCs w:val="32"/>
        </w:rPr>
        <w:t>精神家园、建设黄河流域生态保护和高质量发展先行区、苹果高质量发展先行区、现代能源经济示范区、革命文物国家文物保护利用示范区“一园四区”发展定位，深入开展“三个年”活动，大力发展县域经济、民营经济、开放型经济、数字经济，推动经济实现质的有效提升和量的合理增长，推动人的全面发展、全体人民共同富裕迈出坚实步伐，确保延安</w:t>
      </w:r>
      <w:r>
        <w:rPr>
          <w:rFonts w:hint="eastAsia" w:ascii="仿宋_GB2312" w:hAnsi="仿宋_GB2312"/>
          <w:color w:val="auto"/>
          <w:spacing w:val="0"/>
          <w:kern w:val="21"/>
          <w:sz w:val="32"/>
          <w:szCs w:val="32"/>
          <w:highlight w:val="none"/>
          <w:lang w:val="en-US" w:eastAsia="zh-CN"/>
        </w:rPr>
        <w:t>高质量发展现代化建设</w:t>
      </w:r>
      <w:r>
        <w:rPr>
          <w:rFonts w:hint="eastAsia" w:ascii="仿宋_GB2312" w:hAnsi="仿宋_GB2312"/>
          <w:color w:val="auto"/>
          <w:spacing w:val="0"/>
          <w:kern w:val="21"/>
          <w:sz w:val="32"/>
          <w:szCs w:val="32"/>
        </w:rPr>
        <w:t>“一六四”工作布局取得决定性进展，为基本实现社会主义现代化奠定更加坚实的基础。</w:t>
      </w:r>
    </w:p>
    <w:p w14:paraId="54ED7289">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贯彻总体要求过程中，要切实做到“六个必须”。</w:t>
      </w:r>
    </w:p>
    <w:p w14:paraId="3EF70896">
      <w:pPr>
        <w:keepNext w:val="0"/>
        <w:keepLines w:val="0"/>
        <w:pageBreakBefore w:val="0"/>
        <w:widowControl w:val="0"/>
        <w:kinsoku/>
        <w:wordWrap/>
        <w:overflowPunct w:val="0"/>
        <w:topLinePunct w:val="0"/>
        <w:autoSpaceDE/>
        <w:autoSpaceDN/>
        <w:bidi w:val="0"/>
        <w:spacing w:line="579" w:lineRule="exact"/>
        <w:textAlignment w:val="auto"/>
        <w:rPr>
          <w:rFonts w:hint="eastAsia" w:ascii="楷体_GB2312" w:hAnsi="楷体_GB2312" w:eastAsia="楷体_GB2312" w:cs="楷体_GB2312"/>
          <w:b w:val="0"/>
          <w:bCs w:val="0"/>
          <w:color w:val="auto"/>
          <w:spacing w:val="0"/>
          <w:kern w:val="21"/>
          <w:sz w:val="32"/>
          <w:szCs w:val="32"/>
          <w:u w:val="none"/>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u w:val="none"/>
        </w:rPr>
        <w:t>必须贯彻原则要求，把牢正确发展方向。</w:t>
      </w:r>
      <w:r>
        <w:rPr>
          <w:rFonts w:hint="eastAsia" w:ascii="仿宋_GB2312" w:hAnsi="仿宋_GB2312" w:cs="仿宋_GB2312"/>
          <w:color w:val="auto"/>
          <w:spacing w:val="0"/>
          <w:kern w:val="21"/>
          <w:sz w:val="32"/>
          <w:szCs w:val="32"/>
          <w:u w:val="none"/>
        </w:rPr>
        <w:t>深刻领会坚持党的全面领导、坚持人民至上、坚持高质量发展、坚持全面深化改革、坚持有效市场和有为政府相结合、坚持统筹发展和安全“六个坚持”重大原则和省委要求，准确把握党对经济社会发展的规律性认识，确保各方面工作始终沿着习近平总书记指引的方向前进。</w:t>
      </w:r>
    </w:p>
    <w:p w14:paraId="1BB9FCB7">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必须把准历史方位，主动融入全局大局。</w:t>
      </w:r>
      <w:r>
        <w:rPr>
          <w:rFonts w:hint="eastAsia" w:ascii="仿宋_GB2312" w:hAnsi="仿宋_GB2312" w:eastAsia="仿宋_GB2312" w:cs="仿宋_GB2312"/>
          <w:b w:val="0"/>
          <w:bCs/>
          <w:color w:val="auto"/>
          <w:spacing w:val="0"/>
          <w:kern w:val="21"/>
          <w:sz w:val="32"/>
          <w:szCs w:val="32"/>
        </w:rPr>
        <w:t>坚持“跳出延安看延安”和“立足延安看延安”相结合，准确把握“十五五”时期延安发展的阶段性特征、优势短板和机遇挑战，在全国发展全局和全省发展大局中进一步明晰目标任务，确保延安</w:t>
      </w:r>
      <w:r>
        <w:rPr>
          <w:rFonts w:hint="eastAsia" w:ascii="仿宋_GB2312" w:hAnsi="仿宋_GB2312"/>
          <w:color w:val="auto"/>
          <w:spacing w:val="0"/>
          <w:kern w:val="21"/>
          <w:sz w:val="32"/>
          <w:szCs w:val="32"/>
          <w:highlight w:val="none"/>
          <w:lang w:val="en-US" w:eastAsia="zh-CN"/>
        </w:rPr>
        <w:t>高质量发展现代化建设</w:t>
      </w:r>
      <w:r>
        <w:rPr>
          <w:rFonts w:hint="eastAsia" w:ascii="仿宋_GB2312" w:hAnsi="仿宋_GB2312" w:eastAsia="仿宋_GB2312" w:cs="仿宋_GB2312"/>
          <w:b w:val="0"/>
          <w:bCs/>
          <w:color w:val="auto"/>
          <w:spacing w:val="0"/>
          <w:kern w:val="21"/>
          <w:sz w:val="32"/>
          <w:szCs w:val="32"/>
        </w:rPr>
        <w:t>“一六四”工作布局在“十五五”期间持续蓄势、加快成势。</w:t>
      </w:r>
    </w:p>
    <w:p w14:paraId="68A5722C">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必须勇担时代使命，保持追赶超越态势。</w:t>
      </w:r>
      <w:r>
        <w:rPr>
          <w:rFonts w:hint="eastAsia" w:ascii="仿宋_GB2312" w:hAnsi="仿宋_GB2312" w:eastAsia="仿宋_GB2312" w:cstheme="minorBidi"/>
          <w:b w:val="0"/>
          <w:bCs w:val="0"/>
          <w:color w:val="auto"/>
          <w:spacing w:val="0"/>
          <w:kern w:val="21"/>
          <w:sz w:val="32"/>
          <w:szCs w:val="32"/>
          <w:lang w:val="en-US" w:eastAsia="zh-CN"/>
        </w:rPr>
        <w:t>围绕</w:t>
      </w:r>
      <w:r>
        <w:rPr>
          <w:rFonts w:hint="eastAsia" w:ascii="仿宋_GB2312" w:hAnsi="仿宋_GB2312"/>
          <w:color w:val="auto"/>
          <w:spacing w:val="0"/>
          <w:kern w:val="21"/>
          <w:sz w:val="32"/>
          <w:szCs w:val="32"/>
        </w:rPr>
        <w:t>“为谱写陕西新篇、争做西部示范增光添彩”时代使命，积极务实确定发展目标的定性和定量要求，充分激发各方面勇立潮头、追赶超越</w:t>
      </w:r>
      <w:r>
        <w:rPr>
          <w:rFonts w:hint="eastAsia" w:ascii="仿宋_GB2312" w:hAnsi="仿宋_GB2312"/>
          <w:color w:val="auto"/>
          <w:spacing w:val="-6"/>
          <w:kern w:val="21"/>
          <w:sz w:val="32"/>
          <w:szCs w:val="32"/>
        </w:rPr>
        <w:t>的精气神，努力实现较高的经济增长质量和较高的经济增长速</w:t>
      </w:r>
      <w:r>
        <w:rPr>
          <w:rFonts w:hint="eastAsia" w:ascii="仿宋_GB2312" w:hAnsi="仿宋_GB2312"/>
          <w:color w:val="auto"/>
          <w:spacing w:val="0"/>
          <w:kern w:val="21"/>
          <w:sz w:val="32"/>
          <w:szCs w:val="32"/>
        </w:rPr>
        <w:t>度。</w:t>
      </w:r>
    </w:p>
    <w:p w14:paraId="4353D563">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必须锚定发展定位，加力推进“一高四强”。</w:t>
      </w:r>
      <w:r>
        <w:rPr>
          <w:rFonts w:hint="eastAsia" w:ascii="仿宋_GB2312" w:hAnsi="仿宋_GB2312"/>
          <w:color w:val="auto"/>
          <w:spacing w:val="0"/>
          <w:kern w:val="21"/>
          <w:sz w:val="32"/>
          <w:szCs w:val="32"/>
        </w:rPr>
        <w:t>紧扣“一园四区”发展定位，加力打造红色文化传承弘扬高地，加力推动矿产开采大市向工业强市、苹果种植大市向苹果产业强市、化石能源大市向生态强市、文化资源大市向文化强市“四大跨越”。</w:t>
      </w:r>
    </w:p>
    <w:p w14:paraId="27C51EC9">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必须顺应群众期待，着力增进民生福祉。</w:t>
      </w:r>
      <w:r>
        <w:rPr>
          <w:rFonts w:hint="eastAsia" w:ascii="仿宋_GB2312" w:hAnsi="仿宋_GB2312"/>
          <w:color w:val="auto"/>
          <w:spacing w:val="0"/>
          <w:kern w:val="21"/>
          <w:sz w:val="32"/>
          <w:szCs w:val="32"/>
        </w:rPr>
        <w:t>坚持把屁股端端地坐在老百姓这一面，在发展中保障和改善民生，从群众最关心最直接最现实的利益问题切入，逐步缩小区域、城乡差距，努力实现居民收入增幅和恩格尔系数降幅高于全省平均水平、城乡居民收入比和基尼系数低于全省平均水平“两高两低”。</w:t>
      </w:r>
    </w:p>
    <w:p w14:paraId="39DE49E0">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必须筑牢安全防线，维护社会和谐稳定。</w:t>
      </w:r>
      <w:r>
        <w:rPr>
          <w:rFonts w:hint="eastAsia" w:ascii="仿宋_GB2312" w:hAnsi="仿宋_GB2312" w:cs="仿宋_GB2312"/>
          <w:color w:val="auto"/>
          <w:spacing w:val="0"/>
          <w:kern w:val="21"/>
          <w:sz w:val="32"/>
          <w:szCs w:val="32"/>
        </w:rPr>
        <w:t>完善维护安全法治体系、政策体系、保障支撑体系和风险防控体系，坚决打好防范化解重点领域风险隐患的主动仗，更好统筹发展和安全，以高水平安全保障高质量发展。</w:t>
      </w:r>
    </w:p>
    <w:p w14:paraId="337FF492">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bookmarkStart w:id="12" w:name="_Toc197"/>
      <w:bookmarkStart w:id="13" w:name="_Toc26892"/>
      <w:bookmarkStart w:id="14" w:name="_Toc24212"/>
    </w:p>
    <w:p w14:paraId="10235E81">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第四章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战略定位</w:t>
      </w:r>
      <w:bookmarkEnd w:id="12"/>
      <w:bookmarkEnd w:id="13"/>
      <w:bookmarkEnd w:id="14"/>
    </w:p>
    <w:p w14:paraId="17A41930">
      <w:pPr>
        <w:keepNext w:val="0"/>
        <w:keepLines w:val="0"/>
        <w:pageBreakBefore w:val="0"/>
        <w:widowControl w:val="0"/>
        <w:kinsoku/>
        <w:wordWrap/>
        <w:overflowPunct w:val="0"/>
        <w:topLinePunct w:val="0"/>
        <w:autoSpaceDE/>
        <w:autoSpaceDN/>
        <w:bidi w:val="0"/>
        <w:spacing w:line="579" w:lineRule="exact"/>
        <w:ind w:firstLine="640"/>
        <w:textAlignment w:val="auto"/>
        <w:rPr>
          <w:rFonts w:ascii="仿宋_GB2312" w:hAnsi="仿宋_GB2312" w:cs="仿宋_GB2312"/>
          <w:color w:val="auto"/>
          <w:spacing w:val="0"/>
          <w:kern w:val="21"/>
          <w:sz w:val="32"/>
          <w:szCs w:val="32"/>
        </w:rPr>
      </w:pPr>
    </w:p>
    <w:p w14:paraId="6F428AE2">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rPr>
      </w:pPr>
      <w:r>
        <w:rPr>
          <w:rFonts w:ascii="仿宋_GB2312" w:hAnsi="仿宋_GB2312" w:cs="仿宋_GB2312"/>
          <w:color w:val="auto"/>
          <w:spacing w:val="0"/>
          <w:kern w:val="21"/>
          <w:sz w:val="32"/>
          <w:szCs w:val="32"/>
        </w:rPr>
        <w:t>立足区位优势，依托资源禀赋，紧抓战略机遇，</w:t>
      </w:r>
      <w:r>
        <w:rPr>
          <w:rFonts w:hint="eastAsia" w:ascii="仿宋_GB2312" w:hAnsi="仿宋_GB2312" w:cs="仿宋_GB2312"/>
          <w:color w:val="auto"/>
          <w:spacing w:val="0"/>
          <w:kern w:val="21"/>
          <w:sz w:val="32"/>
          <w:szCs w:val="32"/>
        </w:rPr>
        <w:t>锚定守护中国共产党人</w:t>
      </w:r>
      <w:r>
        <w:rPr>
          <w:rFonts w:hint="eastAsia" w:ascii="仿宋_GB2312" w:hAnsi="仿宋_GB2312" w:cs="仿宋_GB2312"/>
          <w:color w:val="auto"/>
          <w:spacing w:val="0"/>
          <w:kern w:val="21"/>
          <w:sz w:val="32"/>
          <w:szCs w:val="32"/>
          <w:lang w:eastAsia="zh-CN"/>
        </w:rPr>
        <w:t>的</w:t>
      </w:r>
      <w:r>
        <w:rPr>
          <w:rFonts w:hint="eastAsia" w:ascii="仿宋_GB2312" w:hAnsi="仿宋_GB2312" w:cs="仿宋_GB2312"/>
          <w:color w:val="auto"/>
          <w:spacing w:val="0"/>
          <w:kern w:val="21"/>
          <w:sz w:val="32"/>
          <w:szCs w:val="32"/>
        </w:rPr>
        <w:t>精神家园、建设黄河流域生态保护和高质量发展先行区、苹果高质量发展先行区、现代能源经济示范区、革命文物国家文物保护利用示范区“一园四区”发展</w:t>
      </w:r>
      <w:r>
        <w:rPr>
          <w:rFonts w:ascii="仿宋_GB2312" w:hAnsi="仿宋_GB2312" w:cs="仿宋_GB2312"/>
          <w:color w:val="auto"/>
          <w:spacing w:val="0"/>
          <w:kern w:val="21"/>
          <w:sz w:val="32"/>
          <w:szCs w:val="32"/>
        </w:rPr>
        <w:t>定位，</w:t>
      </w:r>
      <w:r>
        <w:rPr>
          <w:rFonts w:hint="eastAsia" w:ascii="仿宋_GB2312" w:hAnsi="仿宋_GB2312" w:cs="仿宋_GB2312"/>
          <w:color w:val="auto"/>
          <w:spacing w:val="0"/>
          <w:kern w:val="21"/>
          <w:sz w:val="32"/>
          <w:szCs w:val="32"/>
          <w:lang w:val="en-US" w:eastAsia="zh-CN"/>
        </w:rPr>
        <w:t>加力推进“一高四强”落地落实</w:t>
      </w:r>
      <w:r>
        <w:rPr>
          <w:rFonts w:ascii="仿宋_GB2312" w:hAnsi="仿宋_GB2312" w:cs="仿宋_GB2312"/>
          <w:color w:val="auto"/>
          <w:spacing w:val="0"/>
          <w:kern w:val="21"/>
          <w:sz w:val="32"/>
          <w:szCs w:val="32"/>
        </w:rPr>
        <w:t>。</w:t>
      </w:r>
    </w:p>
    <w:p w14:paraId="5B5974BF">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rPr>
        <w:t>中国共产党人</w:t>
      </w:r>
      <w:r>
        <w:rPr>
          <w:rFonts w:hint="eastAsia" w:ascii="楷体_GB2312" w:hAnsi="楷体_GB2312" w:eastAsia="楷体_GB2312" w:cs="楷体_GB2312"/>
          <w:b w:val="0"/>
          <w:bCs w:val="0"/>
          <w:color w:val="auto"/>
          <w:spacing w:val="0"/>
          <w:kern w:val="21"/>
          <w:sz w:val="32"/>
          <w:szCs w:val="32"/>
          <w:highlight w:val="none"/>
          <w:lang w:eastAsia="zh-CN"/>
        </w:rPr>
        <w:t>的</w:t>
      </w:r>
      <w:r>
        <w:rPr>
          <w:rFonts w:hint="eastAsia" w:ascii="楷体_GB2312" w:hAnsi="楷体_GB2312" w:eastAsia="楷体_GB2312" w:cs="楷体_GB2312"/>
          <w:b w:val="0"/>
          <w:bCs w:val="0"/>
          <w:color w:val="auto"/>
          <w:spacing w:val="0"/>
          <w:kern w:val="21"/>
          <w:sz w:val="32"/>
          <w:szCs w:val="32"/>
          <w:highlight w:val="none"/>
        </w:rPr>
        <w:t>精神家园</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olor w:val="auto"/>
          <w:spacing w:val="0"/>
          <w:kern w:val="21"/>
          <w:sz w:val="32"/>
          <w:szCs w:val="32"/>
        </w:rPr>
        <w:t>守护好“延安宝塔”中国革命精神标识，解读好革命旧址“一本永远读不完的书”，弘扬好延安精神、南泥湾精神、张思德精神，发挥好延安全国爱国主义、革命传统、延安精神三大教育基地作用，传承红色基因、赓续红色血脉，巩固提升“中国革命的圣地、新中国的摇篮”的高承载度、高等级度、高标识度，把延安</w:t>
      </w:r>
      <w:r>
        <w:rPr>
          <w:rFonts w:hint="eastAsia" w:ascii="仿宋_GB2312" w:hAnsi="仿宋_GB2312"/>
          <w:color w:val="auto"/>
          <w:spacing w:val="0"/>
          <w:kern w:val="21"/>
          <w:sz w:val="32"/>
          <w:szCs w:val="32"/>
          <w:lang w:val="en-US" w:eastAsia="zh-CN"/>
        </w:rPr>
        <w:t>建设</w:t>
      </w:r>
      <w:r>
        <w:rPr>
          <w:rFonts w:hint="eastAsia" w:ascii="仿宋_GB2312" w:hAnsi="仿宋_GB2312"/>
          <w:color w:val="auto"/>
          <w:spacing w:val="0"/>
          <w:kern w:val="21"/>
          <w:sz w:val="32"/>
          <w:szCs w:val="32"/>
        </w:rPr>
        <w:t>成</w:t>
      </w:r>
      <w:r>
        <w:rPr>
          <w:rFonts w:hint="eastAsia" w:ascii="仿宋_GB2312" w:hAnsi="仿宋_GB2312"/>
          <w:color w:val="auto"/>
          <w:spacing w:val="0"/>
          <w:kern w:val="21"/>
          <w:sz w:val="32"/>
          <w:szCs w:val="32"/>
          <w:lang w:val="en-US" w:eastAsia="zh-CN"/>
        </w:rPr>
        <w:t>中国</w:t>
      </w:r>
      <w:r>
        <w:rPr>
          <w:rFonts w:hint="eastAsia" w:ascii="仿宋_GB2312" w:hAnsi="仿宋_GB2312"/>
          <w:color w:val="auto"/>
          <w:spacing w:val="0"/>
          <w:kern w:val="21"/>
          <w:sz w:val="32"/>
          <w:szCs w:val="32"/>
        </w:rPr>
        <w:t>共产党人锤炼党性、坚定理想信念的精神家园，加力打造红色文化传承弘扬高地。</w:t>
      </w:r>
    </w:p>
    <w:p w14:paraId="1F54D693">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黄河流域生态保护和高质量发展先行区。</w:t>
      </w:r>
      <w:r>
        <w:rPr>
          <w:rFonts w:hint="eastAsia" w:ascii="仿宋_GB2312" w:hAnsi="仿宋_GB2312"/>
          <w:color w:val="auto"/>
          <w:spacing w:val="0"/>
          <w:kern w:val="21"/>
          <w:sz w:val="32"/>
          <w:szCs w:val="32"/>
        </w:rPr>
        <w:t>加强黄河流域一体化保护和系统治理，巩固提升退耕还林</w:t>
      </w:r>
      <w:r>
        <w:rPr>
          <w:rFonts w:hint="eastAsia" w:ascii="仿宋_GB2312" w:hAnsi="仿宋_GB2312"/>
          <w:color w:val="auto"/>
          <w:spacing w:val="0"/>
          <w:kern w:val="21"/>
          <w:sz w:val="32"/>
          <w:szCs w:val="32"/>
          <w:lang w:val="en-US" w:eastAsia="zh-CN"/>
        </w:rPr>
        <w:t>和“三北”防护林建设</w:t>
      </w:r>
      <w:r>
        <w:rPr>
          <w:rFonts w:hint="eastAsia" w:ascii="仿宋_GB2312" w:hAnsi="仿宋_GB2312"/>
          <w:color w:val="auto"/>
          <w:spacing w:val="0"/>
          <w:kern w:val="21"/>
          <w:sz w:val="32"/>
          <w:szCs w:val="32"/>
        </w:rPr>
        <w:t>成果，持续深入推进污染防治攻坚和生态系统优化，积极稳妥推进和实现碳达峰，持续调整优化产业结构、能源结构、交通运输结构和用地结构，加快推动绿色低碳转型发展，促进形成绿色生产生活方式，为开创黄河流域生态保护和高质量发展新局面提供先行示范，推动化石能源大市向生态强市跨越。</w:t>
      </w:r>
    </w:p>
    <w:p w14:paraId="1EFABB52">
      <w:pPr>
        <w:keepNext w:val="0"/>
        <w:keepLines w:val="0"/>
        <w:pageBreakBefore w:val="0"/>
        <w:widowControl w:val="0"/>
        <w:kinsoku/>
        <w:wordWrap/>
        <w:overflowPunct w:val="0"/>
        <w:topLinePunct w:val="0"/>
        <w:autoSpaceDE/>
        <w:autoSpaceDN/>
        <w:bidi w:val="0"/>
        <w:spacing w:line="579" w:lineRule="exact"/>
        <w:textAlignment w:val="auto"/>
        <w:rPr>
          <w:rFonts w:hint="eastAsia" w:ascii="楷体_GB2312" w:hAnsi="楷体_GB2312" w:cs="楷体_GB2312"/>
          <w:b/>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苹果高质量发展先行区。</w:t>
      </w:r>
      <w:r>
        <w:rPr>
          <w:rFonts w:hint="eastAsia" w:ascii="仿宋_GB2312" w:hAnsi="仿宋_GB2312"/>
          <w:color w:val="auto"/>
          <w:spacing w:val="0"/>
          <w:kern w:val="21"/>
          <w:sz w:val="32"/>
          <w:szCs w:val="32"/>
        </w:rPr>
        <w:t>加快补齐苗木繁育、精深加工等短板，推动苹果产业全产业链提质增效，生产标准化、采后智能化、营销品牌化、科技现代化等综合水平走在全国前列，建成全国苹果生产研发核心区、加工贸易集聚区、黄土高原苹果旱作节水集成示范区、金融支持苹果产业高质量发展示范区</w:t>
      </w:r>
      <w:r>
        <w:rPr>
          <w:rFonts w:hint="eastAsia" w:ascii="仿宋_GB2312" w:hAnsi="仿宋_GB2312"/>
          <w:color w:val="auto"/>
          <w:spacing w:val="0"/>
          <w:kern w:val="21"/>
          <w:sz w:val="32"/>
          <w:szCs w:val="32"/>
          <w:lang w:eastAsia="zh-CN"/>
        </w:rPr>
        <w:t>，</w:t>
      </w:r>
      <w:r>
        <w:rPr>
          <w:rFonts w:hint="eastAsia" w:ascii="仿宋_GB2312" w:hAnsi="仿宋_GB2312" w:cs="仿宋_GB2312"/>
          <w:color w:val="auto"/>
          <w:spacing w:val="0"/>
          <w:kern w:val="21"/>
          <w:sz w:val="32"/>
          <w:szCs w:val="32"/>
        </w:rPr>
        <w:t>打造果业高质量发展的“延安模式”，推动</w:t>
      </w:r>
      <w:r>
        <w:rPr>
          <w:rFonts w:hint="eastAsia" w:ascii="仿宋_GB2312" w:hAnsi="仿宋_GB2312"/>
          <w:color w:val="auto"/>
          <w:spacing w:val="0"/>
          <w:kern w:val="21"/>
          <w:sz w:val="32"/>
          <w:szCs w:val="32"/>
        </w:rPr>
        <w:t>苹果种植大市向苹果产业强市跨越。</w:t>
      </w:r>
    </w:p>
    <w:p w14:paraId="27F26814">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现代能源经济示范区。</w:t>
      </w:r>
      <w:r>
        <w:rPr>
          <w:rFonts w:hint="eastAsia" w:ascii="仿宋_GB2312" w:hAnsi="仿宋_GB2312" w:cs="仿宋_GB2312"/>
          <w:color w:val="auto"/>
          <w:spacing w:val="0"/>
          <w:kern w:val="21"/>
          <w:sz w:val="32"/>
          <w:szCs w:val="32"/>
        </w:rPr>
        <w:t>充分发挥多种能源资源组合优势，推动资源开采效能提升、资源转化链条延伸。推进制造业扩量提质</w:t>
      </w:r>
      <w:r>
        <w:rPr>
          <w:rFonts w:hint="eastAsia" w:ascii="仿宋_GB2312" w:hAnsi="仿宋_GB2312" w:cs="仿宋_GB2312"/>
          <w:color w:val="auto"/>
          <w:spacing w:val="0"/>
          <w:kern w:val="21"/>
          <w:sz w:val="32"/>
          <w:szCs w:val="32"/>
          <w:highlight w:val="none"/>
        </w:rPr>
        <w:t>增效，成为工业经济新的增长引擎，推动工业从“规模扩张”向“质量效益”转变、从“资源依赖”向“创新驱动”转变、从“单</w:t>
      </w:r>
      <w:r>
        <w:rPr>
          <w:rFonts w:hint="eastAsia" w:ascii="仿宋_GB2312" w:hAnsi="仿宋_GB2312" w:cs="仿宋_GB2312"/>
          <w:color w:val="auto"/>
          <w:spacing w:val="0"/>
          <w:kern w:val="21"/>
          <w:sz w:val="32"/>
          <w:szCs w:val="32"/>
        </w:rPr>
        <w:t>一产业”向“多元集群”转变，实现高端化、多元化、低碳化发展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为我国做好现代能源经济这篇大文章提供战略性创新示范，推动矿产开采大市向工业强市跨越。</w:t>
      </w:r>
    </w:p>
    <w:p w14:paraId="776FFD14">
      <w:pPr>
        <w:keepNext w:val="0"/>
        <w:keepLines w:val="0"/>
        <w:pageBreakBefore w:val="0"/>
        <w:widowControl w:val="0"/>
        <w:kinsoku/>
        <w:wordWrap/>
        <w:overflowPunct w:val="0"/>
        <w:topLinePunct w:val="0"/>
        <w:autoSpaceDE/>
        <w:autoSpaceDN/>
        <w:bidi w:val="0"/>
        <w:spacing w:line="579" w:lineRule="exact"/>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革命文物国家文物保护利用示范区。</w:t>
      </w:r>
      <w:r>
        <w:rPr>
          <w:rFonts w:hint="eastAsia" w:ascii="仿宋_GB2312" w:hAnsi="仿宋_GB2312"/>
          <w:color w:val="auto"/>
          <w:spacing w:val="0"/>
          <w:kern w:val="21"/>
          <w:sz w:val="32"/>
          <w:szCs w:val="32"/>
        </w:rPr>
        <w:t>健全全域资源守护、价值阐释传播、陈列展示升级、文物活化利用等体系，促进革命文物历史真实性、风貌完整性和文化延续性得到有效呈现，引领文化事业、文化产业繁荣发展。</w:t>
      </w:r>
      <w:r>
        <w:rPr>
          <w:rFonts w:hint="eastAsia" w:ascii="仿宋_GB2312" w:hAnsi="仿宋_GB2312" w:cs="仿宋_GB2312"/>
          <w:color w:val="auto"/>
          <w:spacing w:val="0"/>
          <w:kern w:val="21"/>
          <w:sz w:val="32"/>
          <w:szCs w:val="32"/>
        </w:rPr>
        <w:t>发挥</w:t>
      </w:r>
      <w:r>
        <w:rPr>
          <w:rFonts w:hint="eastAsia" w:ascii="仿宋_GB2312" w:hAnsi="仿宋_GB2312"/>
          <w:color w:val="auto"/>
          <w:spacing w:val="0"/>
          <w:kern w:val="21"/>
          <w:sz w:val="32"/>
          <w:szCs w:val="32"/>
        </w:rPr>
        <w:t>中华民族圣地、中国革命圣地文化资源富集、文化根基深厚的优势，坚决守护好中华文明、中国革命精神标识，彰显中华优秀文化的独特魅力、革命文化的丰富内涵、社会主义先进文化的时代价值，</w:t>
      </w:r>
      <w:r>
        <w:rPr>
          <w:rFonts w:hint="eastAsia" w:ascii="仿宋_GB2312" w:hAnsi="仿宋_GB2312" w:cs="仿宋_GB2312"/>
          <w:color w:val="auto"/>
          <w:spacing w:val="0"/>
          <w:kern w:val="21"/>
          <w:sz w:val="32"/>
          <w:szCs w:val="32"/>
        </w:rPr>
        <w:t>推动文化资源大市向文化强市跨越。</w:t>
      </w:r>
    </w:p>
    <w:p w14:paraId="5D2BC0F5">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bookmarkStart w:id="15" w:name="_Toc25150"/>
      <w:bookmarkStart w:id="16" w:name="_Toc16994"/>
      <w:bookmarkStart w:id="17" w:name="_Toc15997"/>
    </w:p>
    <w:p w14:paraId="15197DDB">
      <w:pPr>
        <w:pStyle w:val="5"/>
        <w:keepNext w:val="0"/>
        <w:keepLines w:val="0"/>
        <w:pageBreakBefore w:val="0"/>
        <w:widowControl w:val="0"/>
        <w:kinsoku/>
        <w:wordWrap/>
        <w:overflowPunct w:val="0"/>
        <w:topLinePunct w:val="0"/>
        <w:autoSpaceDE/>
        <w:autoSpaceDN/>
        <w:bidi w:val="0"/>
        <w:spacing w:before="0" w:beforeLines="0" w:after="0" w:afterLines="0" w:line="579" w:lineRule="exact"/>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第五章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发展目标</w:t>
      </w:r>
      <w:bookmarkEnd w:id="15"/>
      <w:bookmarkEnd w:id="16"/>
      <w:bookmarkEnd w:id="17"/>
    </w:p>
    <w:p w14:paraId="456AE7EB">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rPr>
      </w:pPr>
    </w:p>
    <w:p w14:paraId="196233F3">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锚定“为谱写陕西新篇、争做西部示范增光添彩”的时代使命，结合发展基础和</w:t>
      </w:r>
      <w:r>
        <w:rPr>
          <w:rFonts w:hint="eastAsia" w:ascii="仿宋_GB2312" w:hAnsi="仿宋_GB2312" w:cs="仿宋_GB2312"/>
          <w:color w:val="auto"/>
          <w:spacing w:val="0"/>
          <w:kern w:val="21"/>
          <w:sz w:val="32"/>
          <w:szCs w:val="32"/>
          <w:lang w:val="en-US" w:eastAsia="zh-CN"/>
        </w:rPr>
        <w:t>战略</w:t>
      </w:r>
      <w:r>
        <w:rPr>
          <w:rFonts w:hint="eastAsia" w:ascii="仿宋_GB2312" w:hAnsi="仿宋_GB2312" w:cs="仿宋_GB2312"/>
          <w:color w:val="auto"/>
          <w:spacing w:val="0"/>
          <w:kern w:val="21"/>
          <w:sz w:val="32"/>
          <w:szCs w:val="32"/>
        </w:rPr>
        <w:t>定位，</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时期延安</w:t>
      </w:r>
      <w:r>
        <w:rPr>
          <w:rFonts w:hint="eastAsia" w:ascii="仿宋_GB2312" w:hAnsi="仿宋_GB2312" w:cs="仿宋_GB2312"/>
          <w:color w:val="auto"/>
          <w:spacing w:val="0"/>
          <w:kern w:val="21"/>
          <w:sz w:val="32"/>
          <w:szCs w:val="32"/>
        </w:rPr>
        <w:t>经济社会发展</w:t>
      </w:r>
      <w:r>
        <w:rPr>
          <w:rFonts w:hint="eastAsia" w:ascii="仿宋_GB2312" w:hAnsi="仿宋_GB2312" w:cs="仿宋_GB2312"/>
          <w:color w:val="auto"/>
          <w:spacing w:val="0"/>
          <w:kern w:val="21"/>
          <w:sz w:val="32"/>
          <w:szCs w:val="32"/>
          <w:lang w:eastAsia="zh-CN"/>
        </w:rPr>
        <w:t>的</w:t>
      </w:r>
      <w:r>
        <w:rPr>
          <w:rFonts w:hint="eastAsia" w:ascii="仿宋_GB2312" w:hAnsi="仿宋_GB2312" w:cs="仿宋_GB2312"/>
          <w:color w:val="auto"/>
          <w:spacing w:val="0"/>
          <w:kern w:val="21"/>
          <w:sz w:val="32"/>
          <w:szCs w:val="32"/>
        </w:rPr>
        <w:t>主要目标</w:t>
      </w:r>
      <w:r>
        <w:rPr>
          <w:rFonts w:hint="eastAsia" w:ascii="仿宋_GB2312" w:hAnsi="仿宋_GB2312" w:cs="仿宋_GB2312"/>
          <w:color w:val="auto"/>
          <w:spacing w:val="0"/>
          <w:kern w:val="21"/>
          <w:sz w:val="32"/>
          <w:szCs w:val="32"/>
          <w:lang w:val="en-US" w:eastAsia="zh-CN"/>
        </w:rPr>
        <w:t>是</w:t>
      </w:r>
      <w:r>
        <w:rPr>
          <w:rFonts w:hint="eastAsia" w:ascii="仿宋_GB2312" w:hAnsi="仿宋_GB2312" w:cs="仿宋_GB2312"/>
          <w:color w:val="auto"/>
          <w:spacing w:val="0"/>
          <w:kern w:val="21"/>
          <w:sz w:val="32"/>
          <w:szCs w:val="32"/>
        </w:rPr>
        <w:t>：</w:t>
      </w:r>
    </w:p>
    <w:p w14:paraId="5E0168BF">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highlight w:val="none"/>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在推动高质量经济发展上追赶超越、增光添彩。</w:t>
      </w:r>
      <w:r>
        <w:rPr>
          <w:rFonts w:hint="eastAsia" w:ascii="仿宋_GB2312" w:hAnsi="仿宋_GB2312" w:cs="仿宋_GB2312"/>
          <w:color w:val="auto"/>
          <w:spacing w:val="0"/>
          <w:kern w:val="21"/>
          <w:sz w:val="32"/>
          <w:szCs w:val="32"/>
        </w:rPr>
        <w:t>经济发展稳中</w:t>
      </w:r>
      <w:r>
        <w:rPr>
          <w:rFonts w:hint="eastAsia" w:ascii="仿宋_GB2312" w:hAnsi="仿宋_GB2312" w:cs="仿宋_GB2312"/>
          <w:color w:val="auto"/>
          <w:spacing w:val="0"/>
          <w:kern w:val="21"/>
          <w:sz w:val="32"/>
          <w:szCs w:val="32"/>
          <w:lang w:val="en-US" w:eastAsia="zh-CN"/>
        </w:rPr>
        <w:t>有</w:t>
      </w:r>
      <w:r>
        <w:rPr>
          <w:rFonts w:hint="eastAsia" w:ascii="仿宋_GB2312" w:hAnsi="仿宋_GB2312" w:cs="仿宋_GB2312"/>
          <w:color w:val="auto"/>
          <w:spacing w:val="0"/>
          <w:kern w:val="21"/>
          <w:sz w:val="32"/>
          <w:szCs w:val="32"/>
        </w:rPr>
        <w:t>进、提质增效，综合质量指标好于全省平均水平，主要速度指标快于全省平均水平。地区生产总值年均增长5%以上，人均生产总值稳居全省前列。科技创新和现代产业链群建设取得显著突破，新质生产力加速成长，全要素生产率稳步提升</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经济结构</w:t>
      </w:r>
      <w:r>
        <w:rPr>
          <w:rFonts w:hint="eastAsia" w:ascii="仿宋_GB2312" w:hAnsi="仿宋_GB2312" w:cs="仿宋_GB2312"/>
          <w:color w:val="auto"/>
          <w:spacing w:val="0"/>
          <w:kern w:val="21"/>
          <w:sz w:val="32"/>
          <w:szCs w:val="32"/>
          <w:lang w:val="en-US" w:eastAsia="zh-CN"/>
        </w:rPr>
        <w:t>明显</w:t>
      </w:r>
      <w:r>
        <w:rPr>
          <w:rFonts w:hint="eastAsia" w:ascii="仿宋_GB2312" w:hAnsi="仿宋_GB2312" w:cs="仿宋_GB2312"/>
          <w:color w:val="auto"/>
          <w:spacing w:val="0"/>
          <w:kern w:val="21"/>
          <w:sz w:val="32"/>
          <w:szCs w:val="32"/>
        </w:rPr>
        <w:t>优化，“7+25”现代产业链群建设取得新突破，一批产业</w:t>
      </w:r>
      <w:r>
        <w:rPr>
          <w:rFonts w:hint="eastAsia" w:ascii="仿宋_GB2312" w:hAnsi="仿宋_GB2312" w:cs="仿宋_GB2312"/>
          <w:color w:val="auto"/>
          <w:spacing w:val="0"/>
          <w:kern w:val="21"/>
          <w:sz w:val="32"/>
          <w:szCs w:val="32"/>
          <w:highlight w:val="none"/>
        </w:rPr>
        <w:t>链群标志性</w:t>
      </w:r>
      <w:r>
        <w:rPr>
          <w:rFonts w:hint="eastAsia" w:ascii="仿宋_GB2312" w:hAnsi="仿宋_GB2312" w:cs="仿宋_GB2312"/>
          <w:color w:val="auto"/>
          <w:spacing w:val="0"/>
          <w:kern w:val="21"/>
          <w:sz w:val="32"/>
          <w:szCs w:val="32"/>
          <w:highlight w:val="none"/>
          <w:lang w:val="en-US" w:eastAsia="zh-CN"/>
        </w:rPr>
        <w:t>项目</w:t>
      </w:r>
      <w:r>
        <w:rPr>
          <w:rFonts w:hint="eastAsia" w:ascii="仿宋_GB2312" w:hAnsi="仿宋_GB2312" w:cs="仿宋_GB2312"/>
          <w:color w:val="auto"/>
          <w:spacing w:val="0"/>
          <w:kern w:val="21"/>
          <w:sz w:val="32"/>
          <w:szCs w:val="32"/>
          <w:highlight w:val="none"/>
        </w:rPr>
        <w:t>建成投产，制造业发展和工业强市建设大见成效，经济竞争力全面增强。</w:t>
      </w:r>
    </w:p>
    <w:p w14:paraId="4FABED90">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eastAsia="仿宋_GB2312" w:cs="仿宋_GB2312"/>
          <w:b w:val="0"/>
          <w:bCs/>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在推动高效能改革开放上追赶超越、增光添彩</w:t>
      </w:r>
      <w:r>
        <w:rPr>
          <w:rFonts w:hint="eastAsia" w:ascii="楷体_GB2312" w:hAnsi="楷体_GB2312" w:eastAsia="楷体_GB2312" w:cs="楷体_GB2312"/>
          <w:b w:val="0"/>
          <w:bCs w:val="0"/>
          <w:color w:val="auto"/>
          <w:spacing w:val="0"/>
          <w:kern w:val="21"/>
          <w:sz w:val="32"/>
          <w:szCs w:val="32"/>
          <w:lang w:eastAsia="zh-CN"/>
        </w:rPr>
        <w:t>。</w:t>
      </w:r>
      <w:r>
        <w:rPr>
          <w:rFonts w:hint="eastAsia" w:ascii="仿宋_GB2312" w:hAnsi="仿宋_GB2312" w:cs="仿宋_GB2312"/>
          <w:color w:val="auto"/>
          <w:spacing w:val="0"/>
          <w:kern w:val="21"/>
          <w:sz w:val="32"/>
          <w:szCs w:val="32"/>
        </w:rPr>
        <w:t>进一步全面深化改革走深走实，形成一批具有延安特色的标志性改革成果，融入全国统一大市场更加深入，营商环境优化取得更大突破</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净增</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五上</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企业1000户以上。</w:t>
      </w:r>
      <w:r>
        <w:rPr>
          <w:rFonts w:hint="eastAsia" w:ascii="仿宋_GB2312" w:hAnsi="仿宋_GB2312" w:eastAsia="仿宋_GB2312" w:cs="仿宋_GB2312"/>
          <w:b w:val="0"/>
          <w:bCs/>
          <w:color w:val="auto"/>
          <w:spacing w:val="0"/>
          <w:kern w:val="21"/>
          <w:sz w:val="32"/>
          <w:szCs w:val="32"/>
        </w:rPr>
        <w:t>“东引、西进、南融、北联”区域合作布局全面展开，招商引资规模显著扩大、质量显著提升，对外贸易短板快速拉长，开放通道、平台建设取得新的进展，开放型经济发展水平显著提高。</w:t>
      </w:r>
      <w:r>
        <w:rPr>
          <w:rFonts w:hint="eastAsia" w:ascii="仿宋_GB2312" w:hAnsi="仿宋_GB2312" w:cs="仿宋_GB2312"/>
          <w:bCs/>
          <w:color w:val="auto"/>
          <w:spacing w:val="0"/>
          <w:kern w:val="21"/>
          <w:sz w:val="32"/>
          <w:szCs w:val="32"/>
        </w:rPr>
        <w:t>全过程人民民主制度化、规范化、程序化水平进一步提高，法治延安建设达到更高水平。</w:t>
      </w:r>
    </w:p>
    <w:p w14:paraId="141389F9">
      <w:pPr>
        <w:keepNext w:val="0"/>
        <w:keepLines w:val="0"/>
        <w:pageBreakBefore w:val="0"/>
        <w:widowControl w:val="0"/>
        <w:kinsoku/>
        <w:wordWrap/>
        <w:overflowPunct w:val="0"/>
        <w:topLinePunct w:val="0"/>
        <w:autoSpaceDE/>
        <w:autoSpaceDN/>
        <w:bidi w:val="0"/>
        <w:adjustRightInd w:val="0"/>
        <w:snapToGrid w:val="0"/>
        <w:spacing w:line="579" w:lineRule="exact"/>
        <w:ind w:firstLine="640"/>
        <w:textAlignment w:val="auto"/>
        <w:rPr>
          <w:rFonts w:hint="eastAsia" w:ascii="黑体" w:hAnsi="黑体" w:eastAsia="黑体" w:cs="黑体"/>
          <w:b w:val="0"/>
          <w:bCs/>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在推动高品位文化塑造上追赶超越、增光添彩。</w:t>
      </w:r>
      <w:r>
        <w:rPr>
          <w:rFonts w:hint="eastAsia" w:ascii="仿宋_GB2312" w:hAnsi="仿宋_GB2312" w:eastAsia="仿宋_GB2312" w:cs="仿宋_GB2312"/>
          <w:b w:val="0"/>
          <w:bCs/>
          <w:color w:val="auto"/>
          <w:spacing w:val="0"/>
          <w:kern w:val="21"/>
          <w:sz w:val="32"/>
          <w:szCs w:val="32"/>
        </w:rPr>
        <w:t>社会主义核心价值观深入人心，群众思想道德素质、科学文化素质和身心健康素质明显提高，社会文明程度</w:t>
      </w:r>
      <w:r>
        <w:rPr>
          <w:rFonts w:hint="eastAsia" w:ascii="仿宋_GB2312" w:hAnsi="仿宋_GB2312" w:cs="仿宋_GB2312"/>
          <w:bCs/>
          <w:color w:val="auto"/>
          <w:spacing w:val="0"/>
          <w:kern w:val="21"/>
          <w:sz w:val="32"/>
          <w:szCs w:val="32"/>
        </w:rPr>
        <w:t>持续</w:t>
      </w:r>
      <w:r>
        <w:rPr>
          <w:rFonts w:hint="eastAsia" w:ascii="仿宋_GB2312" w:hAnsi="仿宋_GB2312" w:eastAsia="仿宋_GB2312" w:cs="仿宋_GB2312"/>
          <w:b w:val="0"/>
          <w:bCs/>
          <w:color w:val="auto"/>
          <w:spacing w:val="0"/>
          <w:kern w:val="21"/>
          <w:sz w:val="32"/>
          <w:szCs w:val="32"/>
        </w:rPr>
        <w:t>提升，文化遗产保护利用取得丰硕成果，文化事业全面繁荣，</w:t>
      </w:r>
      <w:r>
        <w:rPr>
          <w:rFonts w:hint="eastAsia" w:ascii="仿宋_GB2312" w:hAnsi="仿宋_GB2312" w:cs="仿宋_GB2312"/>
          <w:bCs/>
          <w:color w:val="auto"/>
          <w:spacing w:val="0"/>
          <w:kern w:val="21"/>
          <w:sz w:val="32"/>
          <w:szCs w:val="32"/>
        </w:rPr>
        <w:t>公共文化服务供给更加丰富，文旅融合更加紧密，文化产业竞争力显著增强，</w:t>
      </w:r>
      <w:r>
        <w:rPr>
          <w:rFonts w:hint="eastAsia" w:ascii="仿宋_GB2312" w:hAnsi="仿宋_GB2312" w:eastAsia="仿宋_GB2312" w:cs="仿宋_GB2312"/>
          <w:b w:val="0"/>
          <w:bCs/>
          <w:color w:val="auto"/>
          <w:spacing w:val="0"/>
          <w:kern w:val="21"/>
          <w:sz w:val="32"/>
          <w:szCs w:val="32"/>
        </w:rPr>
        <w:t>全社会文化创新创造活力竞相迸发，文化强市建设迈出坚实步伐</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文化产业增加值占生产总值比重逐年提高</w:t>
      </w:r>
      <w:r>
        <w:rPr>
          <w:rFonts w:hint="eastAsia" w:ascii="仿宋_GB2312" w:hAnsi="仿宋_GB2312" w:eastAsia="仿宋_GB2312" w:cs="仿宋_GB2312"/>
          <w:b w:val="0"/>
          <w:bCs/>
          <w:color w:val="auto"/>
          <w:spacing w:val="0"/>
          <w:kern w:val="21"/>
          <w:sz w:val="32"/>
          <w:szCs w:val="32"/>
        </w:rPr>
        <w:t>。</w:t>
      </w:r>
    </w:p>
    <w:p w14:paraId="0146BFE9">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黑体" w:hAnsi="黑体" w:eastAsia="黑体" w:cs="黑体"/>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在推动高品质人民生活上追赶超越、增光添彩。</w:t>
      </w:r>
      <w:r>
        <w:rPr>
          <w:rFonts w:hint="eastAsia" w:ascii="仿宋_GB2312" w:hAnsi="仿宋_GB2312" w:eastAsia="仿宋_GB2312" w:cs="仿宋_GB2312"/>
          <w:b w:val="0"/>
          <w:bCs/>
          <w:color w:val="auto"/>
          <w:spacing w:val="0"/>
          <w:kern w:val="21"/>
          <w:sz w:val="32"/>
          <w:szCs w:val="32"/>
        </w:rPr>
        <w:t>区域发展布局更加合理，新型城镇化和乡村全面振兴取得重大进展，县域经济发展提质扩量，城乡发展差距和居民生活水平差距持续缩小。民生短板加快补齐，就业更加充分更有质量，高质量教育体系、高水平医疗体系、多层次社会保障体系更加完善，基本公共服务均等化水平和人民群众生活质量全面提升。</w:t>
      </w:r>
    </w:p>
    <w:p w14:paraId="7F6C4439">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黑体" w:hAnsi="黑体" w:eastAsia="黑体" w:cs="黑体"/>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在推动高水准生态建设上追赶超越、增光添彩。</w:t>
      </w:r>
      <w:r>
        <w:rPr>
          <w:rFonts w:hint="eastAsia" w:ascii="仿宋_GB2312" w:hAnsi="仿宋_GB2312" w:eastAsia="仿宋_GB2312" w:cs="仿宋_GB2312"/>
          <w:b w:val="0"/>
          <w:bCs/>
          <w:color w:val="auto"/>
          <w:spacing w:val="0"/>
          <w:kern w:val="21"/>
          <w:sz w:val="32"/>
          <w:szCs w:val="32"/>
        </w:rPr>
        <w:t>国土空间开发格局得到优化，生态安全屏障更加巩固。主要污染物排放总量持续减少，</w:t>
      </w:r>
      <w:r>
        <w:rPr>
          <w:rFonts w:hint="eastAsia" w:ascii="仿宋_GB2312" w:hAnsi="仿宋_GB2312" w:cs="仿宋_GB2312"/>
          <w:bCs/>
          <w:color w:val="auto"/>
          <w:spacing w:val="0"/>
          <w:kern w:val="21"/>
          <w:sz w:val="32"/>
          <w:szCs w:val="32"/>
        </w:rPr>
        <w:t>生态环境质量进一步改善，</w:t>
      </w:r>
      <w:r>
        <w:rPr>
          <w:rFonts w:hint="eastAsia" w:ascii="仿宋_GB2312" w:hAnsi="仿宋_GB2312" w:eastAsia="仿宋_GB2312" w:cs="仿宋_GB2312"/>
          <w:b w:val="0"/>
          <w:bCs/>
          <w:color w:val="auto"/>
          <w:spacing w:val="0"/>
          <w:kern w:val="21"/>
          <w:sz w:val="32"/>
          <w:szCs w:val="32"/>
        </w:rPr>
        <w:t>城乡环境面貌显著提升，绿色低碳生产生活方式和消费方式广泛形成，碳达峰目标如期实现</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生态产品价值实现机制逐步完善，生态产品供给水平稳步提高，美丽延安建设在全域高质量展开。</w:t>
      </w:r>
    </w:p>
    <w:p w14:paraId="41805368">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黑体" w:hAnsi="黑体" w:eastAsia="黑体" w:cs="黑体"/>
          <w:color w:val="auto"/>
          <w:spacing w:val="0"/>
          <w:kern w:val="21"/>
          <w:sz w:val="32"/>
          <w:szCs w:val="32"/>
        </w:rPr>
      </w:pPr>
      <w:r>
        <w:rPr>
          <w:rFonts w:hint="eastAsia" w:ascii="黑体" w:hAnsi="黑体" w:eastAsia="黑体" w:cs="黑体"/>
          <w:b w:val="0"/>
          <w:bCs w:val="0"/>
          <w:color w:val="auto"/>
          <w:spacing w:val="0"/>
          <w:kern w:val="21"/>
          <w:sz w:val="32"/>
          <w:szCs w:val="32"/>
        </w:rPr>
        <w:t>——</w:t>
      </w:r>
      <w:r>
        <w:rPr>
          <w:rFonts w:hint="eastAsia" w:ascii="楷体_GB2312" w:hAnsi="楷体_GB2312" w:eastAsia="楷体_GB2312" w:cs="楷体_GB2312"/>
          <w:b w:val="0"/>
          <w:bCs w:val="0"/>
          <w:color w:val="auto"/>
          <w:spacing w:val="0"/>
          <w:kern w:val="21"/>
          <w:sz w:val="32"/>
          <w:szCs w:val="32"/>
        </w:rPr>
        <w:t>在推动高能级安全支撑上追赶超越、增光添彩。</w:t>
      </w:r>
      <w:r>
        <w:rPr>
          <w:rFonts w:hint="eastAsia" w:ascii="仿宋_GB2312" w:hAnsi="仿宋_GB2312" w:eastAsia="仿宋_GB2312" w:cs="仿宋_GB2312"/>
          <w:b w:val="0"/>
          <w:bCs/>
          <w:color w:val="auto"/>
          <w:spacing w:val="0"/>
          <w:kern w:val="21"/>
          <w:sz w:val="32"/>
          <w:szCs w:val="32"/>
        </w:rPr>
        <w:t>维护国家安全体制机制更加完善，公共安全体系进一步健全，重大风险隐患防范能力、突发公共事件应急能力、基层应急管理能力、防灾减灾救灾能力明显提升，社会治理现代化水平持续提升，人民群众生命安全、身体健康、安居乐业得到切实保障，更高水平平安延安建设扎实推进。</w:t>
      </w:r>
    </w:p>
    <w:p w14:paraId="2242FB9D">
      <w:pPr>
        <w:keepNext w:val="0"/>
        <w:keepLines w:val="0"/>
        <w:pageBreakBefore w:val="0"/>
        <w:widowControl w:val="0"/>
        <w:kinsoku/>
        <w:wordWrap/>
        <w:overflowPunct w:val="0"/>
        <w:topLinePunct w:val="0"/>
        <w:autoSpaceDE/>
        <w:autoSpaceDN/>
        <w:bidi w:val="0"/>
        <w:spacing w:line="579" w:lineRule="exact"/>
        <w:ind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在此基础上再奋斗五年，到二</w:t>
      </w:r>
      <w:r>
        <w:rPr>
          <w:rFonts w:hint="eastAsia" w:ascii="仿宋_GB2312" w:hAnsi="仿宋_GB2312" w:cs="仿宋_GB2312"/>
          <w:color w:val="auto"/>
          <w:spacing w:val="0"/>
          <w:kern w:val="21"/>
          <w:sz w:val="32"/>
          <w:szCs w:val="32"/>
          <w:lang w:val="en-US" w:eastAsia="zh-CN"/>
        </w:rPr>
        <w:t>〇</w:t>
      </w:r>
      <w:r>
        <w:rPr>
          <w:rFonts w:hint="eastAsia" w:ascii="仿宋_GB2312" w:hAnsi="仿宋_GB2312" w:cs="仿宋_GB2312"/>
          <w:color w:val="auto"/>
          <w:spacing w:val="0"/>
          <w:kern w:val="21"/>
          <w:sz w:val="32"/>
          <w:szCs w:val="32"/>
        </w:rPr>
        <w:t>三五年，延安</w:t>
      </w:r>
      <w:r>
        <w:rPr>
          <w:rFonts w:hint="eastAsia" w:ascii="仿宋_GB2312" w:hAnsi="仿宋_GB2312"/>
          <w:color w:val="auto"/>
          <w:spacing w:val="0"/>
          <w:kern w:val="21"/>
          <w:sz w:val="32"/>
          <w:szCs w:val="32"/>
          <w:highlight w:val="none"/>
          <w:lang w:val="en-US" w:eastAsia="zh-CN"/>
        </w:rPr>
        <w:t>高质量发展现代化建设</w:t>
      </w:r>
      <w:r>
        <w:rPr>
          <w:rFonts w:hint="eastAsia" w:ascii="仿宋_GB2312" w:hAnsi="仿宋_GB2312" w:cs="仿宋_GB2312"/>
          <w:color w:val="auto"/>
          <w:spacing w:val="0"/>
          <w:kern w:val="21"/>
          <w:sz w:val="32"/>
          <w:szCs w:val="32"/>
        </w:rPr>
        <w:t>“一六四”工作布局基本成势，与全国、全省一道基本实现社会主义现代化，各方面明显短板基本补上，在更多领域为谱写陕西新篇、争做西部示范增光添彩。</w:t>
      </w:r>
    </w:p>
    <w:p w14:paraId="2C3DCC75">
      <w:pPr>
        <w:pStyle w:val="10"/>
        <w:keepNext w:val="0"/>
        <w:keepLines w:val="0"/>
        <w:pageBreakBefore w:val="0"/>
        <w:widowControl w:val="0"/>
        <w:kinsoku/>
        <w:wordWrap/>
        <w:overflowPunct w:val="0"/>
        <w:topLinePunct w:val="0"/>
        <w:autoSpaceDE/>
        <w:autoSpaceDN/>
        <w:bidi w:val="0"/>
        <w:spacing w:line="590" w:lineRule="exact"/>
        <w:textAlignment w:val="auto"/>
        <w:rPr>
          <w:rFonts w:hint="eastAsia" w:ascii="仿宋_GB2312" w:hAnsi="仿宋_GB2312"/>
          <w:color w:val="auto"/>
          <w:spacing w:val="0"/>
          <w:kern w:val="21"/>
          <w:sz w:val="30"/>
          <w:szCs w:val="30"/>
        </w:rPr>
      </w:pPr>
      <w:bookmarkStart w:id="18" w:name="_Toc12437"/>
    </w:p>
    <w:p w14:paraId="03F8979F">
      <w:pPr>
        <w:pStyle w:val="10"/>
        <w:keepNext w:val="0"/>
        <w:keepLines w:val="0"/>
        <w:pageBreakBefore w:val="0"/>
        <w:widowControl w:val="0"/>
        <w:kinsoku/>
        <w:wordWrap/>
        <w:overflowPunct w:val="0"/>
        <w:topLinePunct w:val="0"/>
        <w:autoSpaceDE/>
        <w:autoSpaceDN/>
        <w:bidi w:val="0"/>
        <w:rPr>
          <w:rFonts w:hint="eastAsia" w:ascii="仿宋_GB2312" w:hAnsi="仿宋_GB2312"/>
          <w:color w:val="auto"/>
          <w:spacing w:val="0"/>
          <w:kern w:val="21"/>
          <w:sz w:val="30"/>
          <w:szCs w:val="30"/>
        </w:rPr>
      </w:pPr>
    </w:p>
    <w:p w14:paraId="20E8DAD2">
      <w:pPr>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5BF22C5A">
      <w:pPr>
        <w:pStyle w:val="10"/>
        <w:keepNext w:val="0"/>
        <w:keepLines w:val="0"/>
        <w:pageBreakBefore w:val="0"/>
        <w:widowControl w:val="0"/>
        <w:kinsoku/>
        <w:wordWrap/>
        <w:overflowPunct w:val="0"/>
        <w:topLinePunct w:val="0"/>
        <w:autoSpaceDE/>
        <w:autoSpaceDN/>
        <w:bidi w:val="0"/>
        <w:rPr>
          <w:rFonts w:hint="eastAsia" w:ascii="仿宋_GB2312" w:hAnsi="仿宋_GB2312" w:cs="黑体"/>
          <w:color w:val="auto"/>
          <w:spacing w:val="0"/>
          <w:kern w:val="21"/>
          <w:sz w:val="30"/>
          <w:szCs w:val="30"/>
        </w:rPr>
      </w:pPr>
      <w:r>
        <w:rPr>
          <w:rFonts w:hint="eastAsia" w:ascii="仿宋_GB2312" w:hAnsi="仿宋_GB2312"/>
          <w:color w:val="auto"/>
          <w:spacing w:val="0"/>
          <w:kern w:val="21"/>
          <w:sz w:val="30"/>
          <w:szCs w:val="30"/>
        </w:rPr>
        <w:t xml:space="preserve">表1 </w:t>
      </w:r>
      <w:r>
        <w:rPr>
          <w:rFonts w:hint="eastAsia" w:ascii="仿宋_GB2312" w:hAnsi="仿宋_GB2312" w:cs="黑体"/>
          <w:color w:val="auto"/>
          <w:spacing w:val="0"/>
          <w:kern w:val="21"/>
          <w:sz w:val="30"/>
          <w:szCs w:val="30"/>
        </w:rPr>
        <w:t>“十五五”规划主要指标</w:t>
      </w:r>
      <w:bookmarkEnd w:id="18"/>
    </w:p>
    <w:tbl>
      <w:tblPr>
        <w:tblStyle w:val="17"/>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696"/>
        <w:gridCol w:w="1756"/>
        <w:gridCol w:w="2510"/>
        <w:gridCol w:w="1026"/>
        <w:gridCol w:w="1058"/>
        <w:gridCol w:w="970"/>
        <w:gridCol w:w="964"/>
      </w:tblGrid>
      <w:tr w14:paraId="7263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0" w:hRule="atLeast"/>
          <w:tblHeader/>
          <w:jc w:val="center"/>
        </w:trPr>
        <w:tc>
          <w:tcPr>
            <w:tcW w:w="696" w:type="dxa"/>
            <w:vAlign w:val="center"/>
          </w:tcPr>
          <w:p w14:paraId="609F370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类别</w:t>
            </w:r>
          </w:p>
        </w:tc>
        <w:tc>
          <w:tcPr>
            <w:tcW w:w="4266" w:type="dxa"/>
            <w:gridSpan w:val="2"/>
            <w:vAlign w:val="center"/>
          </w:tcPr>
          <w:p w14:paraId="0C51FF6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指标名称</w:t>
            </w:r>
          </w:p>
        </w:tc>
        <w:tc>
          <w:tcPr>
            <w:tcW w:w="1026" w:type="dxa"/>
            <w:vAlign w:val="center"/>
          </w:tcPr>
          <w:p w14:paraId="2563576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2025年</w:t>
            </w:r>
          </w:p>
        </w:tc>
        <w:tc>
          <w:tcPr>
            <w:tcW w:w="1058" w:type="dxa"/>
            <w:vAlign w:val="center"/>
          </w:tcPr>
          <w:p w14:paraId="6FAC528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2030年</w:t>
            </w:r>
          </w:p>
        </w:tc>
        <w:tc>
          <w:tcPr>
            <w:tcW w:w="970" w:type="dxa"/>
            <w:vAlign w:val="center"/>
          </w:tcPr>
          <w:p w14:paraId="53646EC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年均</w:t>
            </w:r>
          </w:p>
          <w:p w14:paraId="7C0940D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增速</w:t>
            </w:r>
          </w:p>
        </w:tc>
        <w:tc>
          <w:tcPr>
            <w:tcW w:w="964" w:type="dxa"/>
            <w:vAlign w:val="center"/>
          </w:tcPr>
          <w:p w14:paraId="5E3241D2">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eastAsia="黑体" w:cs="Times New Roman"/>
                <w:color w:val="auto"/>
                <w:spacing w:val="0"/>
                <w:kern w:val="21"/>
                <w:sz w:val="24"/>
                <w:szCs w:val="24"/>
                <w:highlight w:val="none"/>
              </w:rPr>
            </w:pPr>
            <w:r>
              <w:rPr>
                <w:rFonts w:ascii="Times New Roman" w:hAnsi="Times New Roman" w:eastAsia="黑体" w:cs="Times New Roman"/>
                <w:color w:val="auto"/>
                <w:spacing w:val="0"/>
                <w:kern w:val="21"/>
                <w:sz w:val="24"/>
                <w:szCs w:val="24"/>
                <w:highlight w:val="none"/>
              </w:rPr>
              <w:t>属性</w:t>
            </w:r>
          </w:p>
        </w:tc>
      </w:tr>
      <w:tr w14:paraId="0335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24" w:hRule="exact"/>
          <w:jc w:val="center"/>
        </w:trPr>
        <w:tc>
          <w:tcPr>
            <w:tcW w:w="696" w:type="dxa"/>
            <w:vMerge w:val="restart"/>
            <w:vAlign w:val="center"/>
          </w:tcPr>
          <w:p w14:paraId="2E2BFCD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经</w:t>
            </w:r>
          </w:p>
          <w:p w14:paraId="25473A8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济</w:t>
            </w:r>
          </w:p>
          <w:p w14:paraId="7CF9428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发</w:t>
            </w:r>
          </w:p>
          <w:p w14:paraId="5698ACE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lang w:val="en-US" w:eastAsia="zh-CN"/>
              </w:rPr>
              <w:t>展</w:t>
            </w:r>
          </w:p>
        </w:tc>
        <w:tc>
          <w:tcPr>
            <w:tcW w:w="4266" w:type="dxa"/>
            <w:gridSpan w:val="2"/>
            <w:vAlign w:val="center"/>
          </w:tcPr>
          <w:p w14:paraId="5F229B20">
            <w:pPr>
              <w:keepNext w:val="0"/>
              <w:keepLines w:val="0"/>
              <w:pageBreakBefore w:val="0"/>
              <w:widowControl w:val="0"/>
              <w:kinsoku/>
              <w:wordWrap/>
              <w:overflowPunct w:val="0"/>
              <w:topLinePunct w:val="0"/>
              <w:autoSpaceDE/>
              <w:autoSpaceDN/>
              <w:bidi w:val="0"/>
              <w:snapToGrid w:val="0"/>
              <w:spacing w:line="240" w:lineRule="auto"/>
              <w:ind w:firstLine="0" w:firstLineChars="0"/>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1.地区生产总值增长（%）</w:t>
            </w:r>
          </w:p>
        </w:tc>
        <w:tc>
          <w:tcPr>
            <w:tcW w:w="1026" w:type="dxa"/>
            <w:vAlign w:val="center"/>
          </w:tcPr>
          <w:p w14:paraId="4277483C">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4.3</w:t>
            </w:r>
          </w:p>
        </w:tc>
        <w:tc>
          <w:tcPr>
            <w:tcW w:w="1058" w:type="dxa"/>
            <w:vAlign w:val="center"/>
          </w:tcPr>
          <w:p w14:paraId="0DE05D81">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70" w:type="dxa"/>
            <w:vAlign w:val="center"/>
          </w:tcPr>
          <w:p w14:paraId="57A086B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5以上</w:t>
            </w:r>
          </w:p>
        </w:tc>
        <w:tc>
          <w:tcPr>
            <w:tcW w:w="964" w:type="dxa"/>
            <w:vAlign w:val="center"/>
          </w:tcPr>
          <w:p w14:paraId="0780B0E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64D0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24" w:hRule="exact"/>
          <w:jc w:val="center"/>
        </w:trPr>
        <w:tc>
          <w:tcPr>
            <w:tcW w:w="696" w:type="dxa"/>
            <w:vMerge w:val="continue"/>
            <w:vAlign w:val="center"/>
          </w:tcPr>
          <w:p w14:paraId="44EB9E14">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21F41B38">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eastAsia="仿宋_GB2312" w:cs="Times New Roman"/>
                <w:color w:val="auto"/>
                <w:spacing w:val="0"/>
                <w:kern w:val="21"/>
                <w:sz w:val="24"/>
                <w:szCs w:val="24"/>
                <w:highlight w:val="none"/>
                <w:lang w:val="en-US" w:eastAsia="zh-CN"/>
              </w:rPr>
            </w:pPr>
            <w:r>
              <w:rPr>
                <w:rFonts w:ascii="Times New Roman" w:hAnsi="Times New Roman" w:cs="Times New Roman"/>
                <w:color w:val="auto"/>
                <w:spacing w:val="0"/>
                <w:kern w:val="21"/>
                <w:sz w:val="24"/>
                <w:szCs w:val="24"/>
                <w:highlight w:val="none"/>
              </w:rPr>
              <w:t>2.</w:t>
            </w:r>
            <w:r>
              <w:rPr>
                <w:rFonts w:hint="eastAsia" w:ascii="Times New Roman" w:hAnsi="Times New Roman" w:cs="Times New Roman"/>
                <w:color w:val="auto"/>
                <w:spacing w:val="0"/>
                <w:kern w:val="21"/>
                <w:sz w:val="24"/>
                <w:szCs w:val="24"/>
                <w:highlight w:val="none"/>
                <w:lang w:val="en-US" w:eastAsia="zh-CN"/>
              </w:rPr>
              <w:t>全员劳动生产率增长（%）</w:t>
            </w:r>
          </w:p>
        </w:tc>
        <w:tc>
          <w:tcPr>
            <w:tcW w:w="1026" w:type="dxa"/>
            <w:vAlign w:val="center"/>
          </w:tcPr>
          <w:p w14:paraId="02C4CBE8">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1058" w:type="dxa"/>
            <w:vAlign w:val="center"/>
          </w:tcPr>
          <w:p w14:paraId="55D25A4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70" w:type="dxa"/>
            <w:vAlign w:val="center"/>
          </w:tcPr>
          <w:p w14:paraId="142E3DA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≥6</w:t>
            </w:r>
          </w:p>
        </w:tc>
        <w:tc>
          <w:tcPr>
            <w:tcW w:w="964" w:type="dxa"/>
            <w:vAlign w:val="center"/>
          </w:tcPr>
          <w:p w14:paraId="2991591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349D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24" w:hRule="exact"/>
          <w:jc w:val="center"/>
        </w:trPr>
        <w:tc>
          <w:tcPr>
            <w:tcW w:w="696" w:type="dxa"/>
            <w:vMerge w:val="continue"/>
            <w:vAlign w:val="center"/>
          </w:tcPr>
          <w:p w14:paraId="5674698A">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0F03E21C">
            <w:pPr>
              <w:keepNext w:val="0"/>
              <w:keepLines w:val="0"/>
              <w:pageBreakBefore w:val="0"/>
              <w:widowControl w:val="0"/>
              <w:kinsoku/>
              <w:wordWrap/>
              <w:overflowPunct w:val="0"/>
              <w:topLinePunct w:val="0"/>
              <w:autoSpaceDE/>
              <w:autoSpaceDN/>
              <w:bidi w:val="0"/>
              <w:snapToGrid w:val="0"/>
              <w:spacing w:line="240" w:lineRule="auto"/>
              <w:ind w:firstLine="0" w:firstLineChars="0"/>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3.</w:t>
            </w:r>
            <w:r>
              <w:rPr>
                <w:rFonts w:hint="eastAsia" w:ascii="Times New Roman" w:hAnsi="Times New Roman" w:cs="Times New Roman"/>
                <w:color w:val="auto"/>
                <w:spacing w:val="0"/>
                <w:kern w:val="21"/>
                <w:sz w:val="24"/>
                <w:szCs w:val="24"/>
                <w:highlight w:val="none"/>
                <w:lang w:val="en-US" w:eastAsia="zh-CN"/>
              </w:rPr>
              <w:t>常住人口城镇化率（%）</w:t>
            </w:r>
          </w:p>
        </w:tc>
        <w:tc>
          <w:tcPr>
            <w:tcW w:w="1026" w:type="dxa"/>
            <w:vAlign w:val="center"/>
          </w:tcPr>
          <w:p w14:paraId="72F92FF7">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64.05</w:t>
            </w:r>
          </w:p>
        </w:tc>
        <w:tc>
          <w:tcPr>
            <w:tcW w:w="1058" w:type="dxa"/>
            <w:vAlign w:val="center"/>
          </w:tcPr>
          <w:p w14:paraId="54CCECE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66左右</w:t>
            </w:r>
          </w:p>
        </w:tc>
        <w:tc>
          <w:tcPr>
            <w:tcW w:w="970" w:type="dxa"/>
            <w:vAlign w:val="center"/>
          </w:tcPr>
          <w:p w14:paraId="1CA4CC8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59BA782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3DA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24" w:hRule="exact"/>
          <w:jc w:val="center"/>
        </w:trPr>
        <w:tc>
          <w:tcPr>
            <w:tcW w:w="696" w:type="dxa"/>
            <w:vMerge w:val="continue"/>
            <w:vAlign w:val="center"/>
          </w:tcPr>
          <w:p w14:paraId="7BB9F781">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1F570069">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4</w:t>
            </w:r>
            <w:r>
              <w:rPr>
                <w:rFonts w:ascii="Times New Roman" w:hAnsi="Times New Roman" w:cs="Times New Roman"/>
                <w:color w:val="auto"/>
                <w:spacing w:val="0"/>
                <w:kern w:val="21"/>
                <w:sz w:val="24"/>
                <w:szCs w:val="24"/>
                <w:highlight w:val="none"/>
              </w:rPr>
              <w:t>.货物和服务贸易总额增速（%）</w:t>
            </w:r>
          </w:p>
        </w:tc>
        <w:tc>
          <w:tcPr>
            <w:tcW w:w="1026" w:type="dxa"/>
            <w:vAlign w:val="center"/>
          </w:tcPr>
          <w:p w14:paraId="789003D8">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34.9</w:t>
            </w:r>
          </w:p>
        </w:tc>
        <w:tc>
          <w:tcPr>
            <w:tcW w:w="1058" w:type="dxa"/>
            <w:vAlign w:val="center"/>
          </w:tcPr>
          <w:p w14:paraId="6A39147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eastAsia="zh-CN"/>
              </w:rPr>
            </w:pPr>
            <w:r>
              <w:rPr>
                <w:rFonts w:hint="eastAsia" w:ascii="Times New Roman" w:hAnsi="Times New Roman" w:cs="Times New Roman"/>
                <w:color w:val="auto"/>
                <w:spacing w:val="0"/>
                <w:kern w:val="21"/>
                <w:sz w:val="24"/>
                <w:szCs w:val="24"/>
                <w:highlight w:val="none"/>
                <w:lang w:val="en-US" w:eastAsia="zh-CN"/>
              </w:rPr>
              <w:t>—</w:t>
            </w:r>
          </w:p>
        </w:tc>
        <w:tc>
          <w:tcPr>
            <w:tcW w:w="970" w:type="dxa"/>
            <w:vAlign w:val="center"/>
          </w:tcPr>
          <w:p w14:paraId="1F7925B7">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5</w:t>
            </w:r>
          </w:p>
        </w:tc>
        <w:tc>
          <w:tcPr>
            <w:tcW w:w="964" w:type="dxa"/>
            <w:vAlign w:val="center"/>
          </w:tcPr>
          <w:p w14:paraId="2E70B9A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64C9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24" w:hRule="exact"/>
          <w:jc w:val="center"/>
        </w:trPr>
        <w:tc>
          <w:tcPr>
            <w:tcW w:w="696" w:type="dxa"/>
            <w:vMerge w:val="restart"/>
            <w:vAlign w:val="center"/>
          </w:tcPr>
          <w:p w14:paraId="18A7A66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rPr>
              <w:t>创</w:t>
            </w:r>
          </w:p>
          <w:p w14:paraId="7360790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rPr>
              <w:t>新</w:t>
            </w:r>
          </w:p>
          <w:p w14:paraId="4858890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驱</w:t>
            </w:r>
          </w:p>
          <w:p w14:paraId="5C88E0F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lang w:val="en-US" w:eastAsia="zh-CN"/>
              </w:rPr>
              <w:t>动</w:t>
            </w:r>
          </w:p>
        </w:tc>
        <w:tc>
          <w:tcPr>
            <w:tcW w:w="4266" w:type="dxa"/>
            <w:gridSpan w:val="2"/>
            <w:vAlign w:val="center"/>
          </w:tcPr>
          <w:p w14:paraId="70D4DC3F">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eastAsia="仿宋_GB2312" w:cs="Times New Roman"/>
                <w:color w:val="auto"/>
                <w:spacing w:val="0"/>
                <w:kern w:val="21"/>
                <w:sz w:val="24"/>
                <w:szCs w:val="24"/>
                <w:highlight w:val="none"/>
                <w:lang w:eastAsia="zh-CN"/>
              </w:rPr>
            </w:pPr>
            <w:r>
              <w:rPr>
                <w:rFonts w:hint="default" w:ascii="Times New Roman" w:hAnsi="Times New Roman" w:cs="Times New Roman"/>
                <w:color w:val="auto"/>
                <w:spacing w:val="0"/>
                <w:kern w:val="21"/>
                <w:sz w:val="24"/>
                <w:szCs w:val="24"/>
                <w:highlight w:val="none"/>
                <w:lang w:val="en-US" w:eastAsia="zh-CN"/>
              </w:rPr>
              <w:t>5</w:t>
            </w:r>
            <w:r>
              <w:rPr>
                <w:rFonts w:ascii="Times New Roman" w:hAnsi="Times New Roman" w:cs="Times New Roman"/>
                <w:color w:val="auto"/>
                <w:spacing w:val="0"/>
                <w:kern w:val="21"/>
                <w:sz w:val="24"/>
                <w:szCs w:val="24"/>
                <w:highlight w:val="none"/>
              </w:rPr>
              <w:t>.</w:t>
            </w:r>
            <w:r>
              <w:rPr>
                <w:rFonts w:hint="eastAsia" w:ascii="Times New Roman" w:hAnsi="Times New Roman" w:cs="Times New Roman"/>
                <w:color w:val="auto"/>
                <w:spacing w:val="0"/>
                <w:kern w:val="21"/>
                <w:sz w:val="24"/>
                <w:szCs w:val="24"/>
                <w:highlight w:val="none"/>
                <w:lang w:val="en-US" w:eastAsia="zh-CN"/>
              </w:rPr>
              <w:t>全社会研发经费投入</w:t>
            </w:r>
            <w:r>
              <w:rPr>
                <w:rFonts w:hint="default" w:ascii="Times New Roman" w:hAnsi="Times New Roman" w:cs="Times New Roman"/>
                <w:color w:val="auto"/>
                <w:spacing w:val="0"/>
                <w:kern w:val="21"/>
                <w:sz w:val="24"/>
                <w:szCs w:val="24"/>
                <w:highlight w:val="none"/>
                <w:lang w:val="en-US" w:eastAsia="zh-CN"/>
              </w:rPr>
              <w:t>增速</w:t>
            </w:r>
            <w:r>
              <w:rPr>
                <w:rFonts w:hint="eastAsia" w:ascii="Times New Roman" w:hAnsi="Times New Roman" w:cs="Times New Roman"/>
                <w:color w:val="auto"/>
                <w:spacing w:val="0"/>
                <w:kern w:val="21"/>
                <w:sz w:val="24"/>
                <w:szCs w:val="24"/>
                <w:highlight w:val="none"/>
                <w:lang w:val="en-US" w:eastAsia="zh-CN"/>
              </w:rPr>
              <w:t>（%）</w:t>
            </w:r>
          </w:p>
        </w:tc>
        <w:tc>
          <w:tcPr>
            <w:tcW w:w="1026" w:type="dxa"/>
            <w:vAlign w:val="center"/>
          </w:tcPr>
          <w:p w14:paraId="559A2387">
            <w:pPr>
              <w:keepNext w:val="0"/>
              <w:keepLines w:val="0"/>
              <w:pageBreakBefore w:val="0"/>
              <w:widowControl w:val="0"/>
              <w:suppressAutoHyphens/>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eastAsia="zh-CN"/>
              </w:rPr>
            </w:pPr>
            <w:r>
              <w:rPr>
                <w:rFonts w:hint="eastAsia" w:ascii="Times New Roman" w:hAnsi="Times New Roman" w:cs="Times New Roman"/>
                <w:color w:val="auto"/>
                <w:spacing w:val="0"/>
                <w:kern w:val="21"/>
                <w:sz w:val="24"/>
                <w:szCs w:val="24"/>
                <w:highlight w:val="none"/>
                <w:lang w:val="en-US" w:eastAsia="zh-CN"/>
              </w:rPr>
              <w:t>—</w:t>
            </w:r>
          </w:p>
        </w:tc>
        <w:tc>
          <w:tcPr>
            <w:tcW w:w="1058" w:type="dxa"/>
            <w:vAlign w:val="center"/>
          </w:tcPr>
          <w:p w14:paraId="29A3043E">
            <w:pPr>
              <w:keepNext w:val="0"/>
              <w:keepLines w:val="0"/>
              <w:pageBreakBefore w:val="0"/>
              <w:widowControl w:val="0"/>
              <w:suppressAutoHyphens/>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70" w:type="dxa"/>
            <w:vAlign w:val="center"/>
          </w:tcPr>
          <w:p w14:paraId="1A83D4B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5</w:t>
            </w:r>
          </w:p>
        </w:tc>
        <w:tc>
          <w:tcPr>
            <w:tcW w:w="964" w:type="dxa"/>
            <w:vAlign w:val="center"/>
          </w:tcPr>
          <w:p w14:paraId="10DB02F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51B3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exact"/>
          <w:jc w:val="center"/>
        </w:trPr>
        <w:tc>
          <w:tcPr>
            <w:tcW w:w="696" w:type="dxa"/>
            <w:vMerge w:val="continue"/>
            <w:vAlign w:val="center"/>
          </w:tcPr>
          <w:p w14:paraId="060DEACB">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2EBB7B13">
            <w:pPr>
              <w:keepNext w:val="0"/>
              <w:keepLines w:val="0"/>
              <w:pageBreakBefore w:val="0"/>
              <w:widowControl w:val="0"/>
              <w:numPr>
                <w:ilvl w:val="0"/>
                <w:numId w:val="0"/>
              </w:numPr>
              <w:kinsoku/>
              <w:wordWrap/>
              <w:overflowPunct w:val="0"/>
              <w:topLinePunct w:val="0"/>
              <w:autoSpaceDE/>
              <w:autoSpaceDN/>
              <w:bidi w:val="0"/>
              <w:snapToGrid w:val="0"/>
              <w:spacing w:line="240" w:lineRule="auto"/>
              <w:ind w:firstLine="0" w:firstLineChars="0"/>
              <w:rPr>
                <w:rFonts w:hint="eastAsia" w:ascii="Times New Roman" w:hAnsi="Times New Roman" w:eastAsia="仿宋_GB2312" w:cs="Times New Roman"/>
                <w:color w:val="auto"/>
                <w:spacing w:val="0"/>
                <w:kern w:val="21"/>
                <w:sz w:val="24"/>
                <w:szCs w:val="24"/>
                <w:highlight w:val="none"/>
                <w:lang w:eastAsia="zh-CN"/>
              </w:rPr>
            </w:pPr>
            <w:r>
              <w:rPr>
                <w:rFonts w:hint="eastAsia" w:ascii="Times New Roman" w:hAnsi="Times New Roman" w:cs="Times New Roman"/>
                <w:color w:val="auto"/>
                <w:spacing w:val="0"/>
                <w:kern w:val="21"/>
                <w:sz w:val="24"/>
                <w:szCs w:val="24"/>
                <w:highlight w:val="none"/>
                <w:lang w:val="en-US" w:eastAsia="zh-CN"/>
              </w:rPr>
              <w:t>6.每万人口高价值发明专利拥有量（件）</w:t>
            </w:r>
          </w:p>
        </w:tc>
        <w:tc>
          <w:tcPr>
            <w:tcW w:w="1026" w:type="dxa"/>
            <w:vAlign w:val="center"/>
          </w:tcPr>
          <w:p w14:paraId="680C2A6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0.6</w:t>
            </w:r>
          </w:p>
        </w:tc>
        <w:tc>
          <w:tcPr>
            <w:tcW w:w="1058" w:type="dxa"/>
            <w:vAlign w:val="center"/>
          </w:tcPr>
          <w:p w14:paraId="79846078">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0.8</w:t>
            </w:r>
          </w:p>
        </w:tc>
        <w:tc>
          <w:tcPr>
            <w:tcW w:w="970" w:type="dxa"/>
            <w:vAlign w:val="center"/>
          </w:tcPr>
          <w:p w14:paraId="3604B8B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06B2D96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2E4A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7" w:hRule="atLeast"/>
          <w:jc w:val="center"/>
        </w:trPr>
        <w:tc>
          <w:tcPr>
            <w:tcW w:w="696" w:type="dxa"/>
            <w:vMerge w:val="continue"/>
            <w:vAlign w:val="center"/>
          </w:tcPr>
          <w:p w14:paraId="29638131">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7F892DF1">
            <w:pPr>
              <w:keepNext w:val="0"/>
              <w:keepLines w:val="0"/>
              <w:pageBreakBefore w:val="0"/>
              <w:widowControl w:val="0"/>
              <w:numPr>
                <w:ilvl w:val="0"/>
                <w:numId w:val="0"/>
              </w:numPr>
              <w:kinsoku/>
              <w:wordWrap/>
              <w:overflowPunct w:val="0"/>
              <w:topLinePunct w:val="0"/>
              <w:autoSpaceDE/>
              <w:autoSpaceDN/>
              <w:bidi w:val="0"/>
              <w:snapToGrid w:val="0"/>
              <w:spacing w:line="240" w:lineRule="auto"/>
              <w:ind w:firstLine="0" w:firstLineChars="0"/>
              <w:rPr>
                <w:rFonts w:hint="eastAsia" w:ascii="Times New Roman" w:hAnsi="Times New Roman" w:eastAsia="仿宋_GB2312" w:cs="Times New Roman"/>
                <w:color w:val="auto"/>
                <w:spacing w:val="0"/>
                <w:kern w:val="21"/>
                <w:sz w:val="24"/>
                <w:szCs w:val="24"/>
                <w:highlight w:val="none"/>
                <w:lang w:eastAsia="zh-CN"/>
              </w:rPr>
            </w:pPr>
            <w:r>
              <w:rPr>
                <w:rFonts w:ascii="Times New Roman" w:hAnsi="Times New Roman" w:eastAsia="仿宋_GB2312" w:cs="Times New Roman"/>
                <w:color w:val="auto"/>
                <w:spacing w:val="0"/>
                <w:kern w:val="21"/>
                <w:sz w:val="24"/>
                <w:szCs w:val="24"/>
                <w:highlight w:val="none"/>
                <w:lang w:val="en-US" w:eastAsia="zh-CN" w:bidi="ar-SA"/>
              </w:rPr>
              <w:t>7.</w:t>
            </w:r>
            <w:r>
              <w:rPr>
                <w:rFonts w:ascii="Times New Roman" w:hAnsi="Times New Roman" w:cs="Times New Roman"/>
                <w:color w:val="auto"/>
                <w:spacing w:val="0"/>
                <w:kern w:val="21"/>
                <w:sz w:val="24"/>
                <w:szCs w:val="24"/>
                <w:highlight w:val="none"/>
              </w:rPr>
              <w:t>数字经济核心产业增加值占地区生产总值比重（%）</w:t>
            </w:r>
          </w:p>
        </w:tc>
        <w:tc>
          <w:tcPr>
            <w:tcW w:w="1026" w:type="dxa"/>
            <w:vAlign w:val="center"/>
          </w:tcPr>
          <w:p w14:paraId="55CACFD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0.5</w:t>
            </w:r>
          </w:p>
        </w:tc>
        <w:tc>
          <w:tcPr>
            <w:tcW w:w="1058" w:type="dxa"/>
            <w:vAlign w:val="center"/>
          </w:tcPr>
          <w:p w14:paraId="405947A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0.6</w:t>
            </w:r>
          </w:p>
        </w:tc>
        <w:tc>
          <w:tcPr>
            <w:tcW w:w="970" w:type="dxa"/>
            <w:vAlign w:val="center"/>
          </w:tcPr>
          <w:p w14:paraId="08AB7C57">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6498399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06D8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restart"/>
            <w:vAlign w:val="center"/>
          </w:tcPr>
          <w:p w14:paraId="2CCF47B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民</w:t>
            </w:r>
          </w:p>
          <w:p w14:paraId="3BAE774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生</w:t>
            </w:r>
          </w:p>
          <w:p w14:paraId="4DCBAE9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福</w:t>
            </w:r>
          </w:p>
          <w:p w14:paraId="5847526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祉</w:t>
            </w:r>
          </w:p>
        </w:tc>
        <w:tc>
          <w:tcPr>
            <w:tcW w:w="4266" w:type="dxa"/>
            <w:gridSpan w:val="2"/>
            <w:vAlign w:val="center"/>
          </w:tcPr>
          <w:p w14:paraId="59433645">
            <w:pPr>
              <w:keepNext w:val="0"/>
              <w:keepLines w:val="0"/>
              <w:pageBreakBefore w:val="0"/>
              <w:widowControl w:val="0"/>
              <w:numPr>
                <w:ilvl w:val="0"/>
                <w:numId w:val="0"/>
              </w:numPr>
              <w:kinsoku/>
              <w:wordWrap/>
              <w:overflowPunct w:val="0"/>
              <w:topLinePunct w:val="0"/>
              <w:autoSpaceDE/>
              <w:autoSpaceDN/>
              <w:bidi w:val="0"/>
              <w:snapToGrid w:val="0"/>
              <w:spacing w:line="240" w:lineRule="auto"/>
              <w:ind w:firstLine="0" w:firstLineChars="0"/>
              <w:rPr>
                <w:rFonts w:hint="eastAsia" w:ascii="Times New Roman" w:hAnsi="Times New Roman" w:cs="Times New Roman"/>
                <w:color w:val="auto"/>
                <w:spacing w:val="0"/>
                <w:kern w:val="21"/>
                <w:sz w:val="24"/>
                <w:szCs w:val="24"/>
                <w:highlight w:val="none"/>
                <w:lang w:eastAsia="zh-CN"/>
              </w:rPr>
            </w:pPr>
            <w:r>
              <w:rPr>
                <w:rFonts w:hint="eastAsia" w:ascii="Times New Roman" w:hAnsi="Times New Roman" w:eastAsia="仿宋_GB2312" w:cs="Times New Roman"/>
                <w:color w:val="auto"/>
                <w:spacing w:val="0"/>
                <w:kern w:val="21"/>
                <w:sz w:val="24"/>
                <w:szCs w:val="24"/>
                <w:highlight w:val="none"/>
                <w:lang w:val="en-US" w:eastAsia="zh-CN" w:bidi="ar-SA"/>
              </w:rPr>
              <w:t>8.</w:t>
            </w:r>
            <w:r>
              <w:rPr>
                <w:rFonts w:hint="eastAsia" w:ascii="Times New Roman" w:hAnsi="Times New Roman" w:cs="Times New Roman"/>
                <w:color w:val="auto"/>
                <w:spacing w:val="0"/>
                <w:kern w:val="21"/>
                <w:sz w:val="24"/>
                <w:szCs w:val="24"/>
                <w:highlight w:val="none"/>
              </w:rPr>
              <w:t>城镇新增就业人数（万人）</w:t>
            </w:r>
          </w:p>
        </w:tc>
        <w:tc>
          <w:tcPr>
            <w:tcW w:w="1026" w:type="dxa"/>
            <w:vAlign w:val="center"/>
          </w:tcPr>
          <w:p w14:paraId="40C6C30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1.6</w:t>
            </w:r>
          </w:p>
        </w:tc>
        <w:tc>
          <w:tcPr>
            <w:tcW w:w="1058" w:type="dxa"/>
            <w:vAlign w:val="center"/>
          </w:tcPr>
          <w:p w14:paraId="38389B62">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仿宋" w:hAnsi="仿宋" w:eastAsia="仿宋" w:cs="仿宋"/>
                <w:color w:val="auto"/>
                <w:spacing w:val="0"/>
                <w:kern w:val="21"/>
                <w:sz w:val="24"/>
                <w:szCs w:val="24"/>
              </w:rPr>
              <w:t>[</w:t>
            </w:r>
            <w:r>
              <w:rPr>
                <w:rFonts w:hint="eastAsia" w:ascii="Times New Roman" w:hAnsi="Times New Roman" w:cs="Times New Roman"/>
                <w:color w:val="auto"/>
                <w:spacing w:val="0"/>
                <w:kern w:val="21"/>
                <w:sz w:val="24"/>
                <w:szCs w:val="24"/>
                <w:highlight w:val="none"/>
                <w:lang w:val="en-US" w:eastAsia="zh-CN"/>
              </w:rPr>
              <w:t>7.5</w:t>
            </w:r>
            <w:r>
              <w:rPr>
                <w:rFonts w:hint="eastAsia" w:ascii="仿宋" w:hAnsi="仿宋" w:eastAsia="仿宋" w:cs="仿宋"/>
                <w:color w:val="auto"/>
                <w:spacing w:val="0"/>
                <w:kern w:val="21"/>
                <w:sz w:val="24"/>
                <w:szCs w:val="24"/>
              </w:rPr>
              <w:t>]</w:t>
            </w:r>
          </w:p>
        </w:tc>
        <w:tc>
          <w:tcPr>
            <w:tcW w:w="970" w:type="dxa"/>
            <w:vAlign w:val="center"/>
          </w:tcPr>
          <w:p w14:paraId="6F6B7BE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6EB3122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24EC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7" w:hRule="atLeast"/>
          <w:jc w:val="center"/>
        </w:trPr>
        <w:tc>
          <w:tcPr>
            <w:tcW w:w="696" w:type="dxa"/>
            <w:vMerge w:val="continue"/>
            <w:vAlign w:val="center"/>
          </w:tcPr>
          <w:p w14:paraId="2A9929F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7914BAB3">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9</w:t>
            </w:r>
            <w:r>
              <w:rPr>
                <w:rFonts w:ascii="Times New Roman" w:hAnsi="Times New Roman" w:cs="Times New Roman"/>
                <w:color w:val="auto"/>
                <w:spacing w:val="0"/>
                <w:kern w:val="21"/>
                <w:sz w:val="24"/>
                <w:szCs w:val="24"/>
                <w:highlight w:val="none"/>
              </w:rPr>
              <w:t>.居民人均可支配收入增</w:t>
            </w:r>
            <w:r>
              <w:rPr>
                <w:rFonts w:hint="eastAsia" w:ascii="Times New Roman" w:hAnsi="Times New Roman" w:cs="Times New Roman"/>
                <w:color w:val="auto"/>
                <w:spacing w:val="0"/>
                <w:kern w:val="21"/>
                <w:sz w:val="24"/>
                <w:szCs w:val="24"/>
                <w:highlight w:val="none"/>
                <w:lang w:val="en-US" w:eastAsia="zh-CN"/>
              </w:rPr>
              <w:t>长</w:t>
            </w:r>
            <w:r>
              <w:rPr>
                <w:rFonts w:ascii="Times New Roman" w:hAnsi="Times New Roman" w:cs="Times New Roman"/>
                <w:color w:val="auto"/>
                <w:spacing w:val="0"/>
                <w:kern w:val="21"/>
                <w:sz w:val="24"/>
                <w:szCs w:val="24"/>
                <w:highlight w:val="none"/>
              </w:rPr>
              <w:t>（%）</w:t>
            </w:r>
          </w:p>
        </w:tc>
        <w:tc>
          <w:tcPr>
            <w:tcW w:w="1026" w:type="dxa"/>
            <w:vAlign w:val="center"/>
          </w:tcPr>
          <w:p w14:paraId="090F5C1B">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5.5</w:t>
            </w:r>
          </w:p>
        </w:tc>
        <w:tc>
          <w:tcPr>
            <w:tcW w:w="1058" w:type="dxa"/>
            <w:vAlign w:val="center"/>
          </w:tcPr>
          <w:p w14:paraId="490F66B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70" w:type="dxa"/>
            <w:vAlign w:val="center"/>
          </w:tcPr>
          <w:p w14:paraId="20F8556E">
            <w:pPr>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pacing w:val="0"/>
                <w:kern w:val="21"/>
                <w:sz w:val="24"/>
                <w:szCs w:val="24"/>
                <w:highlight w:val="none"/>
                <w:lang w:val="en-US"/>
              </w:rPr>
            </w:pPr>
            <w:r>
              <w:rPr>
                <w:rFonts w:hint="eastAsia" w:ascii="Times New Roman" w:hAnsi="Times New Roman" w:cs="Times New Roman"/>
                <w:color w:val="auto"/>
                <w:spacing w:val="0"/>
                <w:kern w:val="21"/>
                <w:sz w:val="24"/>
                <w:szCs w:val="24"/>
                <w:highlight w:val="none"/>
                <w:lang w:val="en-US" w:eastAsia="zh-CN"/>
              </w:rPr>
              <w:t>高于全市生产总值增速</w:t>
            </w:r>
          </w:p>
        </w:tc>
        <w:tc>
          <w:tcPr>
            <w:tcW w:w="964" w:type="dxa"/>
            <w:vAlign w:val="center"/>
          </w:tcPr>
          <w:p w14:paraId="05F4E21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4308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3D3D88E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0B201228">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10.劳动年龄人口平均受教育年限（年）</w:t>
            </w:r>
          </w:p>
        </w:tc>
        <w:tc>
          <w:tcPr>
            <w:tcW w:w="1026" w:type="dxa"/>
            <w:vAlign w:val="center"/>
          </w:tcPr>
          <w:p w14:paraId="396B255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13.51</w:t>
            </w:r>
          </w:p>
        </w:tc>
        <w:tc>
          <w:tcPr>
            <w:tcW w:w="1058" w:type="dxa"/>
            <w:vAlign w:val="center"/>
          </w:tcPr>
          <w:p w14:paraId="0AE6CE1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13.51</w:t>
            </w:r>
          </w:p>
        </w:tc>
        <w:tc>
          <w:tcPr>
            <w:tcW w:w="970" w:type="dxa"/>
            <w:vAlign w:val="center"/>
          </w:tcPr>
          <w:p w14:paraId="60D064F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4DF5D70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719C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08D9486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1756" w:type="dxa"/>
            <w:vMerge w:val="restart"/>
            <w:vAlign w:val="center"/>
          </w:tcPr>
          <w:p w14:paraId="0CBA38BB">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11.每千人口拥有医护人员数</w:t>
            </w:r>
          </w:p>
        </w:tc>
        <w:tc>
          <w:tcPr>
            <w:tcW w:w="2510" w:type="dxa"/>
            <w:vAlign w:val="center"/>
          </w:tcPr>
          <w:p w14:paraId="43522AA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执业医师数（人）</w:t>
            </w:r>
          </w:p>
        </w:tc>
        <w:tc>
          <w:tcPr>
            <w:tcW w:w="1026" w:type="dxa"/>
            <w:vAlign w:val="center"/>
          </w:tcPr>
          <w:p w14:paraId="2117F752">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2.9</w:t>
            </w:r>
          </w:p>
        </w:tc>
        <w:tc>
          <w:tcPr>
            <w:tcW w:w="1058" w:type="dxa"/>
            <w:vAlign w:val="center"/>
          </w:tcPr>
          <w:p w14:paraId="545AF634">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3.3</w:t>
            </w:r>
          </w:p>
        </w:tc>
        <w:tc>
          <w:tcPr>
            <w:tcW w:w="970" w:type="dxa"/>
            <w:vAlign w:val="center"/>
          </w:tcPr>
          <w:p w14:paraId="145C21D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Merge w:val="restart"/>
            <w:vAlign w:val="center"/>
          </w:tcPr>
          <w:p w14:paraId="1B78D654">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预期性</w:t>
            </w:r>
          </w:p>
        </w:tc>
      </w:tr>
      <w:tr w14:paraId="320A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6385C3B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1756" w:type="dxa"/>
            <w:vMerge w:val="continue"/>
            <w:vAlign w:val="center"/>
          </w:tcPr>
          <w:p w14:paraId="70CFF1DB">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cs="Times New Roman"/>
                <w:color w:val="auto"/>
                <w:spacing w:val="0"/>
                <w:kern w:val="21"/>
                <w:sz w:val="24"/>
                <w:szCs w:val="24"/>
                <w:highlight w:val="none"/>
              </w:rPr>
            </w:pPr>
          </w:p>
        </w:tc>
        <w:tc>
          <w:tcPr>
            <w:tcW w:w="2510" w:type="dxa"/>
            <w:vAlign w:val="center"/>
          </w:tcPr>
          <w:p w14:paraId="3D6AF49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注册护士数（人）</w:t>
            </w:r>
          </w:p>
        </w:tc>
        <w:tc>
          <w:tcPr>
            <w:tcW w:w="1026" w:type="dxa"/>
            <w:vAlign w:val="center"/>
          </w:tcPr>
          <w:p w14:paraId="4AF38931">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3.9</w:t>
            </w:r>
          </w:p>
        </w:tc>
        <w:tc>
          <w:tcPr>
            <w:tcW w:w="1058" w:type="dxa"/>
            <w:vAlign w:val="center"/>
          </w:tcPr>
          <w:p w14:paraId="154B7101">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4.1</w:t>
            </w:r>
          </w:p>
        </w:tc>
        <w:tc>
          <w:tcPr>
            <w:tcW w:w="970" w:type="dxa"/>
            <w:vAlign w:val="center"/>
          </w:tcPr>
          <w:p w14:paraId="23DAD79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Merge w:val="continue"/>
            <w:vAlign w:val="center"/>
          </w:tcPr>
          <w:p w14:paraId="3DABEA3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p>
        </w:tc>
      </w:tr>
      <w:tr w14:paraId="3520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2785CC08">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2D1C7643">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12.养老机构护理型床位占比（%）</w:t>
            </w:r>
          </w:p>
        </w:tc>
        <w:tc>
          <w:tcPr>
            <w:tcW w:w="1026" w:type="dxa"/>
            <w:vAlign w:val="center"/>
          </w:tcPr>
          <w:p w14:paraId="24E88D0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66</w:t>
            </w:r>
          </w:p>
        </w:tc>
        <w:tc>
          <w:tcPr>
            <w:tcW w:w="1058" w:type="dxa"/>
            <w:vAlign w:val="center"/>
          </w:tcPr>
          <w:p w14:paraId="7BBD60E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70</w:t>
            </w:r>
          </w:p>
        </w:tc>
        <w:tc>
          <w:tcPr>
            <w:tcW w:w="970" w:type="dxa"/>
            <w:vAlign w:val="center"/>
          </w:tcPr>
          <w:p w14:paraId="14844A87">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042BFD4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预期性</w:t>
            </w:r>
          </w:p>
        </w:tc>
      </w:tr>
      <w:tr w14:paraId="73C4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7C0F78F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193EF87B">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13.3岁以下婴幼儿入托率提高（百分点）</w:t>
            </w:r>
          </w:p>
        </w:tc>
        <w:tc>
          <w:tcPr>
            <w:tcW w:w="1026" w:type="dxa"/>
            <w:vAlign w:val="center"/>
          </w:tcPr>
          <w:p w14:paraId="0D8E7F9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1058" w:type="dxa"/>
            <w:vAlign w:val="center"/>
          </w:tcPr>
          <w:p w14:paraId="02BEA0F4">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仿宋" w:hAnsi="仿宋" w:eastAsia="仿宋" w:cs="仿宋"/>
                <w:color w:val="auto"/>
                <w:spacing w:val="0"/>
                <w:kern w:val="21"/>
                <w:sz w:val="24"/>
                <w:szCs w:val="24"/>
              </w:rPr>
              <w:t>[</w:t>
            </w:r>
            <w:r>
              <w:rPr>
                <w:rFonts w:hint="eastAsia" w:ascii="Times New Roman" w:hAnsi="Times New Roman" w:cs="Times New Roman"/>
                <w:color w:val="auto"/>
                <w:spacing w:val="0"/>
                <w:kern w:val="21"/>
                <w:sz w:val="24"/>
                <w:szCs w:val="24"/>
                <w:highlight w:val="none"/>
                <w:lang w:val="en-US" w:eastAsia="zh-CN"/>
              </w:rPr>
              <w:t>5.5</w:t>
            </w:r>
            <w:r>
              <w:rPr>
                <w:rFonts w:hint="eastAsia" w:ascii="仿宋" w:hAnsi="仿宋" w:eastAsia="仿宋" w:cs="仿宋"/>
                <w:color w:val="auto"/>
                <w:spacing w:val="0"/>
                <w:kern w:val="21"/>
                <w:sz w:val="24"/>
                <w:szCs w:val="24"/>
              </w:rPr>
              <w:t>]</w:t>
            </w:r>
          </w:p>
        </w:tc>
        <w:tc>
          <w:tcPr>
            <w:tcW w:w="970" w:type="dxa"/>
            <w:vAlign w:val="center"/>
          </w:tcPr>
          <w:p w14:paraId="0491B08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20F15B7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预期性</w:t>
            </w:r>
          </w:p>
        </w:tc>
      </w:tr>
      <w:tr w14:paraId="2D50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5D78C07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401FD4DA">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14.</w:t>
            </w:r>
            <w:r>
              <w:rPr>
                <w:rFonts w:ascii="Times New Roman" w:hAnsi="Times New Roman" w:cs="Times New Roman"/>
                <w:color w:val="auto"/>
                <w:spacing w:val="0"/>
                <w:kern w:val="21"/>
                <w:sz w:val="24"/>
                <w:szCs w:val="24"/>
                <w:highlight w:val="none"/>
              </w:rPr>
              <w:t>人均预期寿命（岁）</w:t>
            </w:r>
          </w:p>
        </w:tc>
        <w:tc>
          <w:tcPr>
            <w:tcW w:w="1026" w:type="dxa"/>
            <w:vAlign w:val="center"/>
          </w:tcPr>
          <w:p w14:paraId="46683862">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78.5</w:t>
            </w:r>
          </w:p>
        </w:tc>
        <w:tc>
          <w:tcPr>
            <w:tcW w:w="1058" w:type="dxa"/>
            <w:vAlign w:val="center"/>
          </w:tcPr>
          <w:p w14:paraId="4EB3B46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80</w:t>
            </w:r>
          </w:p>
        </w:tc>
        <w:tc>
          <w:tcPr>
            <w:tcW w:w="970" w:type="dxa"/>
            <w:vAlign w:val="center"/>
          </w:tcPr>
          <w:p w14:paraId="3C8C476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50A8E2F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预期性</w:t>
            </w:r>
          </w:p>
        </w:tc>
      </w:tr>
      <w:tr w14:paraId="1178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0" w:hRule="atLeast"/>
          <w:jc w:val="center"/>
        </w:trPr>
        <w:tc>
          <w:tcPr>
            <w:tcW w:w="696" w:type="dxa"/>
            <w:vMerge w:val="restart"/>
            <w:vAlign w:val="center"/>
          </w:tcPr>
          <w:p w14:paraId="16076B3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rPr>
              <w:t>绿</w:t>
            </w:r>
          </w:p>
          <w:p w14:paraId="7AA8BA8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rPr>
              <w:t>色</w:t>
            </w:r>
          </w:p>
          <w:p w14:paraId="0ED5838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低</w:t>
            </w:r>
          </w:p>
          <w:p w14:paraId="28936CA9">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r>
              <w:rPr>
                <w:rFonts w:hint="eastAsia" w:ascii="仿宋_GB2312" w:hAnsi="仿宋_GB2312" w:eastAsia="仿宋_GB2312" w:cs="仿宋_GB2312"/>
                <w:b/>
                <w:bCs/>
                <w:color w:val="auto"/>
                <w:spacing w:val="0"/>
                <w:kern w:val="21"/>
                <w:sz w:val="24"/>
                <w:szCs w:val="24"/>
                <w:highlight w:val="none"/>
                <w:lang w:val="en-US" w:eastAsia="zh-CN"/>
              </w:rPr>
              <w:t>碳</w:t>
            </w:r>
          </w:p>
        </w:tc>
        <w:tc>
          <w:tcPr>
            <w:tcW w:w="4266" w:type="dxa"/>
            <w:gridSpan w:val="2"/>
            <w:vAlign w:val="center"/>
          </w:tcPr>
          <w:p w14:paraId="020CB6E9">
            <w:pPr>
              <w:keepNext w:val="0"/>
              <w:keepLines w:val="0"/>
              <w:pageBreakBefore w:val="0"/>
              <w:widowControl w:val="0"/>
              <w:kinsoku/>
              <w:wordWrap/>
              <w:overflowPunct w:val="0"/>
              <w:topLinePunct w:val="0"/>
              <w:autoSpaceDE/>
              <w:autoSpaceDN/>
              <w:bidi w:val="0"/>
              <w:snapToGrid w:val="0"/>
              <w:spacing w:line="240" w:lineRule="auto"/>
              <w:ind w:firstLine="0" w:firstLineChars="0"/>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15</w:t>
            </w:r>
            <w:r>
              <w:rPr>
                <w:rFonts w:ascii="Times New Roman" w:hAnsi="Times New Roman" w:cs="Times New Roman"/>
                <w:color w:val="auto"/>
                <w:spacing w:val="0"/>
                <w:kern w:val="21"/>
                <w:sz w:val="24"/>
                <w:szCs w:val="24"/>
                <w:highlight w:val="none"/>
              </w:rPr>
              <w:t>.单位地区生产总值二氧化碳排放降低（%）</w:t>
            </w:r>
          </w:p>
        </w:tc>
        <w:tc>
          <w:tcPr>
            <w:tcW w:w="1026" w:type="dxa"/>
            <w:vAlign w:val="center"/>
          </w:tcPr>
          <w:p w14:paraId="586B8618">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1058" w:type="dxa"/>
            <w:vAlign w:val="center"/>
          </w:tcPr>
          <w:p w14:paraId="3E55B65D">
            <w:pPr>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完成</w:t>
            </w:r>
            <w:r>
              <w:rPr>
                <w:rFonts w:hint="eastAsia" w:ascii="Times New Roman" w:hAnsi="Times New Roman" w:cs="Times New Roman"/>
                <w:color w:val="auto"/>
                <w:spacing w:val="0"/>
                <w:kern w:val="21"/>
                <w:sz w:val="24"/>
                <w:szCs w:val="24"/>
                <w:highlight w:val="none"/>
              </w:rPr>
              <w:t>省上下达目标</w:t>
            </w:r>
          </w:p>
        </w:tc>
        <w:tc>
          <w:tcPr>
            <w:tcW w:w="970" w:type="dxa"/>
            <w:vAlign w:val="center"/>
          </w:tcPr>
          <w:p w14:paraId="33755A0D">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25053544">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5B82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0" w:hRule="atLeast"/>
          <w:jc w:val="center"/>
        </w:trPr>
        <w:tc>
          <w:tcPr>
            <w:tcW w:w="696" w:type="dxa"/>
            <w:vMerge w:val="continue"/>
            <w:vAlign w:val="center"/>
          </w:tcPr>
          <w:p w14:paraId="29BBFD3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494E5916">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16.非化石能源占能源消费总量比重（%）</w:t>
            </w:r>
          </w:p>
        </w:tc>
        <w:tc>
          <w:tcPr>
            <w:tcW w:w="1026" w:type="dxa"/>
            <w:vAlign w:val="center"/>
          </w:tcPr>
          <w:p w14:paraId="74202141">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1058" w:type="dxa"/>
            <w:vAlign w:val="center"/>
          </w:tcPr>
          <w:p w14:paraId="32760FA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完成</w:t>
            </w:r>
            <w:r>
              <w:rPr>
                <w:rFonts w:hint="default" w:ascii="Times New Roman" w:hAnsi="Times New Roman" w:cs="Times New Roman"/>
                <w:color w:val="auto"/>
                <w:spacing w:val="0"/>
                <w:kern w:val="21"/>
                <w:sz w:val="24"/>
                <w:szCs w:val="24"/>
                <w:highlight w:val="none"/>
                <w:lang w:val="en-US" w:eastAsia="zh-CN"/>
              </w:rPr>
              <w:t>省上下达目标</w:t>
            </w:r>
          </w:p>
        </w:tc>
        <w:tc>
          <w:tcPr>
            <w:tcW w:w="970" w:type="dxa"/>
            <w:vAlign w:val="center"/>
          </w:tcPr>
          <w:p w14:paraId="59DD24F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2ED9FC7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约束性</w:t>
            </w:r>
          </w:p>
        </w:tc>
      </w:tr>
      <w:tr w14:paraId="153E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0" w:hRule="atLeast"/>
          <w:jc w:val="center"/>
        </w:trPr>
        <w:tc>
          <w:tcPr>
            <w:tcW w:w="696" w:type="dxa"/>
            <w:vMerge w:val="continue"/>
            <w:vAlign w:val="center"/>
          </w:tcPr>
          <w:p w14:paraId="38349672">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2ABEF4AE">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Times New Roman" w:hAnsi="Times New Roman" w:eastAsia="仿宋_GB2312" w:cs="Times New Roman"/>
                <w:color w:val="auto"/>
                <w:spacing w:val="0"/>
                <w:kern w:val="21"/>
                <w:sz w:val="24"/>
                <w:szCs w:val="24"/>
                <w:highlight w:val="none"/>
                <w:lang w:eastAsia="zh-CN"/>
              </w:rPr>
            </w:pPr>
            <w:r>
              <w:rPr>
                <w:rFonts w:ascii="Times New Roman" w:hAnsi="Times New Roman" w:cs="Times New Roman"/>
                <w:color w:val="auto"/>
                <w:spacing w:val="0"/>
                <w:kern w:val="21"/>
                <w:sz w:val="24"/>
                <w:szCs w:val="24"/>
                <w:highlight w:val="none"/>
              </w:rPr>
              <w:t>1</w:t>
            </w:r>
            <w:r>
              <w:rPr>
                <w:rFonts w:hint="eastAsia" w:ascii="Times New Roman" w:hAnsi="Times New Roman" w:cs="Times New Roman"/>
                <w:color w:val="auto"/>
                <w:spacing w:val="0"/>
                <w:kern w:val="21"/>
                <w:sz w:val="24"/>
                <w:szCs w:val="24"/>
                <w:highlight w:val="none"/>
                <w:lang w:val="en-US" w:eastAsia="zh-CN"/>
              </w:rPr>
              <w:t>7</w:t>
            </w:r>
            <w:r>
              <w:rPr>
                <w:rFonts w:ascii="Times New Roman" w:hAnsi="Times New Roman" w:cs="Times New Roman"/>
                <w:color w:val="auto"/>
                <w:spacing w:val="0"/>
                <w:kern w:val="21"/>
                <w:sz w:val="24"/>
                <w:szCs w:val="24"/>
                <w:highlight w:val="none"/>
              </w:rPr>
              <w:t>.城市细颗粒物（PM</w:t>
            </w:r>
            <w:r>
              <w:rPr>
                <w:rFonts w:ascii="Times New Roman" w:hAnsi="Times New Roman" w:cs="Times New Roman"/>
                <w:color w:val="auto"/>
                <w:spacing w:val="0"/>
                <w:kern w:val="21"/>
                <w:sz w:val="24"/>
                <w:szCs w:val="24"/>
                <w:highlight w:val="none"/>
                <w:vertAlign w:val="subscript"/>
              </w:rPr>
              <w:t>2.5</w:t>
            </w:r>
            <w:r>
              <w:rPr>
                <w:rFonts w:ascii="Times New Roman" w:hAnsi="Times New Roman" w:cs="Times New Roman"/>
                <w:color w:val="auto"/>
                <w:spacing w:val="0"/>
                <w:kern w:val="21"/>
                <w:sz w:val="24"/>
                <w:szCs w:val="24"/>
                <w:highlight w:val="none"/>
              </w:rPr>
              <w:t>）浓度（微克/立方米）</w:t>
            </w:r>
          </w:p>
        </w:tc>
        <w:tc>
          <w:tcPr>
            <w:tcW w:w="1026" w:type="dxa"/>
            <w:vAlign w:val="center"/>
          </w:tcPr>
          <w:p w14:paraId="1D9C203C">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22.7</w:t>
            </w:r>
          </w:p>
        </w:tc>
        <w:tc>
          <w:tcPr>
            <w:tcW w:w="1058" w:type="dxa"/>
            <w:vAlign w:val="center"/>
          </w:tcPr>
          <w:p w14:paraId="75553FE3">
            <w:pPr>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完成</w:t>
            </w:r>
            <w:r>
              <w:rPr>
                <w:rFonts w:hint="default" w:ascii="Times New Roman" w:hAnsi="Times New Roman" w:cs="Times New Roman"/>
                <w:color w:val="auto"/>
                <w:spacing w:val="0"/>
                <w:kern w:val="21"/>
                <w:sz w:val="24"/>
                <w:szCs w:val="24"/>
                <w:highlight w:val="none"/>
                <w:lang w:val="en-US" w:eastAsia="zh-CN"/>
              </w:rPr>
              <w:t>省上下达目标</w:t>
            </w:r>
          </w:p>
        </w:tc>
        <w:tc>
          <w:tcPr>
            <w:tcW w:w="970" w:type="dxa"/>
            <w:vAlign w:val="center"/>
          </w:tcPr>
          <w:p w14:paraId="46752187">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65F4F17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3CD2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0" w:hRule="atLeast"/>
          <w:jc w:val="center"/>
        </w:trPr>
        <w:tc>
          <w:tcPr>
            <w:tcW w:w="696" w:type="dxa"/>
            <w:vMerge w:val="continue"/>
            <w:vAlign w:val="center"/>
          </w:tcPr>
          <w:p w14:paraId="3309BFBA">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52CCC61A">
            <w:pPr>
              <w:keepNext w:val="0"/>
              <w:keepLines w:val="0"/>
              <w:pageBreakBefore w:val="0"/>
              <w:widowControl w:val="0"/>
              <w:kinsoku/>
              <w:wordWrap/>
              <w:overflowPunct w:val="0"/>
              <w:topLinePunct w:val="0"/>
              <w:autoSpaceDE/>
              <w:autoSpaceDN/>
              <w:bidi w:val="0"/>
              <w:snapToGrid w:val="0"/>
              <w:spacing w:line="240" w:lineRule="auto"/>
              <w:ind w:firstLine="0" w:firstLineChars="0"/>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1</w:t>
            </w:r>
            <w:r>
              <w:rPr>
                <w:rFonts w:hint="eastAsia" w:ascii="Times New Roman" w:hAnsi="Times New Roman" w:cs="Times New Roman"/>
                <w:color w:val="auto"/>
                <w:spacing w:val="0"/>
                <w:kern w:val="21"/>
                <w:sz w:val="24"/>
                <w:szCs w:val="24"/>
                <w:highlight w:val="none"/>
                <w:lang w:val="en-US" w:eastAsia="zh-CN"/>
              </w:rPr>
              <w:t>8</w:t>
            </w:r>
            <w:r>
              <w:rPr>
                <w:rFonts w:ascii="Times New Roman" w:hAnsi="Times New Roman" w:cs="Times New Roman"/>
                <w:color w:val="auto"/>
                <w:spacing w:val="0"/>
                <w:kern w:val="21"/>
                <w:sz w:val="24"/>
                <w:szCs w:val="24"/>
                <w:highlight w:val="none"/>
              </w:rPr>
              <w:t>.优良水体比例（%）</w:t>
            </w:r>
          </w:p>
        </w:tc>
        <w:tc>
          <w:tcPr>
            <w:tcW w:w="1026" w:type="dxa"/>
            <w:vAlign w:val="center"/>
          </w:tcPr>
          <w:p w14:paraId="30414E3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100%</w:t>
            </w:r>
          </w:p>
        </w:tc>
        <w:tc>
          <w:tcPr>
            <w:tcW w:w="1058" w:type="dxa"/>
            <w:vAlign w:val="center"/>
          </w:tcPr>
          <w:p w14:paraId="7BF44F84">
            <w:pPr>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仿宋_GB2312" w:hAnsi="仿宋_GB2312" w:cs="仿宋_GB2312"/>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完成</w:t>
            </w:r>
            <w:r>
              <w:rPr>
                <w:rFonts w:hint="default" w:ascii="Times New Roman" w:hAnsi="Times New Roman" w:cs="Times New Roman"/>
                <w:color w:val="auto"/>
                <w:spacing w:val="0"/>
                <w:kern w:val="21"/>
                <w:sz w:val="24"/>
                <w:szCs w:val="24"/>
                <w:highlight w:val="none"/>
                <w:lang w:val="en-US" w:eastAsia="zh-CN"/>
              </w:rPr>
              <w:t>省上下达目标</w:t>
            </w:r>
          </w:p>
        </w:tc>
        <w:tc>
          <w:tcPr>
            <w:tcW w:w="970" w:type="dxa"/>
            <w:vAlign w:val="center"/>
          </w:tcPr>
          <w:p w14:paraId="4BB458F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36E43EE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0DAB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18BBF47D">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eastAsia" w:ascii="仿宋_GB2312" w:hAnsi="仿宋_GB2312" w:eastAsia="仿宋_GB2312" w:cs="仿宋_GB2312"/>
                <w:b/>
                <w:bCs/>
                <w:color w:val="auto"/>
                <w:spacing w:val="0"/>
                <w:kern w:val="21"/>
                <w:sz w:val="24"/>
                <w:szCs w:val="24"/>
                <w:highlight w:val="none"/>
              </w:rPr>
            </w:pPr>
          </w:p>
        </w:tc>
        <w:tc>
          <w:tcPr>
            <w:tcW w:w="4266" w:type="dxa"/>
            <w:gridSpan w:val="2"/>
            <w:vAlign w:val="center"/>
          </w:tcPr>
          <w:p w14:paraId="39206AF1">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ascii="Times New Roman" w:hAnsi="Times New Roman" w:cs="Times New Roman"/>
                <w:color w:val="auto"/>
                <w:spacing w:val="0"/>
                <w:kern w:val="21"/>
                <w:sz w:val="24"/>
                <w:szCs w:val="24"/>
                <w:highlight w:val="none"/>
              </w:rPr>
              <w:t>1</w:t>
            </w:r>
            <w:r>
              <w:rPr>
                <w:rFonts w:hint="eastAsia" w:ascii="Times New Roman" w:hAnsi="Times New Roman" w:cs="Times New Roman"/>
                <w:color w:val="auto"/>
                <w:spacing w:val="0"/>
                <w:kern w:val="21"/>
                <w:sz w:val="24"/>
                <w:szCs w:val="24"/>
                <w:highlight w:val="none"/>
                <w:lang w:val="en-US" w:eastAsia="zh-CN"/>
              </w:rPr>
              <w:t>9</w:t>
            </w:r>
            <w:r>
              <w:rPr>
                <w:rFonts w:hint="eastAsia" w:ascii="Times New Roman" w:hAnsi="Times New Roman" w:cs="Times New Roman"/>
                <w:color w:val="auto"/>
                <w:spacing w:val="0"/>
                <w:kern w:val="21"/>
                <w:sz w:val="24"/>
                <w:szCs w:val="24"/>
                <w:highlight w:val="none"/>
              </w:rPr>
              <w:t>.</w:t>
            </w:r>
            <w:r>
              <w:rPr>
                <w:rFonts w:hint="eastAsia" w:ascii="Times New Roman" w:hAnsi="Times New Roman" w:cs="Times New Roman"/>
                <w:color w:val="auto"/>
                <w:spacing w:val="0"/>
                <w:kern w:val="21"/>
                <w:sz w:val="24"/>
                <w:szCs w:val="24"/>
                <w:highlight w:val="none"/>
                <w:lang w:val="en-US" w:eastAsia="zh-CN"/>
              </w:rPr>
              <w:t>森林覆盖率（%）</w:t>
            </w:r>
          </w:p>
        </w:tc>
        <w:tc>
          <w:tcPr>
            <w:tcW w:w="1026" w:type="dxa"/>
            <w:vAlign w:val="center"/>
          </w:tcPr>
          <w:p w14:paraId="3B3FCE4F">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48.07</w:t>
            </w:r>
          </w:p>
        </w:tc>
        <w:tc>
          <w:tcPr>
            <w:tcW w:w="1058" w:type="dxa"/>
            <w:vAlign w:val="center"/>
          </w:tcPr>
          <w:p w14:paraId="2618F3B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不低于48.07</w:t>
            </w:r>
          </w:p>
        </w:tc>
        <w:tc>
          <w:tcPr>
            <w:tcW w:w="970" w:type="dxa"/>
            <w:vAlign w:val="center"/>
          </w:tcPr>
          <w:p w14:paraId="14F89575">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3915731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7F16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restart"/>
            <w:vAlign w:val="center"/>
          </w:tcPr>
          <w:p w14:paraId="2BF5AA4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安</w:t>
            </w:r>
          </w:p>
          <w:p w14:paraId="669A11DB">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全</w:t>
            </w:r>
          </w:p>
          <w:p w14:paraId="00D5AAA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保</w:t>
            </w:r>
          </w:p>
          <w:p w14:paraId="47D3CDF0">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仿宋_GB2312" w:hAnsi="仿宋_GB2312" w:eastAsia="仿宋_GB2312" w:cs="仿宋_GB2312"/>
                <w:b/>
                <w:bCs/>
                <w:color w:val="auto"/>
                <w:spacing w:val="0"/>
                <w:kern w:val="21"/>
                <w:sz w:val="24"/>
                <w:szCs w:val="24"/>
                <w:highlight w:val="none"/>
                <w:lang w:val="en-US" w:eastAsia="zh-CN"/>
              </w:rPr>
            </w:pPr>
            <w:r>
              <w:rPr>
                <w:rFonts w:hint="eastAsia" w:ascii="仿宋_GB2312" w:hAnsi="仿宋_GB2312" w:eastAsia="仿宋_GB2312" w:cs="仿宋_GB2312"/>
                <w:b/>
                <w:bCs/>
                <w:color w:val="auto"/>
                <w:spacing w:val="0"/>
                <w:kern w:val="21"/>
                <w:sz w:val="24"/>
                <w:szCs w:val="24"/>
                <w:highlight w:val="none"/>
                <w:lang w:val="en-US" w:eastAsia="zh-CN"/>
              </w:rPr>
              <w:t>障</w:t>
            </w:r>
          </w:p>
        </w:tc>
        <w:tc>
          <w:tcPr>
            <w:tcW w:w="4266" w:type="dxa"/>
            <w:gridSpan w:val="2"/>
            <w:vAlign w:val="center"/>
          </w:tcPr>
          <w:p w14:paraId="2142FE0B">
            <w:pPr>
              <w:keepNext w:val="0"/>
              <w:keepLines w:val="0"/>
              <w:pageBreakBefore w:val="0"/>
              <w:widowControl w:val="0"/>
              <w:kinsoku/>
              <w:wordWrap/>
              <w:overflowPunct w:val="0"/>
              <w:topLinePunct w:val="0"/>
              <w:autoSpaceDE/>
              <w:autoSpaceDN/>
              <w:bidi w:val="0"/>
              <w:snapToGrid w:val="0"/>
              <w:spacing w:line="240" w:lineRule="auto"/>
              <w:ind w:firstLine="0" w:firstLineChars="0"/>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20</w:t>
            </w:r>
            <w:r>
              <w:rPr>
                <w:rFonts w:ascii="Times New Roman" w:hAnsi="Times New Roman" w:cs="Times New Roman"/>
                <w:color w:val="auto"/>
                <w:spacing w:val="0"/>
                <w:kern w:val="21"/>
                <w:sz w:val="24"/>
                <w:szCs w:val="24"/>
                <w:highlight w:val="none"/>
              </w:rPr>
              <w:t>.粮食综合生产能力（万吨）</w:t>
            </w:r>
          </w:p>
        </w:tc>
        <w:tc>
          <w:tcPr>
            <w:tcW w:w="1026" w:type="dxa"/>
            <w:vAlign w:val="center"/>
          </w:tcPr>
          <w:p w14:paraId="77D52BAF">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76</w:t>
            </w:r>
          </w:p>
        </w:tc>
        <w:tc>
          <w:tcPr>
            <w:tcW w:w="1058" w:type="dxa"/>
            <w:vAlign w:val="center"/>
          </w:tcPr>
          <w:p w14:paraId="05E69B87">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hint="eastAsia" w:ascii="Times New Roman" w:hAnsi="Times New Roman" w:cs="Times New Roman"/>
                <w:color w:val="auto"/>
                <w:spacing w:val="0"/>
                <w:kern w:val="21"/>
                <w:sz w:val="24"/>
                <w:szCs w:val="24"/>
                <w:highlight w:val="none"/>
                <w:lang w:val="en-US" w:eastAsia="zh-CN"/>
              </w:rPr>
              <w:t>完成</w:t>
            </w:r>
            <w:r>
              <w:rPr>
                <w:rFonts w:hint="default" w:ascii="Times New Roman" w:hAnsi="Times New Roman" w:cs="Times New Roman"/>
                <w:color w:val="auto"/>
                <w:spacing w:val="0"/>
                <w:kern w:val="21"/>
                <w:sz w:val="24"/>
                <w:szCs w:val="24"/>
                <w:highlight w:val="none"/>
                <w:lang w:val="en-US" w:eastAsia="zh-CN"/>
              </w:rPr>
              <w:t>省上下达目标</w:t>
            </w:r>
          </w:p>
        </w:tc>
        <w:tc>
          <w:tcPr>
            <w:tcW w:w="970" w:type="dxa"/>
            <w:vAlign w:val="center"/>
          </w:tcPr>
          <w:p w14:paraId="3DB1F5BA">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7BDFC64F">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r>
              <w:rPr>
                <w:rFonts w:ascii="Times New Roman" w:hAnsi="Times New Roman" w:cs="Times New Roman"/>
                <w:color w:val="auto"/>
                <w:spacing w:val="0"/>
                <w:kern w:val="21"/>
                <w:sz w:val="24"/>
                <w:szCs w:val="24"/>
                <w:highlight w:val="none"/>
              </w:rPr>
              <w:t>约束性</w:t>
            </w:r>
          </w:p>
        </w:tc>
      </w:tr>
      <w:tr w14:paraId="7FAD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696" w:type="dxa"/>
            <w:vMerge w:val="continue"/>
            <w:vAlign w:val="center"/>
          </w:tcPr>
          <w:p w14:paraId="7CE53DA3">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ascii="Times New Roman" w:hAnsi="Times New Roman" w:cs="Times New Roman"/>
                <w:color w:val="auto"/>
                <w:spacing w:val="0"/>
                <w:kern w:val="21"/>
                <w:sz w:val="24"/>
                <w:szCs w:val="24"/>
                <w:highlight w:val="none"/>
              </w:rPr>
            </w:pPr>
          </w:p>
        </w:tc>
        <w:tc>
          <w:tcPr>
            <w:tcW w:w="4266" w:type="dxa"/>
            <w:gridSpan w:val="2"/>
            <w:vAlign w:val="center"/>
          </w:tcPr>
          <w:p w14:paraId="6B012279">
            <w:pPr>
              <w:keepNext w:val="0"/>
              <w:keepLines w:val="0"/>
              <w:pageBreakBefore w:val="0"/>
              <w:widowControl w:val="0"/>
              <w:kinsoku/>
              <w:wordWrap/>
              <w:overflowPunct w:val="0"/>
              <w:topLinePunct w:val="0"/>
              <w:autoSpaceDE/>
              <w:autoSpaceDN/>
              <w:bidi w:val="0"/>
              <w:snapToGrid w:val="0"/>
              <w:spacing w:line="240" w:lineRule="auto"/>
              <w:ind w:firstLine="0" w:firstLineChars="0"/>
              <w:rPr>
                <w:rFonts w:hint="default"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21.能源综合生产能力（亿吨标准煤）</w:t>
            </w:r>
          </w:p>
        </w:tc>
        <w:tc>
          <w:tcPr>
            <w:tcW w:w="1026" w:type="dxa"/>
            <w:vAlign w:val="center"/>
          </w:tcPr>
          <w:p w14:paraId="6BDC4187">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0.82</w:t>
            </w:r>
          </w:p>
        </w:tc>
        <w:tc>
          <w:tcPr>
            <w:tcW w:w="1058" w:type="dxa"/>
            <w:vAlign w:val="center"/>
          </w:tcPr>
          <w:p w14:paraId="3883BA6E">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val="0"/>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0.95</w:t>
            </w:r>
          </w:p>
        </w:tc>
        <w:tc>
          <w:tcPr>
            <w:tcW w:w="970" w:type="dxa"/>
            <w:vAlign w:val="center"/>
          </w:tcPr>
          <w:p w14:paraId="18C9CC56">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w:t>
            </w:r>
          </w:p>
        </w:tc>
        <w:tc>
          <w:tcPr>
            <w:tcW w:w="964" w:type="dxa"/>
            <w:vAlign w:val="center"/>
          </w:tcPr>
          <w:p w14:paraId="06D9208E">
            <w:pPr>
              <w:keepNext w:val="0"/>
              <w:keepLines w:val="0"/>
              <w:pageBreakBefore w:val="0"/>
              <w:widowControl w:val="0"/>
              <w:kinsoku/>
              <w:wordWrap/>
              <w:overflowPunct w:val="0"/>
              <w:topLinePunct w:val="0"/>
              <w:autoSpaceDE/>
              <w:autoSpaceDN/>
              <w:bidi w:val="0"/>
              <w:snapToGrid w:val="0"/>
              <w:spacing w:line="240" w:lineRule="auto"/>
              <w:ind w:firstLine="0" w:firstLineChars="0"/>
              <w:jc w:val="center"/>
              <w:rPr>
                <w:rFonts w:hint="eastAsia" w:ascii="Times New Roman" w:hAnsi="Times New Roman" w:eastAsia="仿宋_GB2312" w:cs="Times New Roman"/>
                <w:color w:val="auto"/>
                <w:spacing w:val="0"/>
                <w:kern w:val="21"/>
                <w:sz w:val="24"/>
                <w:szCs w:val="24"/>
                <w:highlight w:val="none"/>
                <w:lang w:val="en-US" w:eastAsia="zh-CN"/>
              </w:rPr>
            </w:pPr>
            <w:r>
              <w:rPr>
                <w:rFonts w:hint="eastAsia" w:ascii="Times New Roman" w:hAnsi="Times New Roman" w:cs="Times New Roman"/>
                <w:color w:val="auto"/>
                <w:spacing w:val="0"/>
                <w:kern w:val="21"/>
                <w:sz w:val="24"/>
                <w:szCs w:val="24"/>
                <w:highlight w:val="none"/>
                <w:lang w:val="en-US" w:eastAsia="zh-CN"/>
              </w:rPr>
              <w:t>约束性</w:t>
            </w:r>
          </w:p>
        </w:tc>
      </w:tr>
      <w:tr w14:paraId="0A11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80" w:hRule="atLeast"/>
          <w:jc w:val="center"/>
        </w:trPr>
        <w:tc>
          <w:tcPr>
            <w:tcW w:w="8980" w:type="dxa"/>
            <w:gridSpan w:val="7"/>
            <w:vAlign w:val="center"/>
          </w:tcPr>
          <w:p w14:paraId="21B0448A">
            <w:pPr>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left"/>
              <w:textAlignment w:val="auto"/>
              <w:rPr>
                <w:rFonts w:hint="eastAsia" w:ascii="Times New Roman" w:hAnsi="Times New Roman" w:cs="Times New Roman"/>
                <w:color w:val="auto"/>
                <w:spacing w:val="0"/>
                <w:kern w:val="21"/>
                <w:sz w:val="24"/>
                <w:szCs w:val="24"/>
                <w:highlight w:val="none"/>
                <w:lang w:val="en-US" w:eastAsia="zh-CN"/>
              </w:rPr>
            </w:pPr>
            <w:r>
              <w:rPr>
                <w:rFonts w:hint="eastAsia" w:ascii="仿宋_GB2312" w:hAnsi="仿宋_GB2312" w:cs="仿宋_GB2312"/>
                <w:color w:val="auto"/>
                <w:spacing w:val="0"/>
                <w:kern w:val="21"/>
                <w:sz w:val="24"/>
                <w:szCs w:val="24"/>
              </w:rPr>
              <w:t>注：①</w:t>
            </w:r>
            <w:r>
              <w:rPr>
                <w:rFonts w:hint="eastAsia" w:ascii="仿宋" w:hAnsi="仿宋" w:eastAsia="仿宋" w:cs="仿宋"/>
                <w:color w:val="auto"/>
                <w:spacing w:val="0"/>
                <w:kern w:val="21"/>
                <w:sz w:val="24"/>
                <w:szCs w:val="24"/>
              </w:rPr>
              <w:t>[]</w:t>
            </w:r>
            <w:r>
              <w:rPr>
                <w:rFonts w:hint="eastAsia" w:ascii="仿宋_GB2312" w:hAnsi="仿宋_GB2312" w:cs="仿宋_GB2312"/>
                <w:color w:val="auto"/>
                <w:spacing w:val="0"/>
                <w:kern w:val="21"/>
                <w:sz w:val="24"/>
                <w:szCs w:val="24"/>
                <w:lang w:val="en-US" w:eastAsia="zh-CN"/>
              </w:rPr>
              <w:t>为五年</w:t>
            </w:r>
            <w:r>
              <w:rPr>
                <w:rFonts w:hint="eastAsia" w:ascii="仿宋_GB2312" w:hAnsi="仿宋_GB2312" w:cs="仿宋_GB2312"/>
                <w:color w:val="auto"/>
                <w:spacing w:val="0"/>
                <w:kern w:val="21"/>
                <w:sz w:val="24"/>
                <w:szCs w:val="24"/>
              </w:rPr>
              <w:t>累计</w:t>
            </w:r>
            <w:r>
              <w:rPr>
                <w:rFonts w:hint="eastAsia" w:ascii="仿宋_GB2312" w:hAnsi="仿宋_GB2312" w:cs="仿宋_GB2312"/>
                <w:color w:val="auto"/>
                <w:spacing w:val="0"/>
                <w:kern w:val="21"/>
                <w:sz w:val="24"/>
                <w:szCs w:val="24"/>
                <w:lang w:val="en-US" w:eastAsia="zh-CN"/>
              </w:rPr>
              <w:t>值</w:t>
            </w:r>
            <w:r>
              <w:rPr>
                <w:rFonts w:hint="eastAsia" w:ascii="仿宋_GB2312" w:hAnsi="仿宋_GB2312" w:cs="仿宋_GB2312"/>
                <w:color w:val="auto"/>
                <w:spacing w:val="0"/>
                <w:kern w:val="21"/>
                <w:sz w:val="24"/>
                <w:szCs w:val="24"/>
                <w:highlight w:val="none"/>
                <w:lang w:eastAsia="zh-CN"/>
              </w:rPr>
              <w:t>；</w:t>
            </w:r>
            <w:r>
              <w:rPr>
                <w:rFonts w:hint="eastAsia" w:ascii="仿宋_GB2312" w:hAnsi="仿宋_GB2312" w:cs="仿宋_GB2312"/>
                <w:color w:val="auto"/>
                <w:spacing w:val="0"/>
                <w:kern w:val="21"/>
                <w:sz w:val="24"/>
                <w:szCs w:val="24"/>
                <w:highlight w:val="none"/>
              </w:rPr>
              <w:t>②</w:t>
            </w:r>
            <w:r>
              <w:rPr>
                <w:rFonts w:hint="eastAsia" w:ascii="仿宋_GB2312" w:hAnsi="仿宋_GB2312" w:cs="仿宋_GB2312"/>
                <w:color w:val="auto"/>
                <w:spacing w:val="0"/>
                <w:kern w:val="21"/>
                <w:sz w:val="24"/>
                <w:szCs w:val="24"/>
                <w:highlight w:val="none"/>
                <w:lang w:val="en-US" w:eastAsia="zh-CN"/>
              </w:rPr>
              <w:t>2025年部分数值正在更新中</w:t>
            </w:r>
            <w:r>
              <w:rPr>
                <w:rFonts w:hint="eastAsia" w:ascii="仿宋_GB2312" w:hAnsi="仿宋_GB2312" w:cs="仿宋_GB2312"/>
                <w:color w:val="auto"/>
                <w:spacing w:val="0"/>
                <w:kern w:val="21"/>
                <w:sz w:val="24"/>
                <w:szCs w:val="24"/>
              </w:rPr>
              <w:t>。</w:t>
            </w:r>
          </w:p>
        </w:tc>
      </w:tr>
    </w:tbl>
    <w:p w14:paraId="0CA90A29">
      <w:pPr>
        <w:keepNext w:val="0"/>
        <w:keepLines w:val="0"/>
        <w:pageBreakBefore w:val="0"/>
        <w:widowControl w:val="0"/>
        <w:kinsoku/>
        <w:wordWrap/>
        <w:overflowPunct w:val="0"/>
        <w:topLinePunct w:val="0"/>
        <w:autoSpaceDE/>
        <w:autoSpaceDN/>
        <w:bidi w:val="0"/>
        <w:spacing w:line="240" w:lineRule="auto"/>
        <w:ind w:firstLine="600" w:firstLineChars="200"/>
        <w:rPr>
          <w:rFonts w:hint="eastAsia" w:ascii="仿宋_GB2312" w:hAnsi="仿宋_GB2312" w:cs="仿宋_GB2312"/>
          <w:color w:val="auto"/>
          <w:spacing w:val="0"/>
          <w:kern w:val="21"/>
          <w:sz w:val="30"/>
          <w:szCs w:val="30"/>
        </w:rPr>
      </w:pPr>
    </w:p>
    <w:p w14:paraId="07027E76">
      <w:pPr>
        <w:keepNext w:val="0"/>
        <w:keepLines w:val="0"/>
        <w:pageBreakBefore w:val="0"/>
        <w:widowControl w:val="0"/>
        <w:kinsoku/>
        <w:wordWrap/>
        <w:overflowPunct w:val="0"/>
        <w:topLinePunct w:val="0"/>
        <w:autoSpaceDE/>
        <w:autoSpaceDN/>
        <w:bidi w:val="0"/>
        <w:ind w:firstLine="640"/>
        <w:rPr>
          <w:rFonts w:hint="eastAsia" w:ascii="仿宋_GB2312" w:hAnsi="仿宋_GB2312" w:cs="仿宋_GB2312"/>
          <w:color w:val="auto"/>
          <w:spacing w:val="0"/>
          <w:kern w:val="21"/>
          <w:sz w:val="30"/>
          <w:szCs w:val="30"/>
        </w:rPr>
      </w:pPr>
      <w:r>
        <w:rPr>
          <w:rFonts w:hint="eastAsia" w:ascii="仿宋_GB2312" w:hAnsi="仿宋_GB2312" w:cs="仿宋_GB2312"/>
          <w:color w:val="auto"/>
          <w:spacing w:val="0"/>
          <w:kern w:val="21"/>
          <w:sz w:val="30"/>
          <w:szCs w:val="30"/>
        </w:rPr>
        <w:br w:type="page"/>
      </w:r>
    </w:p>
    <w:p w14:paraId="0FA1D311">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color w:val="auto"/>
          <w:spacing w:val="0"/>
          <w:kern w:val="21"/>
          <w:sz w:val="30"/>
          <w:szCs w:val="30"/>
        </w:rPr>
      </w:pPr>
      <w:bookmarkStart w:id="19" w:name="_Toc24159"/>
      <w:bookmarkStart w:id="20" w:name="_Toc22272"/>
      <w:bookmarkStart w:id="21" w:name="_Toc8062"/>
    </w:p>
    <w:p w14:paraId="705C1365">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第二篇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构建具有延安特质的现代化产业体系</w:t>
      </w:r>
    </w:p>
    <w:p w14:paraId="7185CDDB">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夯实高质量发展基础</w:t>
      </w:r>
      <w:bookmarkEnd w:id="19"/>
      <w:bookmarkEnd w:id="20"/>
      <w:bookmarkEnd w:id="21"/>
    </w:p>
    <w:p w14:paraId="1F48ECE7">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0"/>
          <w:szCs w:val="30"/>
        </w:rPr>
      </w:pPr>
    </w:p>
    <w:p w14:paraId="632C1D7B">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把发展经济的着力点放在</w:t>
      </w:r>
      <w:r>
        <w:rPr>
          <w:rFonts w:hint="eastAsia" w:ascii="仿宋_GB2312" w:hAnsi="仿宋_GB2312"/>
          <w:color w:val="auto"/>
          <w:spacing w:val="0"/>
          <w:kern w:val="21"/>
          <w:sz w:val="32"/>
          <w:szCs w:val="32"/>
          <w:lang w:val="en-US" w:eastAsia="zh-CN"/>
        </w:rPr>
        <w:t>以</w:t>
      </w:r>
      <w:r>
        <w:rPr>
          <w:rFonts w:hint="eastAsia" w:ascii="仿宋_GB2312" w:hAnsi="仿宋_GB2312"/>
          <w:color w:val="auto"/>
          <w:spacing w:val="0"/>
          <w:kern w:val="21"/>
          <w:sz w:val="32"/>
          <w:szCs w:val="32"/>
          <w:highlight w:val="none"/>
          <w:lang w:val="en-US" w:eastAsia="zh-CN"/>
        </w:rPr>
        <w:t>装备制造为主的</w:t>
      </w:r>
      <w:r>
        <w:rPr>
          <w:rFonts w:hint="eastAsia" w:ascii="仿宋_GB2312" w:hAnsi="仿宋_GB2312"/>
          <w:color w:val="auto"/>
          <w:spacing w:val="0"/>
          <w:kern w:val="21"/>
          <w:sz w:val="32"/>
          <w:szCs w:val="32"/>
          <w:highlight w:val="none"/>
        </w:rPr>
        <w:t>实体经济</w:t>
      </w:r>
      <w:r>
        <w:rPr>
          <w:rFonts w:hint="eastAsia" w:ascii="仿宋_GB2312" w:hAnsi="仿宋_GB2312"/>
          <w:color w:val="auto"/>
          <w:spacing w:val="0"/>
          <w:kern w:val="21"/>
          <w:sz w:val="32"/>
          <w:szCs w:val="32"/>
        </w:rPr>
        <w:t>上，</w:t>
      </w:r>
      <w:r>
        <w:rPr>
          <w:rFonts w:hint="eastAsia" w:ascii="仿宋_GB2312" w:hAnsi="仿宋_GB2312" w:eastAsia="仿宋_GB2312" w:cs="仿宋_GB2312"/>
          <w:b w:val="0"/>
          <w:bCs/>
          <w:color w:val="auto"/>
          <w:spacing w:val="0"/>
          <w:kern w:val="21"/>
          <w:sz w:val="32"/>
          <w:szCs w:val="32"/>
        </w:rPr>
        <w:t>坚持兴业富民强市相统一，促进传统优势产业转型升级，有选择地发展战略性新兴产业，有重点地超前谋划布局未来产业，着力做优做强做大“7+25”现代产业链群，加快构建以先进制造业为骨干的现代化产业体系。</w:t>
      </w:r>
    </w:p>
    <w:p w14:paraId="596CD21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仿宋_GB2312" w:hAnsi="仿宋_GB2312"/>
          <w:color w:val="auto"/>
          <w:spacing w:val="0"/>
          <w:kern w:val="21"/>
          <w:sz w:val="32"/>
          <w:szCs w:val="32"/>
        </w:rPr>
      </w:pPr>
      <w:bookmarkStart w:id="22" w:name="_Toc16344"/>
      <w:bookmarkStart w:id="23" w:name="_Toc29876"/>
      <w:bookmarkStart w:id="24" w:name="_Toc27623"/>
    </w:p>
    <w:p w14:paraId="7292B88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第六章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持续发力“稳控转”做强工业经济</w:t>
      </w:r>
      <w:bookmarkEnd w:id="22"/>
      <w:bookmarkEnd w:id="23"/>
      <w:bookmarkEnd w:id="24"/>
    </w:p>
    <w:p w14:paraId="361CB989">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s="仿宋_GB2312"/>
          <w:color w:val="auto"/>
          <w:spacing w:val="0"/>
          <w:kern w:val="21"/>
          <w:sz w:val="32"/>
          <w:szCs w:val="32"/>
        </w:rPr>
      </w:pPr>
    </w:p>
    <w:p w14:paraId="0C9AEB70">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s="仿宋_GB2312"/>
          <w:color w:val="auto"/>
          <w:spacing w:val="0"/>
          <w:kern w:val="21"/>
          <w:sz w:val="32"/>
          <w:szCs w:val="32"/>
        </w:rPr>
        <w:t>坚持“稳煤、扩油、增气、强电”并举，构建清洁低碳、安全高效的新型能源体系，稳住能源生产基本盘。协同推进优质产能释放和落后低效产能淘汰</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发挥多种能源资源组合优势，推动资源开采效能提升、资源转化链条延伸，</w:t>
      </w:r>
      <w:r>
        <w:rPr>
          <w:rFonts w:hint="eastAsia" w:ascii="仿宋_GB2312" w:hAnsi="仿宋_GB2312" w:cs="仿宋_GB2312"/>
          <w:color w:val="auto"/>
          <w:spacing w:val="0"/>
          <w:kern w:val="21"/>
          <w:sz w:val="32"/>
          <w:szCs w:val="32"/>
          <w:lang w:val="en-US" w:eastAsia="zh-CN"/>
        </w:rPr>
        <w:t>推进精细化工集中布局、</w:t>
      </w:r>
      <w:r>
        <w:rPr>
          <w:rFonts w:hint="eastAsia" w:ascii="仿宋_GB2312" w:hAnsi="仿宋_GB2312" w:cs="仿宋_GB2312"/>
          <w:color w:val="auto"/>
          <w:spacing w:val="-6"/>
          <w:kern w:val="21"/>
          <w:sz w:val="32"/>
          <w:szCs w:val="32"/>
          <w:lang w:val="en-US" w:eastAsia="zh-CN"/>
        </w:rPr>
        <w:t>集群发展。</w:t>
      </w:r>
      <w:r>
        <w:rPr>
          <w:rFonts w:hint="eastAsia" w:ascii="仿宋_GB2312" w:hAnsi="仿宋_GB2312" w:cs="仿宋_GB2312"/>
          <w:color w:val="auto"/>
          <w:spacing w:val="-6"/>
          <w:kern w:val="21"/>
          <w:sz w:val="32"/>
          <w:szCs w:val="32"/>
        </w:rPr>
        <w:t>加快实现从化石能源供给向清洁能源转变、能源利用向高端精细化工和高性能新型化工材料转变、能源资本运作向培育能源装备制造等非能产业转变、能源产业发展方式向集成融合转变</w:t>
      </w:r>
      <w:r>
        <w:rPr>
          <w:rFonts w:hint="eastAsia" w:ascii="仿宋_GB2312" w:hAnsi="仿宋_GB2312" w:cs="仿宋_GB2312"/>
          <w:color w:val="auto"/>
          <w:spacing w:val="0"/>
          <w:kern w:val="21"/>
          <w:sz w:val="32"/>
          <w:szCs w:val="32"/>
        </w:rPr>
        <w:t>。</w:t>
      </w:r>
    </w:p>
    <w:p w14:paraId="2C5B0355">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楷体_GB2312" w:hAnsi="楷体_GB2312" w:eastAsia="楷体_GB2312" w:cs="楷体_GB2312"/>
          <w:b w:val="0"/>
          <w:bCs w:val="0"/>
          <w:color w:val="auto"/>
          <w:spacing w:val="0"/>
          <w:kern w:val="21"/>
          <w:sz w:val="32"/>
          <w:szCs w:val="32"/>
        </w:rPr>
      </w:pPr>
    </w:p>
    <w:p w14:paraId="4D703C81">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第一节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石油生产及化工</w:t>
      </w:r>
    </w:p>
    <w:p w14:paraId="7E015960">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firstLineChars="200"/>
        <w:textAlignment w:val="auto"/>
        <w:rPr>
          <w:rFonts w:hint="eastAsia" w:ascii="仿宋_GB2312" w:hAnsi="仿宋_GB2312" w:cs="仿宋_GB2312"/>
          <w:color w:val="auto"/>
          <w:spacing w:val="0"/>
          <w:kern w:val="21"/>
          <w:sz w:val="32"/>
          <w:szCs w:val="32"/>
        </w:rPr>
      </w:pPr>
    </w:p>
    <w:p w14:paraId="79DE846B">
      <w:pPr>
        <w:keepNext w:val="0"/>
        <w:keepLines w:val="0"/>
        <w:pageBreakBefore w:val="0"/>
        <w:widowControl w:val="0"/>
        <w:kinsoku/>
        <w:wordWrap/>
        <w:overflowPunct w:val="0"/>
        <w:topLinePunct w:val="0"/>
        <w:autoSpaceDE/>
        <w:autoSpaceDN/>
        <w:bidi w:val="0"/>
        <w:adjustRightInd/>
        <w:snapToGrid/>
        <w:spacing w:before="60" w:afterAutospacing="0" w:line="576" w:lineRule="exact"/>
        <w:ind w:left="0" w:firstLine="640" w:firstLineChars="20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坚持常非并举、新老并重，强化剩余油分布研究和老</w:t>
      </w:r>
      <w:r>
        <w:rPr>
          <w:rFonts w:hint="eastAsia" w:ascii="仿宋_GB2312" w:hAnsi="仿宋_GB2312" w:cs="仿宋_GB2312"/>
          <w:color w:val="auto"/>
          <w:spacing w:val="0"/>
          <w:kern w:val="21"/>
          <w:sz w:val="32"/>
          <w:szCs w:val="32"/>
          <w:lang w:val="en-US" w:eastAsia="zh-CN"/>
        </w:rPr>
        <w:t>油</w:t>
      </w:r>
      <w:r>
        <w:rPr>
          <w:rFonts w:hint="eastAsia" w:ascii="仿宋_GB2312" w:hAnsi="仿宋_GB2312" w:cs="仿宋_GB2312"/>
          <w:color w:val="auto"/>
          <w:spacing w:val="0"/>
          <w:kern w:val="21"/>
          <w:sz w:val="32"/>
          <w:szCs w:val="32"/>
        </w:rPr>
        <w:t>区调整，</w:t>
      </w:r>
      <w:r>
        <w:rPr>
          <w:rFonts w:hint="eastAsia" w:ascii="仿宋_GB2312" w:hAnsi="仿宋_GB2312" w:cs="仿宋_GB2312"/>
          <w:color w:val="auto"/>
          <w:spacing w:val="0"/>
          <w:kern w:val="21"/>
          <w:sz w:val="32"/>
          <w:szCs w:val="32"/>
          <w:lang w:val="en-US" w:eastAsia="zh-CN"/>
        </w:rPr>
        <w:t>积极寻找原油增量板块，</w:t>
      </w:r>
      <w:r>
        <w:rPr>
          <w:rFonts w:hint="eastAsia" w:ascii="仿宋_GB2312" w:hAnsi="仿宋_GB2312" w:cs="仿宋_GB2312"/>
          <w:color w:val="auto"/>
          <w:spacing w:val="0"/>
          <w:kern w:val="21"/>
          <w:sz w:val="32"/>
          <w:szCs w:val="32"/>
        </w:rPr>
        <w:t>加大志丹、安塞、吴起</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子长</w:t>
      </w:r>
      <w:r>
        <w:rPr>
          <w:rFonts w:hint="eastAsia" w:ascii="仿宋_GB2312" w:hAnsi="仿宋_GB2312" w:cs="仿宋_GB2312"/>
          <w:color w:val="auto"/>
          <w:spacing w:val="0"/>
          <w:kern w:val="21"/>
          <w:sz w:val="32"/>
          <w:szCs w:val="32"/>
        </w:rPr>
        <w:t>等老油区滚动扩边勘探和精细勘探，持续攻关页岩油关键技术，</w:t>
      </w:r>
      <w:r>
        <w:rPr>
          <w:rFonts w:hint="eastAsia" w:ascii="仿宋_GB2312" w:hAnsi="仿宋_GB2312" w:cs="仿宋_GB2312"/>
          <w:color w:val="auto"/>
          <w:spacing w:val="0"/>
          <w:kern w:val="21"/>
          <w:sz w:val="32"/>
          <w:szCs w:val="32"/>
          <w:lang w:val="en-US" w:eastAsia="zh-CN"/>
        </w:rPr>
        <w:t>加快</w:t>
      </w:r>
      <w:r>
        <w:rPr>
          <w:rFonts w:hint="eastAsia" w:ascii="仿宋_GB2312" w:hAnsi="仿宋_GB2312" w:cs="仿宋_GB2312"/>
          <w:color w:val="auto"/>
          <w:spacing w:val="0"/>
          <w:kern w:val="21"/>
          <w:sz w:val="32"/>
          <w:szCs w:val="32"/>
          <w:highlight w:val="none"/>
        </w:rPr>
        <w:t>志丹、甘泉、富县等区域页岩油勘探开发，扩大航油等优质高端油品生产供应。“十五五”</w:t>
      </w:r>
      <w:r>
        <w:rPr>
          <w:rFonts w:hint="eastAsia" w:ascii="仿宋_GB2312" w:hAnsi="仿宋_GB2312" w:cs="仿宋_GB2312"/>
          <w:color w:val="auto"/>
          <w:spacing w:val="0"/>
          <w:kern w:val="21"/>
          <w:sz w:val="32"/>
          <w:szCs w:val="32"/>
          <w:highlight w:val="none"/>
          <w:lang w:val="en-US" w:eastAsia="zh-CN"/>
        </w:rPr>
        <w:t>期间</w:t>
      </w:r>
      <w:r>
        <w:rPr>
          <w:rFonts w:hint="eastAsia" w:ascii="仿宋_GB2312" w:hAnsi="仿宋_GB2312" w:cs="仿宋_GB2312"/>
          <w:color w:val="auto"/>
          <w:spacing w:val="0"/>
          <w:kern w:val="21"/>
          <w:sz w:val="32"/>
          <w:szCs w:val="32"/>
          <w:highlight w:val="none"/>
        </w:rPr>
        <w:t>，</w:t>
      </w:r>
      <w:r>
        <w:rPr>
          <w:rFonts w:hint="eastAsia" w:ascii="仿宋_GB2312" w:hAnsi="仿宋_GB2312"/>
          <w:color w:val="auto"/>
          <w:spacing w:val="0"/>
          <w:kern w:val="21"/>
          <w:sz w:val="32"/>
          <w:szCs w:val="32"/>
          <w:highlight w:val="none"/>
        </w:rPr>
        <w:t>原油产量稳定在1400万吨左右。</w:t>
      </w:r>
      <w:r>
        <w:rPr>
          <w:rFonts w:hint="eastAsia" w:ascii="仿宋_GB2312" w:hAnsi="仿宋_GB2312" w:cs="仿宋_GB2312"/>
          <w:color w:val="auto"/>
          <w:spacing w:val="0"/>
          <w:kern w:val="21"/>
          <w:sz w:val="32"/>
          <w:szCs w:val="32"/>
          <w:highlight w:val="none"/>
          <w:lang w:val="en-US" w:eastAsia="zh-CN"/>
        </w:rPr>
        <w:t>推动</w:t>
      </w:r>
      <w:r>
        <w:rPr>
          <w:rFonts w:hint="eastAsia" w:ascii="仿宋_GB2312" w:hAnsi="仿宋_GB2312" w:cs="仿宋_GB2312"/>
          <w:color w:val="auto"/>
          <w:spacing w:val="0"/>
          <w:kern w:val="21"/>
          <w:sz w:val="32"/>
          <w:szCs w:val="32"/>
          <w:highlight w:val="none"/>
        </w:rPr>
        <w:t>建设延长石油1000万吨/年炼化一体化</w:t>
      </w:r>
      <w:r>
        <w:rPr>
          <w:rFonts w:hint="eastAsia" w:ascii="仿宋_GB2312" w:hAnsi="仿宋_GB2312" w:cs="仿宋_GB2312"/>
          <w:color w:val="auto"/>
          <w:spacing w:val="0"/>
          <w:kern w:val="21"/>
          <w:sz w:val="32"/>
          <w:szCs w:val="32"/>
          <w:highlight w:val="none"/>
          <w:lang w:val="en-US" w:eastAsia="zh-CN"/>
        </w:rPr>
        <w:t>项目</w:t>
      </w:r>
      <w:r>
        <w:rPr>
          <w:rFonts w:hint="eastAsia" w:ascii="仿宋_GB2312" w:hAnsi="仿宋_GB2312" w:cs="仿宋_GB2312"/>
          <w:color w:val="auto"/>
          <w:spacing w:val="0"/>
          <w:kern w:val="21"/>
          <w:sz w:val="32"/>
          <w:szCs w:val="32"/>
          <w:highlight w:val="none"/>
        </w:rPr>
        <w:t>，形</w:t>
      </w:r>
      <w:r>
        <w:rPr>
          <w:rFonts w:hint="eastAsia" w:ascii="仿宋_GB2312" w:hAnsi="仿宋_GB2312" w:cs="仿宋_GB2312"/>
          <w:color w:val="auto"/>
          <w:spacing w:val="0"/>
          <w:kern w:val="21"/>
          <w:sz w:val="32"/>
          <w:szCs w:val="32"/>
        </w:rPr>
        <w:t>成炼油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烯烃</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高端烯烃的石油化工产业链。依托煤油气资源综合利用项目，</w:t>
      </w:r>
      <w:r>
        <w:rPr>
          <w:rFonts w:hint="eastAsia" w:ascii="仿宋_GB2312" w:hAnsi="仿宋_GB2312" w:cs="仿宋_GB2312"/>
          <w:color w:val="auto"/>
          <w:spacing w:val="0"/>
          <w:kern w:val="21"/>
          <w:sz w:val="32"/>
          <w:szCs w:val="32"/>
          <w:lang w:val="en-US" w:eastAsia="zh-CN"/>
        </w:rPr>
        <w:t>谋划</w:t>
      </w:r>
      <w:r>
        <w:rPr>
          <w:rFonts w:hint="eastAsia" w:ascii="仿宋_GB2312" w:hAnsi="仿宋_GB2312" w:cs="仿宋_GB2312"/>
          <w:color w:val="auto"/>
          <w:spacing w:val="0"/>
          <w:kern w:val="21"/>
          <w:sz w:val="32"/>
          <w:szCs w:val="32"/>
        </w:rPr>
        <w:t>推进煤油气化工的烯烃、纤维产品、丁苯橡胶原料及聚酯原料，向石墨烯、碳纤维、聚烯烃弹性体等高端方向发展，延伸发展高端化工新材料、可降解塑料制品等精细化工。推进</w:t>
      </w:r>
      <w:r>
        <w:rPr>
          <w:rFonts w:hint="eastAsia" w:ascii="仿宋_GB2312" w:hAnsi="仿宋_GB2312" w:cs="仿宋_GB2312"/>
          <w:color w:val="auto"/>
          <w:spacing w:val="0"/>
          <w:kern w:val="21"/>
          <w:sz w:val="32"/>
          <w:szCs w:val="32"/>
          <w:lang w:val="en-US" w:eastAsia="zh-CN"/>
        </w:rPr>
        <w:t>富县</w:t>
      </w:r>
      <w:r>
        <w:rPr>
          <w:rFonts w:hint="eastAsia" w:ascii="仿宋_GB2312" w:hAnsi="仿宋_GB2312" w:cs="仿宋_GB2312"/>
          <w:color w:val="auto"/>
          <w:spacing w:val="0"/>
          <w:kern w:val="21"/>
          <w:sz w:val="32"/>
          <w:szCs w:val="32"/>
        </w:rPr>
        <w:t>延</w:t>
      </w:r>
      <w:r>
        <w:rPr>
          <w:rFonts w:hint="eastAsia" w:ascii="仿宋_GB2312" w:hAnsi="仿宋_GB2312" w:cs="仿宋_GB2312"/>
          <w:color w:val="auto"/>
          <w:spacing w:val="0"/>
          <w:kern w:val="21"/>
          <w:sz w:val="32"/>
          <w:szCs w:val="32"/>
          <w:lang w:val="en-US" w:eastAsia="zh-CN"/>
        </w:rPr>
        <w:t>安</w:t>
      </w:r>
      <w:r>
        <w:rPr>
          <w:rFonts w:hint="eastAsia" w:ascii="仿宋_GB2312" w:hAnsi="仿宋_GB2312" w:cs="仿宋_GB2312"/>
          <w:color w:val="auto"/>
          <w:spacing w:val="0"/>
          <w:kern w:val="21"/>
          <w:sz w:val="32"/>
          <w:szCs w:val="32"/>
        </w:rPr>
        <w:t>能化“三羰三材”专精特新等延链补链强链项目，推动产业结构优化升级。利用乙烯、丙烯、丁烯等自产原料，发展甲基丙烯酸甲酯、聚甲基丙烯酸甲酯、乙丙橡胶等产品。</w:t>
      </w:r>
    </w:p>
    <w:p w14:paraId="239723AD">
      <w:pPr>
        <w:pStyle w:val="2"/>
        <w:keepNext w:val="0"/>
        <w:keepLines w:val="0"/>
        <w:pageBreakBefore w:val="0"/>
        <w:widowControl w:val="0"/>
        <w:kinsoku/>
        <w:wordWrap/>
        <w:overflowPunct/>
        <w:topLinePunct w:val="0"/>
        <w:autoSpaceDE/>
        <w:autoSpaceDN/>
        <w:bidi w:val="0"/>
        <w:adjustRightInd/>
        <w:snapToGrid/>
        <w:spacing w:line="60" w:lineRule="exact"/>
        <w:textAlignment w:val="auto"/>
        <w:rPr>
          <w:rFonts w:hint="eastAsia"/>
          <w:color w:val="auto"/>
        </w:rPr>
      </w:pPr>
    </w:p>
    <w:tbl>
      <w:tblPr>
        <w:tblStyle w:val="17"/>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14:paraId="34B1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760" w:type="dxa"/>
            <w:vAlign w:val="center"/>
          </w:tcPr>
          <w:p w14:paraId="2E33FFF7">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专栏1 石油化工产业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34BD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760" w:type="dxa"/>
            <w:vAlign w:val="center"/>
          </w:tcPr>
          <w:p w14:paraId="0E61962E">
            <w:pPr>
              <w:keepNext w:val="0"/>
              <w:keepLines w:val="0"/>
              <w:pageBreakBefore w:val="0"/>
              <w:widowControl w:val="0"/>
              <w:kinsoku/>
              <w:wordWrap/>
              <w:overflowPunct w:val="0"/>
              <w:topLinePunct w:val="0"/>
              <w:autoSpaceDE/>
              <w:autoSpaceDN/>
              <w:bidi w:val="0"/>
              <w:adjustRightInd/>
              <w:snapToGrid w:val="0"/>
              <w:spacing w:afterAutospacing="0" w:line="440" w:lineRule="exact"/>
              <w:ind w:left="0" w:firstLine="0"/>
              <w:jc w:val="both"/>
              <w:textAlignment w:val="auto"/>
              <w:rPr>
                <w:rFonts w:hint="default" w:ascii="仿宋_GB2312" w:hAnsi="仿宋_GB2312" w:cs="仿宋_GB2312"/>
                <w:color w:val="auto"/>
                <w:spacing w:val="0"/>
                <w:kern w:val="21"/>
                <w:sz w:val="30"/>
                <w:szCs w:val="30"/>
                <w:highlight w:val="none"/>
                <w:u w:val="none"/>
                <w:lang w:val="en-US" w:eastAsia="zh-CN"/>
              </w:rPr>
            </w:pPr>
            <w:r>
              <w:rPr>
                <w:rFonts w:hint="eastAsia" w:ascii="宋体" w:hAnsi="宋体" w:eastAsia="宋体" w:cs="宋体"/>
                <w:color w:val="auto"/>
                <w:spacing w:val="0"/>
                <w:kern w:val="21"/>
                <w:sz w:val="22"/>
                <w:szCs w:val="22"/>
                <w:highlight w:val="none"/>
                <w:u w:val="none"/>
              </w:rPr>
              <w:t>重点实施延长石油原油产能提升工程、</w:t>
            </w:r>
            <w:r>
              <w:rPr>
                <w:rFonts w:hint="eastAsia" w:ascii="宋体" w:hAnsi="宋体" w:eastAsia="宋体" w:cs="宋体"/>
                <w:color w:val="auto"/>
                <w:spacing w:val="0"/>
                <w:kern w:val="21"/>
                <w:sz w:val="22"/>
                <w:szCs w:val="22"/>
                <w:highlight w:val="none"/>
                <w:u w:val="none"/>
                <w:lang w:val="en-US" w:eastAsia="zh-CN"/>
              </w:rPr>
              <w:t>中石油</w:t>
            </w:r>
            <w:r>
              <w:rPr>
                <w:rFonts w:hint="eastAsia" w:ascii="宋体" w:hAnsi="宋体" w:eastAsia="宋体" w:cs="宋体"/>
                <w:color w:val="auto"/>
                <w:spacing w:val="0"/>
                <w:kern w:val="21"/>
                <w:sz w:val="22"/>
                <w:szCs w:val="22"/>
                <w:highlight w:val="none"/>
                <w:u w:val="none"/>
              </w:rPr>
              <w:t>长庆油田原油产能提升工程、中石化</w:t>
            </w:r>
            <w:r>
              <w:rPr>
                <w:rFonts w:hint="eastAsia" w:ascii="宋体" w:hAnsi="宋体" w:eastAsia="宋体" w:cs="宋体"/>
                <w:color w:val="auto"/>
                <w:spacing w:val="0"/>
                <w:kern w:val="21"/>
                <w:sz w:val="22"/>
                <w:szCs w:val="22"/>
                <w:highlight w:val="none"/>
                <w:u w:val="none"/>
                <w:lang w:val="en-US" w:eastAsia="zh-CN"/>
              </w:rPr>
              <w:t>铜川油气开发</w:t>
            </w:r>
            <w:r>
              <w:rPr>
                <w:rFonts w:hint="eastAsia" w:ascii="宋体" w:hAnsi="宋体" w:eastAsia="宋体" w:cs="宋体"/>
                <w:color w:val="auto"/>
                <w:spacing w:val="0"/>
                <w:kern w:val="21"/>
                <w:sz w:val="22"/>
                <w:szCs w:val="22"/>
                <w:highlight w:val="none"/>
                <w:u w:val="none"/>
              </w:rPr>
              <w:t>产能建设工程、延长石油1000万吨/年炼化一体化、富县延安能化“三羰三材”专精特新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ACO装置技改、2.5万吨/年乙丙橡胶、5万吨/年MTBE</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等项目。</w:t>
            </w:r>
          </w:p>
        </w:tc>
      </w:tr>
    </w:tbl>
    <w:p w14:paraId="06010BD4">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6CB740B5">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第二节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天然气/伴生气综合利用</w:t>
      </w:r>
    </w:p>
    <w:p w14:paraId="5F3CF9DC">
      <w:pPr>
        <w:keepNext w:val="0"/>
        <w:keepLines w:val="0"/>
        <w:pageBreakBefore w:val="0"/>
        <w:widowControl w:val="0"/>
        <w:kinsoku/>
        <w:wordWrap/>
        <w:overflowPunct w:val="0"/>
        <w:topLinePunct w:val="0"/>
        <w:autoSpaceDE/>
        <w:autoSpaceDN/>
        <w:bidi w:val="0"/>
        <w:adjustRightInd/>
        <w:snapToGrid/>
        <w:spacing w:afterAutospacing="0"/>
        <w:ind w:left="0" w:firstLine="640"/>
        <w:textAlignment w:val="auto"/>
        <w:rPr>
          <w:rFonts w:hint="eastAsia" w:ascii="仿宋_GB2312" w:hAnsi="仿宋_GB2312" w:cs="仿宋_GB2312"/>
          <w:color w:val="auto"/>
          <w:spacing w:val="0"/>
          <w:kern w:val="21"/>
          <w:sz w:val="32"/>
          <w:szCs w:val="32"/>
        </w:rPr>
      </w:pPr>
    </w:p>
    <w:p w14:paraId="5DD8F4AB">
      <w:pPr>
        <w:keepNext w:val="0"/>
        <w:keepLines w:val="0"/>
        <w:pageBreakBefore w:val="0"/>
        <w:widowControl w:val="0"/>
        <w:kinsoku/>
        <w:wordWrap/>
        <w:overflowPunct w:val="0"/>
        <w:topLinePunct w:val="0"/>
        <w:autoSpaceDE/>
        <w:autoSpaceDN/>
        <w:bidi w:val="0"/>
        <w:adjustRightInd/>
        <w:snapToGrid/>
        <w:spacing w:afterAutospacing="0"/>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推进延河流域东坡天然气主力产区产能释放，加快白于山区边缘天然气勘探开发，加大致密气、页岩气、煤层气立体开发力度，推动煤系地层多气综合勘探，大力推进洛河中游非常规天然气开发。持续扩大LNG生产，加快LNG提氦项目建设，实现延长石油在延LNG项目提氦装置全覆盖。到“十五五”末，</w:t>
      </w:r>
      <w:r>
        <w:rPr>
          <w:rFonts w:hint="eastAsia" w:ascii="仿宋_GB2312" w:hAnsi="仿宋_GB2312"/>
          <w:color w:val="auto"/>
          <w:spacing w:val="0"/>
          <w:kern w:val="21"/>
          <w:sz w:val="32"/>
          <w:szCs w:val="32"/>
        </w:rPr>
        <w:t>天然气和LNG产量分别达到160亿立方米、</w:t>
      </w:r>
      <w:r>
        <w:rPr>
          <w:rFonts w:hint="eastAsia" w:ascii="仿宋_GB2312" w:hAnsi="仿宋_GB2312"/>
          <w:color w:val="auto"/>
          <w:spacing w:val="0"/>
          <w:kern w:val="21"/>
          <w:sz w:val="32"/>
          <w:szCs w:val="32"/>
          <w:highlight w:val="none"/>
        </w:rPr>
        <w:t>300万吨</w:t>
      </w:r>
      <w:r>
        <w:rPr>
          <w:rFonts w:hint="eastAsia" w:ascii="仿宋_GB2312" w:hAnsi="仿宋_GB2312"/>
          <w:color w:val="auto"/>
          <w:spacing w:val="0"/>
          <w:kern w:val="21"/>
          <w:sz w:val="32"/>
          <w:szCs w:val="32"/>
        </w:rPr>
        <w:t>。加强天然气综合利用，</w:t>
      </w:r>
      <w:r>
        <w:rPr>
          <w:rFonts w:hint="eastAsia" w:ascii="仿宋_GB2312" w:hAnsi="仿宋_GB2312" w:cs="仿宋_GB2312"/>
          <w:color w:val="auto"/>
          <w:spacing w:val="0"/>
          <w:kern w:val="21"/>
          <w:sz w:val="32"/>
          <w:szCs w:val="32"/>
        </w:rPr>
        <w:t>重点发展伴生气—乙炔—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1</w:t>
      </w:r>
      <w:r>
        <w:rPr>
          <w:rFonts w:hint="eastAsia" w:ascii="仿宋_GB2312" w:hAnsi="仿宋_GB2312" w:cs="仿宋_GB2312"/>
          <w:color w:val="auto"/>
          <w:spacing w:val="0"/>
          <w:kern w:val="21"/>
          <w:sz w:val="32"/>
          <w:szCs w:val="32"/>
          <w:lang w:val="en-US" w:eastAsia="zh-CN"/>
        </w:rPr>
        <w:t>,</w:t>
      </w:r>
      <w:r>
        <w:rPr>
          <w:rFonts w:hint="eastAsia" w:ascii="仿宋_GB2312" w:hAnsi="仿宋_GB2312" w:cs="仿宋_GB2312"/>
          <w:color w:val="auto"/>
          <w:spacing w:val="0"/>
          <w:kern w:val="21"/>
          <w:sz w:val="32"/>
          <w:szCs w:val="32"/>
        </w:rPr>
        <w:t>4-丁二醇</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—聚四氢呋喃、伴生气—甲醇—甲醛等路径。</w:t>
      </w:r>
    </w:p>
    <w:p w14:paraId="7216906B">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57BC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4" w:type="dxa"/>
            <w:vAlign w:val="center"/>
          </w:tcPr>
          <w:p w14:paraId="579E1B15">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专栏2 天然气/伴生气综合利用产业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522F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3" w:hRule="atLeast"/>
          <w:jc w:val="center"/>
        </w:trPr>
        <w:tc>
          <w:tcPr>
            <w:tcW w:w="8504" w:type="dxa"/>
            <w:vAlign w:val="center"/>
          </w:tcPr>
          <w:p w14:paraId="14EFEB8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天然气/伴生气开采重点项目。</w:t>
            </w:r>
            <w:r>
              <w:rPr>
                <w:rFonts w:hint="eastAsia" w:ascii="宋体" w:hAnsi="宋体" w:eastAsia="宋体" w:cs="宋体"/>
                <w:color w:val="auto"/>
                <w:spacing w:val="0"/>
                <w:kern w:val="21"/>
                <w:sz w:val="22"/>
                <w:szCs w:val="22"/>
                <w:highlight w:val="none"/>
                <w:u w:val="none"/>
              </w:rPr>
              <w:t>重点实施中石油长庆天然气产能建设、中石油煤层气宜川区块高18井区产能建设、中石油辽河油田宜川产能建设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中石化华东临汾公司天然气产能建设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延长石油延安气田勘探、延安气田新建50亿方/年天然气产能勘探及产能建设、已建150亿方/年天然气产能稳产</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中石油煤层气延川</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黄龙</w:t>
            </w:r>
            <w:r>
              <w:rPr>
                <w:rFonts w:hint="eastAsia" w:ascii="宋体" w:hAnsi="宋体" w:eastAsia="宋体" w:cs="宋体"/>
                <w:color w:val="auto"/>
                <w:spacing w:val="0"/>
                <w:kern w:val="21"/>
                <w:sz w:val="22"/>
                <w:szCs w:val="22"/>
                <w:highlight w:val="none"/>
                <w:u w:val="none"/>
              </w:rPr>
              <w:t>区块勘探评价等项目。</w:t>
            </w:r>
          </w:p>
          <w:p w14:paraId="77E591F2">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default" w:ascii="仿宋_GB2312" w:hAnsi="仿宋_GB2312" w:eastAsia="仿宋_GB2312" w:cs="仿宋_GB2312"/>
                <w:strike w:val="0"/>
                <w:dstrike w:val="0"/>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综合利用重点项目。</w:t>
            </w:r>
            <w:r>
              <w:rPr>
                <w:rFonts w:hint="eastAsia" w:ascii="宋体" w:hAnsi="宋体" w:eastAsia="宋体" w:cs="宋体"/>
                <w:color w:val="auto"/>
                <w:spacing w:val="0"/>
                <w:kern w:val="21"/>
                <w:sz w:val="22"/>
                <w:szCs w:val="22"/>
                <w:highlight w:val="none"/>
                <w:u w:val="none"/>
              </w:rPr>
              <w:t>重点实施宜川县牛家佃化工园区天然气综合加工利用、</w:t>
            </w:r>
            <w:r>
              <w:rPr>
                <w:rFonts w:hint="eastAsia" w:ascii="宋体" w:hAnsi="宋体" w:eastAsia="宋体" w:cs="宋体"/>
                <w:color w:val="auto"/>
                <w:spacing w:val="0"/>
                <w:kern w:val="21"/>
                <w:sz w:val="22"/>
                <w:szCs w:val="22"/>
                <w:highlight w:val="none"/>
                <w:u w:val="none"/>
                <w:lang w:val="en-US" w:eastAsia="zh-CN"/>
              </w:rPr>
              <w:t>志丹县天然气液化、</w:t>
            </w:r>
            <w:r>
              <w:rPr>
                <w:rFonts w:hint="eastAsia" w:ascii="宋体" w:hAnsi="宋体" w:eastAsia="宋体" w:cs="宋体"/>
                <w:color w:val="auto"/>
                <w:spacing w:val="0"/>
                <w:kern w:val="21"/>
                <w:sz w:val="22"/>
                <w:szCs w:val="22"/>
                <w:highlight w:val="none"/>
                <w:u w:val="none"/>
              </w:rPr>
              <w:t>志丹县30万吨混烃技改</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黄陵东湾伴生气综合利用</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宝塔区延长石油储气调峰和LNG、</w:t>
            </w:r>
            <w:r>
              <w:rPr>
                <w:rFonts w:hint="eastAsia" w:ascii="宋体" w:hAnsi="宋体" w:eastAsia="宋体" w:cs="宋体"/>
                <w:color w:val="auto"/>
                <w:spacing w:val="0"/>
                <w:kern w:val="21"/>
                <w:sz w:val="22"/>
                <w:szCs w:val="22"/>
                <w:highlight w:val="none"/>
                <w:u w:val="none"/>
              </w:rPr>
              <w:t>安塞区年产10万吨LNG建设及天然气生物质蛋白</w:t>
            </w:r>
            <w:r>
              <w:rPr>
                <w:rFonts w:hint="eastAsia" w:ascii="宋体" w:hAnsi="宋体" w:eastAsia="宋体" w:cs="宋体"/>
                <w:color w:val="auto"/>
                <w:spacing w:val="0"/>
                <w:kern w:val="21"/>
                <w:sz w:val="22"/>
                <w:szCs w:val="22"/>
                <w:highlight w:val="none"/>
                <w:u w:val="none"/>
                <w:lang w:val="en-US" w:eastAsia="zh-CN"/>
              </w:rPr>
              <w:t>制</w:t>
            </w:r>
            <w:r>
              <w:rPr>
                <w:rFonts w:hint="eastAsia" w:ascii="宋体" w:hAnsi="宋体" w:eastAsia="宋体" w:cs="宋体"/>
                <w:color w:val="auto"/>
                <w:spacing w:val="0"/>
                <w:kern w:val="21"/>
                <w:sz w:val="22"/>
                <w:szCs w:val="22"/>
                <w:highlight w:val="none"/>
                <w:u w:val="none"/>
              </w:rPr>
              <w:t>取、安塞区天然气综合利用、子长市枣树畔伴生气综合利用等项目。</w:t>
            </w:r>
          </w:p>
        </w:tc>
      </w:tr>
    </w:tbl>
    <w:p w14:paraId="5403908E">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66679A21">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第三节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煤炭生产及化工</w:t>
      </w:r>
    </w:p>
    <w:p w14:paraId="618526B0">
      <w:pPr>
        <w:keepNext w:val="0"/>
        <w:keepLines w:val="0"/>
        <w:pageBreakBefore w:val="0"/>
        <w:widowControl w:val="0"/>
        <w:kinsoku/>
        <w:wordWrap/>
        <w:overflowPunct w:val="0"/>
        <w:topLinePunct w:val="0"/>
        <w:autoSpaceDE/>
        <w:autoSpaceDN/>
        <w:bidi w:val="0"/>
        <w:adjustRightInd/>
        <w:snapToGrid/>
        <w:spacing w:afterAutospacing="0" w:line="580" w:lineRule="exact"/>
        <w:ind w:left="0" w:firstLine="640"/>
        <w:textAlignment w:val="auto"/>
        <w:rPr>
          <w:rFonts w:hint="eastAsia" w:ascii="仿宋_GB2312" w:hAnsi="仿宋_GB2312" w:cs="仿宋_GB2312"/>
          <w:color w:val="auto"/>
          <w:spacing w:val="0"/>
          <w:kern w:val="21"/>
          <w:sz w:val="32"/>
          <w:szCs w:val="32"/>
        </w:rPr>
      </w:pPr>
    </w:p>
    <w:p w14:paraId="426C01AD">
      <w:pPr>
        <w:keepNext w:val="0"/>
        <w:keepLines w:val="0"/>
        <w:pageBreakBefore w:val="0"/>
        <w:widowControl w:val="0"/>
        <w:kinsoku/>
        <w:wordWrap/>
        <w:overflowPunct w:val="0"/>
        <w:topLinePunct w:val="0"/>
        <w:autoSpaceDE/>
        <w:autoSpaceDN/>
        <w:bidi w:val="0"/>
        <w:adjustRightInd/>
        <w:snapToGrid/>
        <w:spacing w:afterAutospacing="0" w:line="580"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强化资源勘探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摸清</w:t>
      </w:r>
      <w:r>
        <w:rPr>
          <w:rFonts w:hint="eastAsia" w:ascii="仿宋_GB2312" w:hAnsi="仿宋_GB2312" w:cs="仿宋_GB2312"/>
          <w:color w:val="auto"/>
          <w:spacing w:val="0"/>
          <w:kern w:val="21"/>
          <w:sz w:val="32"/>
          <w:szCs w:val="32"/>
          <w:lang w:val="en-US" w:eastAsia="zh-CN"/>
        </w:rPr>
        <w:t>全市煤炭资源</w:t>
      </w:r>
      <w:r>
        <w:rPr>
          <w:rFonts w:hint="eastAsia" w:ascii="仿宋_GB2312" w:hAnsi="仿宋_GB2312" w:cs="仿宋_GB2312"/>
          <w:color w:val="auto"/>
          <w:spacing w:val="0"/>
          <w:kern w:val="21"/>
          <w:sz w:val="32"/>
          <w:szCs w:val="32"/>
        </w:rPr>
        <w:t>“家底”。加快子长矿区总体规划</w:t>
      </w:r>
      <w:r>
        <w:rPr>
          <w:rFonts w:hint="eastAsia" w:ascii="仿宋_GB2312" w:hAnsi="仿宋_GB2312" w:cs="仿宋_GB2312"/>
          <w:color w:val="auto"/>
          <w:spacing w:val="0"/>
          <w:kern w:val="21"/>
          <w:sz w:val="32"/>
          <w:szCs w:val="32"/>
          <w:highlight w:val="none"/>
        </w:rPr>
        <w:t>新增</w:t>
      </w:r>
      <w:r>
        <w:rPr>
          <w:rFonts w:hint="eastAsia" w:ascii="仿宋_GB2312" w:hAnsi="仿宋_GB2312" w:cs="仿宋_GB2312"/>
          <w:color w:val="auto"/>
          <w:spacing w:val="0"/>
          <w:kern w:val="21"/>
          <w:sz w:val="32"/>
          <w:szCs w:val="32"/>
          <w:highlight w:val="none"/>
          <w:lang w:val="en-US" w:eastAsia="zh-CN"/>
        </w:rPr>
        <w:t>的</w:t>
      </w:r>
      <w:r>
        <w:rPr>
          <w:rFonts w:hint="eastAsia" w:ascii="仿宋_GB2312" w:hAnsi="仿宋_GB2312" w:cs="仿宋_GB2312"/>
          <w:color w:val="auto"/>
          <w:spacing w:val="0"/>
          <w:kern w:val="21"/>
          <w:sz w:val="32"/>
          <w:szCs w:val="32"/>
          <w:highlight w:val="none"/>
        </w:rPr>
        <w:t>1380万吨产能</w:t>
      </w:r>
      <w:r>
        <w:rPr>
          <w:rFonts w:hint="eastAsia" w:ascii="仿宋_GB2312" w:hAnsi="仿宋_GB2312" w:cs="仿宋_GB2312"/>
          <w:color w:val="auto"/>
          <w:spacing w:val="0"/>
          <w:kern w:val="21"/>
          <w:sz w:val="32"/>
          <w:szCs w:val="32"/>
          <w:highlight w:val="none"/>
          <w:lang w:val="en-US" w:eastAsia="zh-CN"/>
        </w:rPr>
        <w:t>建设</w:t>
      </w:r>
      <w:r>
        <w:rPr>
          <w:rFonts w:hint="eastAsia" w:ascii="仿宋_GB2312" w:hAnsi="仿宋_GB2312" w:cs="仿宋_GB2312"/>
          <w:color w:val="auto"/>
          <w:spacing w:val="0"/>
          <w:kern w:val="21"/>
          <w:sz w:val="32"/>
          <w:szCs w:val="32"/>
          <w:highlight w:val="none"/>
          <w:lang w:eastAsia="zh-CN"/>
        </w:rPr>
        <w:t>。力争中庄井田、杨家山井田等煤矿建成投产。</w:t>
      </w:r>
      <w:r>
        <w:rPr>
          <w:rFonts w:hint="eastAsia" w:ascii="仿宋_GB2312" w:hAnsi="仿宋_GB2312" w:cs="仿宋_GB2312"/>
          <w:color w:val="auto"/>
          <w:spacing w:val="0"/>
          <w:kern w:val="21"/>
          <w:sz w:val="32"/>
          <w:szCs w:val="32"/>
          <w:highlight w:val="none"/>
        </w:rPr>
        <w:t>推动产能90万吨/年以下矿井极薄煤层开采工艺达到行业领先水平。坚持先气后煤原则，适时推动宜南矿区开发前期工作。到“十五五”末，全市煤炭产能</w:t>
      </w:r>
      <w:r>
        <w:rPr>
          <w:rFonts w:hint="eastAsia" w:ascii="仿宋_GB2312" w:hAnsi="仿宋_GB2312"/>
          <w:color w:val="auto"/>
          <w:spacing w:val="0"/>
          <w:kern w:val="21"/>
          <w:sz w:val="32"/>
          <w:szCs w:val="32"/>
          <w:highlight w:val="none"/>
        </w:rPr>
        <w:t>超8000万吨。</w:t>
      </w:r>
      <w:r>
        <w:rPr>
          <w:rFonts w:hint="eastAsia" w:ascii="仿宋_GB2312" w:hAnsi="仿宋_GB2312" w:cs="仿宋_GB2312"/>
          <w:color w:val="auto"/>
          <w:spacing w:val="0"/>
          <w:kern w:val="21"/>
          <w:sz w:val="32"/>
          <w:szCs w:val="32"/>
        </w:rPr>
        <w:t>以煤矿智能化升级引领绿色煤矿建设，推进煤矿智能化开采向智</w:t>
      </w:r>
      <w:r>
        <w:rPr>
          <w:rFonts w:hint="eastAsia" w:ascii="仿宋_GB2312" w:hAnsi="仿宋_GB2312" w:cs="仿宋_GB2312"/>
          <w:color w:val="auto"/>
          <w:spacing w:val="0"/>
          <w:kern w:val="21"/>
          <w:sz w:val="32"/>
          <w:szCs w:val="32"/>
          <w:highlight w:val="none"/>
        </w:rPr>
        <w:t>能化洗选延伸</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lang w:val="en-US" w:eastAsia="zh-CN"/>
        </w:rPr>
        <w:t>实现采掘智能化、洗选数字化、安全监测可视化</w:t>
      </w:r>
      <w:r>
        <w:rPr>
          <w:rFonts w:hint="eastAsia" w:ascii="仿宋_GB2312" w:hAnsi="仿宋_GB2312" w:cs="仿宋_GB2312"/>
          <w:color w:val="auto"/>
          <w:spacing w:val="0"/>
          <w:kern w:val="21"/>
          <w:sz w:val="32"/>
          <w:szCs w:val="32"/>
          <w:highlight w:val="none"/>
        </w:rPr>
        <w:t>。</w:t>
      </w:r>
      <w:r>
        <w:rPr>
          <w:rFonts w:hint="eastAsia" w:ascii="仿宋_GB2312" w:hAnsi="仿宋_GB2312" w:cs="仿宋_GB2312"/>
          <w:color w:val="auto"/>
          <w:spacing w:val="0"/>
          <w:kern w:val="21"/>
          <w:sz w:val="32"/>
          <w:szCs w:val="32"/>
          <w:lang w:val="en-US" w:eastAsia="zh-CN"/>
        </w:rPr>
        <w:t>发挥</w:t>
      </w:r>
      <w:r>
        <w:rPr>
          <w:rFonts w:hint="eastAsia" w:ascii="仿宋_GB2312" w:hAnsi="仿宋_GB2312" w:cs="仿宋_GB2312"/>
          <w:color w:val="auto"/>
          <w:spacing w:val="0"/>
          <w:kern w:val="21"/>
          <w:sz w:val="32"/>
          <w:szCs w:val="32"/>
        </w:rPr>
        <w:t>子长气煤资源在配焦、煤化工综合利用等方面的特种用途，申报稀缺煤种认定，打造延安特煤品牌。推进煤炭分级分质梯级利用，加快煤炭由燃料为主向原料和燃料并重转变，建成</w:t>
      </w:r>
      <w:r>
        <w:rPr>
          <w:rFonts w:hint="eastAsia" w:ascii="仿宋_GB2312" w:hAnsi="仿宋_GB2312" w:cs="仿宋_GB2312"/>
          <w:color w:val="auto"/>
          <w:spacing w:val="0"/>
          <w:kern w:val="21"/>
          <w:sz w:val="32"/>
          <w:szCs w:val="32"/>
          <w:lang w:val="en-US" w:eastAsia="zh-CN"/>
        </w:rPr>
        <w:t>宝塔区</w:t>
      </w:r>
      <w:r>
        <w:rPr>
          <w:rFonts w:hint="eastAsia" w:ascii="仿宋_GB2312" w:hAnsi="仿宋_GB2312" w:cs="仿宋_GB2312"/>
          <w:bCs/>
          <w:color w:val="auto"/>
          <w:spacing w:val="0"/>
          <w:kern w:val="21"/>
          <w:sz w:val="32"/>
          <w:szCs w:val="32"/>
        </w:rPr>
        <w:t>100万吨/年洗中煤多联产循环综合利用示范</w:t>
      </w:r>
      <w:r>
        <w:rPr>
          <w:rFonts w:hint="eastAsia" w:ascii="仿宋_GB2312" w:hAnsi="仿宋_GB2312" w:cs="仿宋_GB2312"/>
          <w:bCs/>
          <w:color w:val="auto"/>
          <w:spacing w:val="0"/>
          <w:kern w:val="21"/>
          <w:sz w:val="32"/>
          <w:szCs w:val="32"/>
          <w:lang w:val="en-US" w:eastAsia="zh-CN"/>
        </w:rPr>
        <w:t>项目</w:t>
      </w:r>
      <w:r>
        <w:rPr>
          <w:rFonts w:hint="eastAsia" w:ascii="仿宋_GB2312" w:hAnsi="仿宋_GB2312" w:cs="仿宋_GB2312"/>
          <w:color w:val="auto"/>
          <w:spacing w:val="0"/>
          <w:kern w:val="21"/>
          <w:sz w:val="32"/>
          <w:szCs w:val="32"/>
        </w:rPr>
        <w:t>，形成煤炭</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煤基燃油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钴基费托蜡</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下游产品的产业链。发展甲醇、醋酸、乙二醇、乙醇等下游产品，开发涂料、助剂等精细化工产品，</w:t>
      </w:r>
      <w:r>
        <w:rPr>
          <w:rFonts w:hint="eastAsia" w:ascii="仿宋_GB2312" w:hAnsi="仿宋_GB2312" w:cs="仿宋_GB2312"/>
          <w:color w:val="auto"/>
          <w:spacing w:val="0"/>
          <w:kern w:val="21"/>
          <w:sz w:val="32"/>
          <w:szCs w:val="32"/>
          <w:highlight w:val="none"/>
        </w:rPr>
        <w:t>丰富发展煤基特种燃料、煤基高端新材料</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rPr>
        <w:t>煤基生物可降解材料、高等级碳素材料等</w:t>
      </w:r>
      <w:r>
        <w:rPr>
          <w:rFonts w:hint="eastAsia" w:ascii="仿宋_GB2312" w:hAnsi="仿宋_GB2312" w:cs="仿宋_GB2312"/>
          <w:color w:val="auto"/>
          <w:spacing w:val="0"/>
          <w:kern w:val="21"/>
          <w:sz w:val="32"/>
          <w:szCs w:val="32"/>
        </w:rPr>
        <w:t>，因地制宜开展CCUS项目示范应用。</w:t>
      </w:r>
    </w:p>
    <w:p w14:paraId="4E805679">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tbl>
      <w:tblPr>
        <w:tblStyle w:val="17"/>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9"/>
      </w:tblGrid>
      <w:tr w14:paraId="2AFE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749" w:type="dxa"/>
            <w:vAlign w:val="center"/>
          </w:tcPr>
          <w:p w14:paraId="36EE8159">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color w:val="auto"/>
                <w:spacing w:val="0"/>
                <w:kern w:val="21"/>
                <w:sz w:val="30"/>
                <w:szCs w:val="30"/>
                <w:highlight w:val="none"/>
                <w:u w:val="none"/>
                <w:vertAlign w:val="baseline"/>
              </w:rPr>
            </w:pPr>
            <w:r>
              <w:rPr>
                <w:rFonts w:hint="eastAsia" w:ascii="黑体" w:hAnsi="黑体" w:eastAsia="黑体" w:cs="黑体"/>
                <w:b w:val="0"/>
                <w:bCs w:val="0"/>
                <w:color w:val="auto"/>
                <w:spacing w:val="0"/>
                <w:kern w:val="21"/>
                <w:sz w:val="25"/>
                <w:szCs w:val="25"/>
                <w:highlight w:val="none"/>
                <w:u w:val="none"/>
              </w:rPr>
              <w:t>专栏3 煤炭及煤化工产业重点项目</w:t>
            </w:r>
          </w:p>
        </w:tc>
      </w:tr>
      <w:tr w14:paraId="240E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8749" w:type="dxa"/>
            <w:vAlign w:val="center"/>
          </w:tcPr>
          <w:p w14:paraId="0EC3513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煤炭开采和洗选重点项目。</w:t>
            </w:r>
            <w:r>
              <w:rPr>
                <w:rFonts w:hint="eastAsia" w:ascii="宋体" w:hAnsi="宋体" w:eastAsia="宋体" w:cs="宋体"/>
                <w:color w:val="auto"/>
                <w:spacing w:val="0"/>
                <w:kern w:val="21"/>
                <w:sz w:val="22"/>
                <w:szCs w:val="22"/>
                <w:highlight w:val="none"/>
                <w:u w:val="none"/>
              </w:rPr>
              <w:t>加快子长矿区落地建设，</w:t>
            </w:r>
            <w:r>
              <w:rPr>
                <w:rFonts w:hint="eastAsia" w:ascii="宋体" w:hAnsi="宋体" w:eastAsia="宋体" w:cs="宋体"/>
                <w:color w:val="auto"/>
                <w:spacing w:val="0"/>
                <w:kern w:val="21"/>
                <w:sz w:val="22"/>
                <w:szCs w:val="22"/>
                <w:highlight w:val="none"/>
                <w:u w:val="none"/>
                <w:lang w:val="en-US" w:eastAsia="zh-CN"/>
              </w:rPr>
              <w:t>力争</w:t>
            </w:r>
            <w:r>
              <w:rPr>
                <w:rFonts w:hint="eastAsia" w:ascii="宋体" w:hAnsi="宋体" w:eastAsia="宋体" w:cs="宋体"/>
                <w:color w:val="auto"/>
                <w:spacing w:val="0"/>
                <w:kern w:val="21"/>
                <w:sz w:val="22"/>
                <w:szCs w:val="22"/>
                <w:highlight w:val="none"/>
                <w:u w:val="none"/>
              </w:rPr>
              <w:t>中庄井田、杨家山井田等煤矿建成投产。</w:t>
            </w:r>
          </w:p>
          <w:p w14:paraId="6AEA3DEB">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default" w:ascii="仿宋_GB2312" w:hAnsi="仿宋_GB2312" w:cs="仿宋_GB2312"/>
                <w:color w:val="auto"/>
                <w:spacing w:val="0"/>
                <w:kern w:val="21"/>
                <w:sz w:val="30"/>
                <w:szCs w:val="30"/>
                <w:highlight w:val="none"/>
                <w:u w:val="none"/>
                <w:vertAlign w:val="baseline"/>
                <w:lang w:val="en-US" w:eastAsia="zh-CN"/>
              </w:rPr>
            </w:pPr>
            <w:r>
              <w:rPr>
                <w:rFonts w:hint="eastAsia" w:ascii="楷体_GB2312" w:hAnsi="楷体_GB2312" w:eastAsia="楷体_GB2312" w:cs="楷体_GB2312"/>
                <w:b w:val="0"/>
                <w:bCs w:val="0"/>
                <w:color w:val="auto"/>
                <w:spacing w:val="0"/>
                <w:kern w:val="21"/>
                <w:sz w:val="22"/>
                <w:szCs w:val="22"/>
                <w:highlight w:val="none"/>
                <w:u w:val="none"/>
              </w:rPr>
              <w:t>煤炭资源清洁高效利用项目。</w:t>
            </w:r>
            <w:r>
              <w:rPr>
                <w:rFonts w:hint="eastAsia" w:ascii="宋体" w:hAnsi="宋体" w:eastAsia="宋体" w:cs="宋体"/>
                <w:color w:val="auto"/>
                <w:spacing w:val="0"/>
                <w:kern w:val="21"/>
                <w:sz w:val="22"/>
                <w:szCs w:val="22"/>
                <w:highlight w:val="none"/>
                <w:u w:val="none"/>
              </w:rPr>
              <w:t>重点实施宝塔区100万吨/年洗中煤多联产循环综合利用示范、黄陵煤焦</w:t>
            </w:r>
            <w:r>
              <w:rPr>
                <w:rFonts w:hint="eastAsia" w:ascii="宋体" w:hAnsi="宋体" w:eastAsia="宋体" w:cs="宋体"/>
                <w:color w:val="auto"/>
                <w:spacing w:val="0"/>
                <w:kern w:val="21"/>
                <w:sz w:val="22"/>
                <w:szCs w:val="22"/>
                <w:highlight w:val="none"/>
                <w:u w:val="none"/>
                <w:lang w:val="en-US" w:eastAsia="zh-CN"/>
              </w:rPr>
              <w:t>化</w:t>
            </w:r>
            <w:r>
              <w:rPr>
                <w:rFonts w:hint="eastAsia" w:ascii="宋体" w:hAnsi="宋体" w:eastAsia="宋体" w:cs="宋体"/>
                <w:color w:val="auto"/>
                <w:spacing w:val="0"/>
                <w:kern w:val="21"/>
                <w:sz w:val="22"/>
                <w:szCs w:val="22"/>
                <w:highlight w:val="none"/>
                <w:u w:val="none"/>
              </w:rPr>
              <w:t>升级改造</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子长市煤泥煤矸石综合利用</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富县煤炭清洁利用示范</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富县煤矸石综合利用等项目。</w:t>
            </w:r>
          </w:p>
        </w:tc>
      </w:tr>
    </w:tbl>
    <w:p w14:paraId="7C3DD62D">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115CE706">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第四节</w:t>
      </w:r>
      <w:r>
        <w:rPr>
          <w:rFonts w:hint="eastAsia" w:ascii="楷体_GB2312" w:hAnsi="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清洁煤电和新能源</w:t>
      </w:r>
    </w:p>
    <w:p w14:paraId="1E7F1C80">
      <w:pPr>
        <w:keepNext w:val="0"/>
        <w:keepLines w:val="0"/>
        <w:pageBreakBefore w:val="0"/>
        <w:widowControl w:val="0"/>
        <w:kinsoku/>
        <w:wordWrap/>
        <w:overflowPunct w:val="0"/>
        <w:topLinePunct w:val="0"/>
        <w:autoSpaceDE/>
        <w:autoSpaceDN/>
        <w:bidi w:val="0"/>
        <w:adjustRightInd/>
        <w:snapToGrid/>
        <w:spacing w:afterAutospacing="0" w:line="560" w:lineRule="exact"/>
        <w:ind w:left="0" w:firstLine="640"/>
        <w:textAlignment w:val="auto"/>
        <w:rPr>
          <w:rFonts w:hint="eastAsia" w:ascii="仿宋_GB2312" w:hAnsi="仿宋_GB2312" w:cs="仿宋_GB2312"/>
          <w:color w:val="auto"/>
          <w:spacing w:val="0"/>
          <w:kern w:val="21"/>
          <w:sz w:val="32"/>
          <w:szCs w:val="32"/>
        </w:rPr>
      </w:pPr>
    </w:p>
    <w:p w14:paraId="2308D2BA">
      <w:pPr>
        <w:keepNext w:val="0"/>
        <w:keepLines w:val="0"/>
        <w:pageBreakBefore w:val="0"/>
        <w:widowControl w:val="0"/>
        <w:kinsoku/>
        <w:wordWrap/>
        <w:overflowPunct w:val="0"/>
        <w:topLinePunct w:val="0"/>
        <w:autoSpaceDE/>
        <w:autoSpaceDN/>
        <w:bidi w:val="0"/>
        <w:adjustRightInd/>
        <w:snapToGrid/>
        <w:spacing w:afterAutospacing="0" w:line="560" w:lineRule="exact"/>
        <w:ind w:left="0" w:firstLine="640"/>
        <w:textAlignment w:val="auto"/>
        <w:rPr>
          <w:rFonts w:hint="eastAsia" w:ascii="仿宋_GB2312" w:hAnsi="仿宋_GB2312" w:cs="仿宋_GB2312"/>
          <w:color w:val="auto"/>
          <w:spacing w:val="0"/>
          <w:kern w:val="21"/>
          <w:sz w:val="32"/>
          <w:szCs w:val="32"/>
          <w:lang w:eastAsia="zh-CN"/>
        </w:rPr>
      </w:pPr>
      <w:r>
        <w:rPr>
          <w:rFonts w:hint="eastAsia" w:ascii="仿宋_GB2312" w:hAnsi="仿宋_GB2312" w:cs="仿宋_GB2312"/>
          <w:color w:val="auto"/>
          <w:spacing w:val="0"/>
          <w:kern w:val="21"/>
          <w:sz w:val="32"/>
          <w:szCs w:val="32"/>
        </w:rPr>
        <w:t>加快建设新型能源体系，</w:t>
      </w:r>
      <w:r>
        <w:rPr>
          <w:rFonts w:hint="eastAsia" w:ascii="仿宋_GB2312" w:hAnsi="仿宋_GB2312" w:cs="仿宋_GB2312"/>
          <w:color w:val="auto"/>
          <w:spacing w:val="0"/>
          <w:kern w:val="21"/>
          <w:sz w:val="32"/>
          <w:szCs w:val="32"/>
          <w:lang w:val="en-US" w:eastAsia="zh-CN"/>
        </w:rPr>
        <w:t>推动</w:t>
      </w:r>
      <w:r>
        <w:rPr>
          <w:rFonts w:hint="eastAsia" w:ascii="仿宋_GB2312" w:hAnsi="仿宋_GB2312" w:cs="仿宋_GB2312"/>
          <w:color w:val="auto"/>
          <w:spacing w:val="0"/>
          <w:kern w:val="21"/>
          <w:sz w:val="32"/>
          <w:szCs w:val="32"/>
        </w:rPr>
        <w:t>火电、新能源两个</w:t>
      </w:r>
      <w:r>
        <w:rPr>
          <w:rFonts w:hint="eastAsia" w:ascii="仿宋_GB2312" w:hAnsi="仿宋_GB2312" w:cs="仿宋_GB2312"/>
          <w:color w:val="auto"/>
          <w:spacing w:val="0"/>
          <w:kern w:val="21"/>
          <w:sz w:val="32"/>
          <w:szCs w:val="32"/>
          <w:lang w:val="en-US" w:eastAsia="zh-CN"/>
        </w:rPr>
        <w:t>千</w:t>
      </w:r>
      <w:r>
        <w:rPr>
          <w:rFonts w:hint="eastAsia" w:ascii="仿宋_GB2312" w:hAnsi="仿宋_GB2312" w:cs="仿宋_GB2312"/>
          <w:color w:val="auto"/>
          <w:spacing w:val="0"/>
          <w:kern w:val="21"/>
          <w:sz w:val="32"/>
          <w:szCs w:val="32"/>
        </w:rPr>
        <w:t>万千瓦级电源基地建设</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完善以清洁高效煤电为支撑的转换利用体系，统筹推进新能源供给比重提高、就地消纳和外送。加快大唐延安、黄陵店头、延长石油富县、陕投安塞热电联产二期等重大电源项目建设，开工建设黄陵店头电厂三期。以“三改联动”为重点，加快在役火电项目向高效、清洁、灵活、低碳和智能化优化升级，</w:t>
      </w:r>
      <w:r>
        <w:rPr>
          <w:rFonts w:hint="eastAsia" w:ascii="仿宋_GB2312" w:hAnsi="仿宋_GB2312" w:cs="仿宋_GB2312"/>
          <w:color w:val="auto"/>
          <w:spacing w:val="0"/>
          <w:kern w:val="21"/>
          <w:sz w:val="32"/>
          <w:szCs w:val="32"/>
          <w:lang w:val="en-US" w:eastAsia="zh-CN"/>
        </w:rPr>
        <w:t>推动新型低碳电厂应用推广，</w:t>
      </w:r>
      <w:r>
        <w:rPr>
          <w:rFonts w:hint="eastAsia" w:ascii="仿宋_GB2312" w:hAnsi="仿宋_GB2312" w:cs="仿宋_GB2312"/>
          <w:color w:val="auto"/>
          <w:spacing w:val="0"/>
          <w:kern w:val="21"/>
          <w:sz w:val="32"/>
          <w:szCs w:val="32"/>
        </w:rPr>
        <w:t>充分发挥调节性电源作用，增强调峰收益能力。推动宝塔、</w:t>
      </w:r>
      <w:r>
        <w:rPr>
          <w:rFonts w:hint="eastAsia" w:ascii="仿宋_GB2312" w:hAnsi="仿宋_GB2312" w:cs="仿宋_GB2312"/>
          <w:color w:val="auto"/>
          <w:spacing w:val="0"/>
          <w:kern w:val="21"/>
          <w:sz w:val="32"/>
          <w:szCs w:val="32"/>
          <w:highlight w:val="none"/>
        </w:rPr>
        <w:t>子长</w:t>
      </w:r>
      <w:r>
        <w:rPr>
          <w:rFonts w:hint="eastAsia" w:ascii="仿宋_GB2312" w:hAnsi="仿宋_GB2312" w:cs="仿宋_GB2312"/>
          <w:color w:val="auto"/>
          <w:spacing w:val="0"/>
          <w:kern w:val="21"/>
          <w:sz w:val="32"/>
          <w:szCs w:val="32"/>
        </w:rPr>
        <w:t>、延川</w:t>
      </w:r>
      <w:r>
        <w:rPr>
          <w:rFonts w:hint="eastAsia" w:ascii="仿宋_GB2312" w:hAnsi="仿宋_GB2312" w:cs="仿宋_GB2312"/>
          <w:color w:val="auto"/>
          <w:spacing w:val="0"/>
          <w:kern w:val="21"/>
          <w:sz w:val="32"/>
          <w:szCs w:val="32"/>
          <w:lang w:val="en-US" w:eastAsia="zh-CN"/>
        </w:rPr>
        <w:t>3个火电</w:t>
      </w:r>
      <w:r>
        <w:rPr>
          <w:rFonts w:hint="eastAsia" w:ascii="仿宋_GB2312" w:hAnsi="仿宋_GB2312" w:cs="仿宋_GB2312"/>
          <w:color w:val="auto"/>
          <w:spacing w:val="0"/>
          <w:kern w:val="21"/>
          <w:sz w:val="32"/>
          <w:szCs w:val="32"/>
        </w:rPr>
        <w:t>项目</w:t>
      </w:r>
      <w:r>
        <w:rPr>
          <w:rFonts w:hint="eastAsia" w:ascii="仿宋_GB2312" w:hAnsi="仿宋_GB2312" w:cs="仿宋_GB2312"/>
          <w:color w:val="auto"/>
          <w:spacing w:val="0"/>
          <w:kern w:val="21"/>
          <w:sz w:val="32"/>
          <w:szCs w:val="32"/>
          <w:lang w:val="en-US" w:eastAsia="zh-CN"/>
        </w:rPr>
        <w:t>前期</w:t>
      </w:r>
      <w:r>
        <w:rPr>
          <w:rFonts w:hint="eastAsia" w:ascii="仿宋_GB2312" w:hAnsi="仿宋_GB2312" w:cs="仿宋_GB2312"/>
          <w:color w:val="auto"/>
          <w:spacing w:val="0"/>
          <w:kern w:val="21"/>
          <w:sz w:val="32"/>
          <w:szCs w:val="32"/>
        </w:rPr>
        <w:t>。坚持多能并举，前瞻布局集成融合式新能源产业体系。以光伏与风力发电为重点、生物质</w:t>
      </w:r>
      <w:r>
        <w:rPr>
          <w:rFonts w:hint="eastAsia" w:ascii="仿宋_GB2312" w:hAnsi="仿宋_GB2312" w:cs="仿宋_GB2312"/>
          <w:color w:val="auto"/>
          <w:spacing w:val="0"/>
          <w:kern w:val="21"/>
          <w:sz w:val="32"/>
          <w:szCs w:val="32"/>
          <w:highlight w:val="none"/>
        </w:rPr>
        <w:t>能发电等新能源发电为补充，提高绿电供给。重点推动陕皖通道配套1100万千瓦新能源项目落地建设，持续推进千村万户“光</w:t>
      </w:r>
      <w:r>
        <w:rPr>
          <w:rFonts w:hint="eastAsia" w:ascii="仿宋_GB2312" w:hAnsi="仿宋_GB2312" w:cs="仿宋_GB2312"/>
          <w:color w:val="auto"/>
          <w:spacing w:val="0"/>
          <w:kern w:val="21"/>
          <w:sz w:val="32"/>
          <w:szCs w:val="32"/>
        </w:rPr>
        <w:t>伏+”“驭风行动”等分布式、分散式项目建设。围绕工业园区等负荷中心打造“源网荷储”新业态，构建“光伏+”“风电+”多场景应用，在吴起、安塞、黄龙等新能源资源富集的区域先行开展“风+光+储能”技术示范建设。布局绿电制氢、储氢设备、加氢站等“制储运用”一体化产业</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建成</w:t>
      </w:r>
      <w:r>
        <w:rPr>
          <w:rFonts w:hint="eastAsia" w:ascii="仿宋_GB2312" w:hAnsi="仿宋_GB2312" w:cs="仿宋_GB2312"/>
          <w:color w:val="auto"/>
          <w:spacing w:val="0"/>
          <w:kern w:val="21"/>
          <w:sz w:val="32"/>
          <w:szCs w:val="32"/>
          <w:lang w:val="en-US" w:eastAsia="zh-CN"/>
        </w:rPr>
        <w:t>一批</w:t>
      </w:r>
      <w:r>
        <w:rPr>
          <w:rFonts w:hint="eastAsia" w:ascii="仿宋_GB2312" w:hAnsi="仿宋_GB2312" w:cs="仿宋_GB2312"/>
          <w:color w:val="auto"/>
          <w:spacing w:val="0"/>
          <w:kern w:val="21"/>
          <w:sz w:val="32"/>
          <w:szCs w:val="32"/>
        </w:rPr>
        <w:t>加氢站</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积极</w:t>
      </w:r>
      <w:r>
        <w:rPr>
          <w:rFonts w:hint="eastAsia" w:ascii="仿宋_GB2312" w:hAnsi="仿宋_GB2312" w:cs="仿宋_GB2312"/>
          <w:color w:val="auto"/>
          <w:spacing w:val="0"/>
          <w:kern w:val="21"/>
          <w:sz w:val="32"/>
          <w:szCs w:val="32"/>
        </w:rPr>
        <w:t>推广氢能燃料汽车</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到“十五五”末，清洁煤电和新能源发电量突破1000亿千瓦时</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建成储能项目500万千瓦以上</w:t>
      </w:r>
      <w:r>
        <w:rPr>
          <w:rFonts w:hint="eastAsia" w:ascii="仿宋_GB2312" w:hAnsi="仿宋_GB2312" w:cs="仿宋_GB2312"/>
          <w:color w:val="auto"/>
          <w:spacing w:val="0"/>
          <w:kern w:val="21"/>
          <w:sz w:val="32"/>
          <w:szCs w:val="32"/>
          <w:lang w:eastAsia="zh-CN"/>
        </w:rPr>
        <w:t>。</w:t>
      </w:r>
    </w:p>
    <w:p w14:paraId="47BDFD85">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lang w:eastAsia="zh-CN"/>
        </w:rPr>
      </w:pP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3E57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504" w:type="dxa"/>
            <w:vAlign w:val="center"/>
          </w:tcPr>
          <w:p w14:paraId="01DE866B">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eastAsia="zh-CN"/>
              </w:rPr>
            </w:pPr>
            <w:r>
              <w:rPr>
                <w:rFonts w:hint="eastAsia" w:ascii="黑体" w:hAnsi="黑体" w:eastAsia="黑体" w:cs="黑体"/>
                <w:b w:val="0"/>
                <w:bCs w:val="0"/>
                <w:color w:val="auto"/>
                <w:spacing w:val="0"/>
                <w:kern w:val="21"/>
                <w:sz w:val="25"/>
                <w:szCs w:val="25"/>
                <w:highlight w:val="none"/>
                <w:u w:val="none"/>
              </w:rPr>
              <w:t>专栏4 清洁煤电和新能源产业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1D22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8504" w:type="dxa"/>
            <w:vAlign w:val="center"/>
          </w:tcPr>
          <w:p w14:paraId="3093E72A">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清洁煤电重点项目。</w:t>
            </w:r>
            <w:r>
              <w:rPr>
                <w:rFonts w:hint="eastAsia" w:ascii="宋体" w:hAnsi="宋体" w:eastAsia="宋体" w:cs="宋体"/>
                <w:color w:val="auto"/>
                <w:spacing w:val="0"/>
                <w:kern w:val="21"/>
                <w:sz w:val="22"/>
                <w:szCs w:val="22"/>
                <w:highlight w:val="none"/>
                <w:u w:val="none"/>
              </w:rPr>
              <w:t>建成大唐延安电厂二期2×1000MW、延长石油富县电厂二期2×1000MW、陕煤黄陵店头电厂二期、三期2×1000MW煤电，陕投安塞热电联产二期2×350MW。推进宝塔区青化砭、子长、延川等高效燃煤发电项目</w:t>
            </w:r>
            <w:r>
              <w:rPr>
                <w:rFonts w:hint="eastAsia" w:ascii="宋体" w:hAnsi="宋体" w:eastAsia="宋体" w:cs="宋体"/>
                <w:color w:val="auto"/>
                <w:spacing w:val="0"/>
                <w:kern w:val="21"/>
                <w:sz w:val="22"/>
                <w:szCs w:val="22"/>
                <w:highlight w:val="none"/>
                <w:u w:val="none"/>
                <w:lang w:val="en-US" w:eastAsia="zh-CN"/>
              </w:rPr>
              <w:t>前期工作</w:t>
            </w:r>
            <w:r>
              <w:rPr>
                <w:rFonts w:hint="eastAsia" w:ascii="宋体" w:hAnsi="宋体" w:eastAsia="宋体" w:cs="宋体"/>
                <w:color w:val="auto"/>
                <w:spacing w:val="0"/>
                <w:kern w:val="21"/>
                <w:sz w:val="22"/>
                <w:szCs w:val="22"/>
                <w:highlight w:val="none"/>
                <w:u w:val="none"/>
                <w:lang w:eastAsia="zh-CN"/>
              </w:rPr>
              <w:t>。</w:t>
            </w:r>
          </w:p>
          <w:p w14:paraId="7F10653E">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default" w:ascii="仿宋_GB2312" w:hAnsi="仿宋_GB2312" w:cs="仿宋_GB2312"/>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新能源重点项目。</w:t>
            </w:r>
            <w:r>
              <w:rPr>
                <w:rFonts w:hint="eastAsia" w:ascii="宋体" w:hAnsi="宋体" w:eastAsia="宋体" w:cs="宋体"/>
                <w:color w:val="auto"/>
                <w:spacing w:val="0"/>
                <w:kern w:val="21"/>
                <w:sz w:val="22"/>
                <w:szCs w:val="22"/>
                <w:highlight w:val="none"/>
                <w:u w:val="none"/>
              </w:rPr>
              <w:t>重点实施陕皖通道配套1100万千瓦新能源</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陕武直流、陕皖</w:t>
            </w:r>
            <w:r>
              <w:rPr>
                <w:rFonts w:hint="eastAsia" w:ascii="宋体" w:hAnsi="宋体" w:eastAsia="宋体" w:cs="宋体"/>
                <w:color w:val="auto"/>
                <w:spacing w:val="0"/>
                <w:kern w:val="21"/>
                <w:sz w:val="22"/>
                <w:szCs w:val="22"/>
                <w:highlight w:val="none"/>
                <w:u w:val="none"/>
                <w:lang w:val="en-US" w:eastAsia="zh-CN"/>
              </w:rPr>
              <w:t>直流</w:t>
            </w:r>
            <w:r>
              <w:rPr>
                <w:rFonts w:hint="eastAsia" w:ascii="宋体" w:hAnsi="宋体" w:eastAsia="宋体" w:cs="宋体"/>
                <w:color w:val="auto"/>
                <w:spacing w:val="0"/>
                <w:kern w:val="21"/>
                <w:sz w:val="22"/>
                <w:szCs w:val="22"/>
                <w:highlight w:val="none"/>
                <w:u w:val="none"/>
              </w:rPr>
              <w:t>共享储能</w:t>
            </w:r>
            <w:r>
              <w:rPr>
                <w:rFonts w:hint="eastAsia" w:ascii="宋体" w:hAnsi="宋体" w:eastAsia="宋体" w:cs="宋体"/>
                <w:color w:val="auto"/>
                <w:spacing w:val="0"/>
                <w:kern w:val="21"/>
                <w:sz w:val="22"/>
                <w:szCs w:val="22"/>
                <w:highlight w:val="none"/>
                <w:u w:val="none"/>
                <w:lang w:val="en-US" w:eastAsia="zh-CN"/>
              </w:rPr>
              <w:t>及一批电网侧</w:t>
            </w:r>
            <w:r>
              <w:rPr>
                <w:rFonts w:hint="eastAsia" w:ascii="宋体" w:hAnsi="宋体" w:eastAsia="宋体" w:cs="宋体"/>
                <w:color w:val="auto"/>
                <w:spacing w:val="0"/>
                <w:kern w:val="21"/>
                <w:sz w:val="22"/>
                <w:szCs w:val="22"/>
                <w:highlight w:val="none"/>
                <w:u w:val="none"/>
              </w:rPr>
              <w:t>独立储能、陕氢天然气综合利用及加氢站、</w:t>
            </w:r>
            <w:r>
              <w:rPr>
                <w:rFonts w:hint="eastAsia" w:ascii="宋体" w:hAnsi="宋体" w:eastAsia="宋体" w:cs="宋体"/>
                <w:color w:val="auto"/>
                <w:spacing w:val="0"/>
                <w:kern w:val="21"/>
                <w:sz w:val="22"/>
                <w:szCs w:val="22"/>
                <w:highlight w:val="none"/>
                <w:u w:val="none"/>
                <w:lang w:val="en-US" w:eastAsia="zh-CN"/>
              </w:rPr>
              <w:t>延安高新零碳园区绿电直连、延安</w:t>
            </w:r>
            <w:r>
              <w:rPr>
                <w:rFonts w:hint="eastAsia" w:ascii="宋体" w:hAnsi="宋体" w:eastAsia="宋体" w:cs="宋体"/>
                <w:color w:val="auto"/>
                <w:spacing w:val="0"/>
                <w:kern w:val="21"/>
                <w:sz w:val="22"/>
                <w:szCs w:val="22"/>
                <w:highlight w:val="none"/>
                <w:u w:val="none"/>
              </w:rPr>
              <w:t>高新区虚拟电厂等项目。</w:t>
            </w:r>
          </w:p>
        </w:tc>
      </w:tr>
    </w:tbl>
    <w:p w14:paraId="7D7985C3">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7C851B49">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第五节</w:t>
      </w:r>
      <w:r>
        <w:rPr>
          <w:rFonts w:hint="eastAsia" w:ascii="楷体_GB2312" w:hAnsi="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先进制造</w:t>
      </w:r>
      <w:r>
        <w:rPr>
          <w:rFonts w:hint="eastAsia" w:ascii="楷体_GB2312" w:hAnsi="楷体_GB2312" w:eastAsia="楷体_GB2312" w:cs="楷体_GB2312"/>
          <w:b w:val="0"/>
          <w:bCs w:val="0"/>
          <w:color w:val="auto"/>
          <w:spacing w:val="0"/>
          <w:kern w:val="21"/>
          <w:sz w:val="32"/>
          <w:szCs w:val="32"/>
          <w:lang w:val="en-US" w:eastAsia="zh-CN"/>
        </w:rPr>
        <w:t>业</w:t>
      </w:r>
    </w:p>
    <w:p w14:paraId="619F0BC8">
      <w:pPr>
        <w:keepNext w:val="0"/>
        <w:keepLines w:val="0"/>
        <w:pageBreakBefore w:val="0"/>
        <w:widowControl w:val="0"/>
        <w:kinsoku/>
        <w:wordWrap/>
        <w:overflowPunct w:val="0"/>
        <w:topLinePunct w:val="0"/>
        <w:autoSpaceDE/>
        <w:autoSpaceDN/>
        <w:bidi w:val="0"/>
        <w:adjustRightInd/>
        <w:snapToGrid/>
        <w:spacing w:afterAutospacing="0" w:line="500" w:lineRule="exact"/>
        <w:ind w:left="0" w:firstLine="640"/>
        <w:textAlignment w:val="auto"/>
        <w:rPr>
          <w:rFonts w:hint="eastAsia" w:ascii="仿宋_GB2312" w:hAnsi="仿宋_GB2312" w:eastAsia="仿宋_GB2312" w:cs="仿宋_GB2312"/>
          <w:b w:val="0"/>
          <w:bCs/>
          <w:color w:val="auto"/>
          <w:spacing w:val="0"/>
          <w:kern w:val="21"/>
          <w:sz w:val="32"/>
          <w:szCs w:val="32"/>
          <w:highlight w:val="none"/>
        </w:rPr>
      </w:pPr>
    </w:p>
    <w:p w14:paraId="735A11C9">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highlight w:val="none"/>
        </w:rPr>
        <w:t>实施制造业攻坚</w:t>
      </w:r>
      <w:r>
        <w:rPr>
          <w:rFonts w:hint="eastAsia" w:ascii="仿宋_GB2312" w:hAnsi="仿宋_GB2312" w:cs="仿宋_GB2312"/>
          <w:b w:val="0"/>
          <w:bCs/>
          <w:color w:val="auto"/>
          <w:spacing w:val="0"/>
          <w:kern w:val="21"/>
          <w:sz w:val="32"/>
          <w:szCs w:val="32"/>
          <w:highlight w:val="none"/>
          <w:lang w:val="en-US" w:eastAsia="zh-CN"/>
        </w:rPr>
        <w:t>扩量专项</w:t>
      </w:r>
      <w:r>
        <w:rPr>
          <w:rFonts w:hint="eastAsia" w:ascii="仿宋_GB2312" w:hAnsi="仿宋_GB2312" w:eastAsia="仿宋_GB2312" w:cs="仿宋_GB2312"/>
          <w:b w:val="0"/>
          <w:bCs/>
          <w:color w:val="auto"/>
          <w:spacing w:val="0"/>
          <w:kern w:val="21"/>
          <w:sz w:val="32"/>
          <w:szCs w:val="32"/>
          <w:highlight w:val="none"/>
        </w:rPr>
        <w:t>行动，</w:t>
      </w:r>
      <w:r>
        <w:rPr>
          <w:rFonts w:hint="eastAsia" w:ascii="仿宋_GB2312" w:hAnsi="仿宋_GB2312" w:eastAsia="仿宋_GB2312" w:cs="仿宋_GB2312"/>
          <w:b w:val="0"/>
          <w:bCs/>
          <w:color w:val="auto"/>
          <w:spacing w:val="0"/>
          <w:kern w:val="21"/>
          <w:sz w:val="32"/>
          <w:szCs w:val="32"/>
        </w:rPr>
        <w:t>围绕高端化、智能化、融合化，推动传统产业设备更新、技术攻坚、数转智改和产品迭代，</w:t>
      </w:r>
      <w:r>
        <w:rPr>
          <w:rFonts w:hint="eastAsia" w:ascii="仿宋_GB2312" w:hAnsi="仿宋_GB2312"/>
          <w:color w:val="auto"/>
          <w:spacing w:val="0"/>
          <w:kern w:val="21"/>
          <w:sz w:val="32"/>
          <w:szCs w:val="32"/>
        </w:rPr>
        <w:t>发展智能制造、绿色制造、服务型制造</w:t>
      </w:r>
      <w:r>
        <w:rPr>
          <w:rFonts w:hint="eastAsia" w:ascii="仿宋_GB2312" w:hAnsi="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推动制造业延链补链强链、产创科创融合、扩量提质增效</w:t>
      </w:r>
      <w:r>
        <w:rPr>
          <w:rFonts w:hint="eastAsia" w:ascii="仿宋_GB2312" w:hAnsi="仿宋_GB2312" w:cs="仿宋_GB2312"/>
          <w:b w:val="0"/>
          <w:bCs/>
          <w:color w:val="auto"/>
          <w:spacing w:val="0"/>
          <w:kern w:val="21"/>
          <w:sz w:val="32"/>
          <w:szCs w:val="32"/>
          <w:lang w:eastAsia="zh-CN"/>
        </w:rPr>
        <w:t>。</w:t>
      </w:r>
    </w:p>
    <w:p w14:paraId="2CB3ED7D">
      <w:pPr>
        <w:keepNext w:val="0"/>
        <w:keepLines w:val="0"/>
        <w:pageBreakBefore w:val="0"/>
        <w:widowControl w:val="0"/>
        <w:kinsoku/>
        <w:wordWrap/>
        <w:overflowPunct w:val="0"/>
        <w:topLinePunct w:val="0"/>
        <w:autoSpaceDE/>
        <w:autoSpaceDN/>
        <w:bidi w:val="0"/>
        <w:adjustRightInd/>
        <w:snapToGrid/>
        <w:spacing w:afterAutospacing="0" w:line="550" w:lineRule="exact"/>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提升发展装备制造。</w:t>
      </w:r>
      <w:r>
        <w:rPr>
          <w:rFonts w:hint="eastAsia" w:ascii="仿宋_GB2312" w:hAnsi="仿宋_GB2312"/>
          <w:color w:val="auto"/>
          <w:spacing w:val="0"/>
          <w:kern w:val="21"/>
          <w:sz w:val="32"/>
          <w:szCs w:val="32"/>
        </w:rPr>
        <w:t>推进油气装备增品种、提产能、扩规模、延链条，重点发展新质钻机钻杆、新材油气集输设备、新型油田用作业车等油气装备产品制造。积极发展煤矿采掘、输送、洗选设备制造，布局发展煤矿智能巡检和安全预警设备装备制造。做大旧件回收、关键件配套及整机再制造产业链条，大力发展油气、煤矿装备再制造产业，探索推动二次设备再造标准建立。做强光伏、风电、储能等新能源装备制造，推动退役风电、光伏组件等新能源装备回收利用</w:t>
      </w:r>
      <w:r>
        <w:rPr>
          <w:rFonts w:hint="eastAsia" w:ascii="仿宋_GB2312" w:hAnsi="仿宋_GB2312"/>
          <w:color w:val="auto"/>
          <w:spacing w:val="0"/>
          <w:kern w:val="21"/>
          <w:sz w:val="32"/>
          <w:szCs w:val="32"/>
          <w:lang w:val="en-US" w:eastAsia="zh-CN"/>
        </w:rPr>
        <w:t>。</w:t>
      </w:r>
      <w:r>
        <w:rPr>
          <w:rFonts w:hint="eastAsia" w:ascii="仿宋_GB2312" w:hAnsi="仿宋_GB2312"/>
          <w:color w:val="auto"/>
          <w:spacing w:val="0"/>
          <w:kern w:val="21"/>
          <w:sz w:val="32"/>
          <w:szCs w:val="32"/>
          <w:highlight w:val="none"/>
          <w:lang w:val="en-US" w:eastAsia="zh-CN"/>
        </w:rPr>
        <w:t>招引一批新能源重卡装备制造业项目落地，积极发展短倒运输。</w:t>
      </w:r>
      <w:r>
        <w:rPr>
          <w:rFonts w:hint="eastAsia" w:ascii="仿宋_GB2312" w:hAnsi="仿宋_GB2312" w:cs="仿宋_GB2312"/>
          <w:color w:val="auto"/>
          <w:spacing w:val="0"/>
          <w:kern w:val="21"/>
          <w:sz w:val="32"/>
          <w:szCs w:val="32"/>
          <w:lang w:val="en-US" w:eastAsia="zh-CN"/>
        </w:rPr>
        <w:t>推进</w:t>
      </w:r>
      <w:r>
        <w:rPr>
          <w:rFonts w:hint="eastAsia" w:ascii="仿宋_GB2312" w:hAnsi="仿宋_GB2312"/>
          <w:color w:val="auto"/>
          <w:spacing w:val="0"/>
          <w:kern w:val="21"/>
          <w:sz w:val="32"/>
          <w:szCs w:val="32"/>
        </w:rPr>
        <w:t>安全应急装备研发与规模化生产</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发展特种机器人等智能装备</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增强质量技术基础能力，打造“延安制造”品牌。</w:t>
      </w:r>
    </w:p>
    <w:p w14:paraId="05D794D5">
      <w:pPr>
        <w:keepNext w:val="0"/>
        <w:keepLines w:val="0"/>
        <w:pageBreakBefore w:val="0"/>
        <w:widowControl w:val="0"/>
        <w:kinsoku/>
        <w:wordWrap/>
        <w:overflowPunct w:val="0"/>
        <w:topLinePunct w:val="0"/>
        <w:autoSpaceDE/>
        <w:autoSpaceDN/>
        <w:bidi w:val="0"/>
        <w:adjustRightInd/>
        <w:snapToGrid/>
        <w:spacing w:afterAutospacing="0" w:line="550" w:lineRule="exact"/>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延伸发展新材料产业。</w:t>
      </w:r>
      <w:r>
        <w:rPr>
          <w:rFonts w:hint="eastAsia" w:ascii="仿宋_GB2312" w:hAnsi="仿宋_GB2312"/>
          <w:color w:val="auto"/>
          <w:spacing w:val="0"/>
          <w:kern w:val="21"/>
          <w:sz w:val="32"/>
          <w:szCs w:val="32"/>
        </w:rPr>
        <w:t>加快黄陵碳硅新材料产业</w:t>
      </w:r>
      <w:r>
        <w:rPr>
          <w:rFonts w:hint="eastAsia" w:ascii="仿宋_GB2312" w:hAnsi="仿宋_GB2312"/>
          <w:color w:val="auto"/>
          <w:spacing w:val="0"/>
          <w:kern w:val="21"/>
          <w:sz w:val="32"/>
          <w:szCs w:val="32"/>
          <w:lang w:val="en-US" w:eastAsia="zh-CN"/>
        </w:rPr>
        <w:t>园</w:t>
      </w:r>
      <w:r>
        <w:rPr>
          <w:rFonts w:hint="eastAsia" w:ascii="仿宋_GB2312" w:hAnsi="仿宋_GB2312"/>
          <w:color w:val="auto"/>
          <w:spacing w:val="0"/>
          <w:kern w:val="21"/>
          <w:sz w:val="32"/>
          <w:szCs w:val="32"/>
        </w:rPr>
        <w:t>项目建设，积极发展工业硅、碳陶、碳纤维、硅碳负极材料、高性能树脂等新材料产品，延伸发展特种橡胶、有机硅改性树脂、有机硅模塑料、有机硅涂料等有机硅新材料。依托富县、洛川、黄陵能源化工产品基础，</w:t>
      </w:r>
      <w:r>
        <w:rPr>
          <w:rFonts w:hint="eastAsia" w:ascii="仿宋_GB2312" w:hAnsi="仿宋_GB2312"/>
          <w:color w:val="auto"/>
          <w:spacing w:val="0"/>
          <w:kern w:val="21"/>
          <w:sz w:val="32"/>
          <w:szCs w:val="32"/>
          <w:lang w:val="en-US" w:eastAsia="zh-CN"/>
        </w:rPr>
        <w:t>完善</w:t>
      </w:r>
      <w:r>
        <w:rPr>
          <w:rFonts w:hint="eastAsia" w:ascii="仿宋_GB2312" w:hAnsi="仿宋_GB2312"/>
          <w:color w:val="auto"/>
          <w:spacing w:val="0"/>
          <w:kern w:val="21"/>
          <w:sz w:val="32"/>
          <w:szCs w:val="32"/>
        </w:rPr>
        <w:t>丙烯酸酯橡胶、氢化丁腈橡胶、含氟橡胶等特种橡胶和水处理膜、光学膜、特种膜等膜材料环节，谋划布局纳米新材料等先进化工材料。</w:t>
      </w:r>
      <w:r>
        <w:rPr>
          <w:rFonts w:hint="eastAsia" w:ascii="仿宋_GB2312" w:hAnsi="仿宋_GB2312" w:cs="仿宋_GB2312"/>
          <w:color w:val="auto"/>
          <w:spacing w:val="0"/>
          <w:kern w:val="21"/>
          <w:sz w:val="32"/>
          <w:szCs w:val="32"/>
          <w:lang w:val="en-US" w:eastAsia="zh-CN"/>
        </w:rPr>
        <w:t>加快</w:t>
      </w:r>
      <w:r>
        <w:rPr>
          <w:rFonts w:hint="eastAsia" w:ascii="仿宋_GB2312" w:hAnsi="仿宋_GB2312" w:cs="仿宋_GB2312"/>
          <w:color w:val="auto"/>
          <w:spacing w:val="0"/>
          <w:kern w:val="21"/>
          <w:sz w:val="32"/>
          <w:szCs w:val="32"/>
        </w:rPr>
        <w:t>发展石墨烯导电材料、碳纳米管等。积极发展工程塑料，PBAT、PBS可降解塑料，</w:t>
      </w:r>
      <w:r>
        <w:rPr>
          <w:rFonts w:hint="eastAsia" w:ascii="仿宋_GB2312" w:hAnsi="仿宋_GB2312"/>
          <w:color w:val="auto"/>
          <w:spacing w:val="0"/>
          <w:kern w:val="21"/>
          <w:sz w:val="32"/>
          <w:szCs w:val="32"/>
        </w:rPr>
        <w:t>丙烯酸酯橡胶、丁苯橡胶特种橡胶</w:t>
      </w:r>
      <w:r>
        <w:rPr>
          <w:rFonts w:hint="eastAsia" w:ascii="仿宋_GB2312" w:hAnsi="仿宋_GB2312" w:cs="仿宋_GB2312"/>
          <w:color w:val="auto"/>
          <w:spacing w:val="0"/>
          <w:kern w:val="21"/>
          <w:sz w:val="32"/>
          <w:szCs w:val="32"/>
        </w:rPr>
        <w:t>等</w:t>
      </w:r>
      <w:r>
        <w:rPr>
          <w:rFonts w:hint="eastAsia" w:ascii="仿宋_GB2312" w:hAnsi="仿宋_GB2312"/>
          <w:color w:val="auto"/>
          <w:spacing w:val="0"/>
          <w:kern w:val="21"/>
          <w:sz w:val="32"/>
          <w:szCs w:val="32"/>
        </w:rPr>
        <w:t>先进</w:t>
      </w:r>
      <w:r>
        <w:rPr>
          <w:rFonts w:hint="eastAsia" w:ascii="仿宋_GB2312" w:hAnsi="仿宋_GB2312" w:cs="仿宋_GB2312"/>
          <w:color w:val="auto"/>
          <w:spacing w:val="0"/>
          <w:kern w:val="21"/>
          <w:sz w:val="32"/>
          <w:szCs w:val="32"/>
        </w:rPr>
        <w:t>化工材料。</w:t>
      </w:r>
      <w:r>
        <w:rPr>
          <w:rFonts w:hint="eastAsia" w:ascii="仿宋_GB2312" w:hAnsi="仿宋_GB2312" w:cs="仿宋_GB2312"/>
          <w:color w:val="auto"/>
          <w:spacing w:val="0"/>
          <w:kern w:val="21"/>
          <w:sz w:val="32"/>
          <w:szCs w:val="32"/>
          <w:lang w:val="en-US" w:eastAsia="zh-CN"/>
        </w:rPr>
        <w:t>发挥紫砂陶土优势，创新开发</w:t>
      </w:r>
      <w:r>
        <w:rPr>
          <w:rFonts w:hint="eastAsia" w:ascii="仿宋_GB2312" w:hAnsi="仿宋_GB2312" w:cs="仿宋_GB2312"/>
          <w:color w:val="auto"/>
          <w:spacing w:val="0"/>
          <w:kern w:val="21"/>
          <w:sz w:val="32"/>
          <w:szCs w:val="32"/>
        </w:rPr>
        <w:t>紫砂新型建材</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工艺文创产品</w:t>
      </w:r>
      <w:r>
        <w:rPr>
          <w:rFonts w:hint="eastAsia" w:ascii="仿宋_GB2312" w:hAnsi="仿宋_GB2312" w:cs="仿宋_GB2312"/>
          <w:color w:val="auto"/>
          <w:spacing w:val="0"/>
          <w:kern w:val="21"/>
          <w:sz w:val="32"/>
          <w:szCs w:val="32"/>
          <w:lang w:val="en-US" w:eastAsia="zh-CN"/>
        </w:rPr>
        <w:t>等。</w:t>
      </w:r>
      <w:r>
        <w:rPr>
          <w:rFonts w:hint="eastAsia" w:ascii="仿宋_GB2312" w:hAnsi="仿宋_GB2312" w:cs="仿宋_GB2312"/>
          <w:color w:val="auto"/>
          <w:spacing w:val="0"/>
          <w:kern w:val="21"/>
          <w:sz w:val="32"/>
          <w:szCs w:val="32"/>
        </w:rPr>
        <w:t>利用自产化工原料，培育发展酒店“六小”用品。加快延安油基化工与榆林煤基化工</w:t>
      </w:r>
      <w:r>
        <w:rPr>
          <w:rFonts w:hint="eastAsia" w:ascii="仿宋_GB2312" w:hAnsi="仿宋_GB2312" w:cs="仿宋_GB2312"/>
          <w:color w:val="auto"/>
          <w:spacing w:val="-6"/>
          <w:kern w:val="21"/>
          <w:sz w:val="32"/>
          <w:szCs w:val="32"/>
        </w:rPr>
        <w:t>耦合发展，推动陕北精细化工、高分子材料等嵌入关中先进制造产业链，深度参与“陕北能源材料+关中科技制造”新模式，促进“能源—材料—制造”体系更新升级。积极发展循环型盐化工产业</w:t>
      </w:r>
      <w:r>
        <w:rPr>
          <w:rFonts w:hint="eastAsia" w:ascii="仿宋_GB2312" w:hAnsi="仿宋_GB2312" w:cs="仿宋_GB2312"/>
          <w:color w:val="auto"/>
          <w:spacing w:val="0"/>
          <w:kern w:val="21"/>
          <w:sz w:val="32"/>
          <w:szCs w:val="32"/>
        </w:rPr>
        <w:t>。</w:t>
      </w:r>
    </w:p>
    <w:p w14:paraId="0A308B2C">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ascii="仿宋_GB2312" w:hAnsi="仿宋_GB2312" w:cs="仿宋_GB2312"/>
          <w:color w:val="auto"/>
          <w:spacing w:val="0"/>
          <w:kern w:val="21"/>
          <w:sz w:val="32"/>
          <w:szCs w:val="32"/>
          <w:highlight w:val="none"/>
        </w:rPr>
      </w:pPr>
      <w:r>
        <w:rPr>
          <w:rFonts w:hint="eastAsia" w:ascii="楷体_GB2312" w:hAnsi="楷体_GB2312" w:eastAsia="楷体_GB2312" w:cs="楷体_GB2312"/>
          <w:b w:val="0"/>
          <w:bCs w:val="0"/>
          <w:color w:val="auto"/>
          <w:spacing w:val="0"/>
          <w:kern w:val="21"/>
          <w:sz w:val="32"/>
          <w:szCs w:val="32"/>
        </w:rPr>
        <w:t>培育发展先进制造</w:t>
      </w:r>
      <w:r>
        <w:rPr>
          <w:rFonts w:hint="eastAsia" w:ascii="楷体_GB2312" w:hAnsi="楷体_GB2312" w:eastAsia="楷体_GB2312" w:cs="楷体_GB2312"/>
          <w:b w:val="0"/>
          <w:bCs w:val="0"/>
          <w:color w:val="auto"/>
          <w:spacing w:val="0"/>
          <w:kern w:val="21"/>
          <w:sz w:val="32"/>
          <w:szCs w:val="32"/>
          <w:lang w:val="en-US" w:eastAsia="zh-CN"/>
        </w:rPr>
        <w:t>。</w:t>
      </w:r>
      <w:r>
        <w:rPr>
          <w:rFonts w:hint="eastAsia" w:ascii="仿宋_GB2312" w:hAnsi="仿宋_GB2312" w:cs="仿宋_GB2312"/>
          <w:b w:val="0"/>
          <w:bCs w:val="0"/>
          <w:color w:val="auto"/>
          <w:spacing w:val="0"/>
          <w:kern w:val="21"/>
          <w:sz w:val="32"/>
          <w:szCs w:val="32"/>
          <w:lang w:val="en-US" w:eastAsia="zh-CN"/>
        </w:rPr>
        <w:t>规划建设一批先进制造业产业园区，承接一批产业转移先进制造业项目。</w:t>
      </w:r>
      <w:r>
        <w:rPr>
          <w:rFonts w:hint="eastAsia" w:ascii="仿宋_GB2312" w:hAnsi="仿宋_GB2312" w:cs="仿宋_GB2312"/>
          <w:color w:val="auto"/>
          <w:spacing w:val="0"/>
          <w:kern w:val="21"/>
          <w:sz w:val="32"/>
          <w:szCs w:val="32"/>
        </w:rPr>
        <w:t>加快布局智能传感器、物联网、红外设备等电子元器件及电子专用材料制造产业</w:t>
      </w:r>
      <w:r>
        <w:rPr>
          <w:rFonts w:hint="eastAsia" w:ascii="仿宋_GB2312" w:hAnsi="仿宋_GB2312" w:cs="仿宋_GB2312"/>
          <w:color w:val="auto"/>
          <w:spacing w:val="0"/>
          <w:kern w:val="21"/>
          <w:sz w:val="32"/>
          <w:szCs w:val="32"/>
          <w:lang w:eastAsia="zh-CN"/>
        </w:rPr>
        <w:t>，</w:t>
      </w:r>
      <w:r>
        <w:rPr>
          <w:rFonts w:ascii="仿宋_GB2312" w:hAnsi="仿宋_GB2312" w:cs="仿宋_GB2312"/>
          <w:color w:val="auto"/>
          <w:spacing w:val="0"/>
          <w:kern w:val="21"/>
          <w:sz w:val="32"/>
          <w:szCs w:val="32"/>
        </w:rPr>
        <w:t>谋划</w:t>
      </w:r>
      <w:r>
        <w:rPr>
          <w:rFonts w:hint="eastAsia" w:ascii="仿宋_GB2312" w:hAnsi="仿宋_GB2312" w:cs="仿宋_GB2312"/>
          <w:color w:val="auto"/>
          <w:spacing w:val="0"/>
          <w:kern w:val="21"/>
          <w:sz w:val="32"/>
          <w:szCs w:val="32"/>
        </w:rPr>
        <w:t>发展</w:t>
      </w:r>
      <w:r>
        <w:rPr>
          <w:rFonts w:ascii="仿宋_GB2312" w:hAnsi="仿宋_GB2312" w:cs="仿宋_GB2312"/>
          <w:color w:val="auto"/>
          <w:spacing w:val="0"/>
          <w:kern w:val="21"/>
          <w:sz w:val="32"/>
          <w:szCs w:val="32"/>
        </w:rPr>
        <w:t>以</w:t>
      </w:r>
      <w:r>
        <w:rPr>
          <w:rFonts w:hint="eastAsia" w:ascii="仿宋_GB2312" w:hAnsi="仿宋_GB2312" w:cs="仿宋_GB2312"/>
          <w:color w:val="auto"/>
          <w:spacing w:val="0"/>
          <w:kern w:val="21"/>
          <w:sz w:val="32"/>
          <w:szCs w:val="32"/>
        </w:rPr>
        <w:t>国产</w:t>
      </w:r>
      <w:r>
        <w:rPr>
          <w:rFonts w:ascii="仿宋_GB2312" w:hAnsi="仿宋_GB2312" w:cs="仿宋_GB2312"/>
          <w:color w:val="auto"/>
          <w:spacing w:val="0"/>
          <w:kern w:val="21"/>
          <w:sz w:val="32"/>
          <w:szCs w:val="32"/>
        </w:rPr>
        <w:t>集成电路、高端软件</w:t>
      </w:r>
      <w:r>
        <w:rPr>
          <w:rFonts w:hint="eastAsia" w:ascii="仿宋_GB2312" w:hAnsi="仿宋_GB2312" w:cs="仿宋_GB2312"/>
          <w:color w:val="auto"/>
          <w:spacing w:val="0"/>
          <w:kern w:val="21"/>
          <w:sz w:val="32"/>
          <w:szCs w:val="32"/>
        </w:rPr>
        <w:t>、计算机系列成品</w:t>
      </w:r>
      <w:r>
        <w:rPr>
          <w:rFonts w:ascii="仿宋_GB2312" w:hAnsi="仿宋_GB2312" w:cs="仿宋_GB2312"/>
          <w:color w:val="auto"/>
          <w:spacing w:val="0"/>
          <w:kern w:val="21"/>
          <w:sz w:val="32"/>
          <w:szCs w:val="32"/>
        </w:rPr>
        <w:t>等</w:t>
      </w:r>
      <w:r>
        <w:rPr>
          <w:rFonts w:hint="eastAsia" w:ascii="仿宋_GB2312" w:hAnsi="仿宋_GB2312" w:cs="仿宋_GB2312"/>
          <w:color w:val="auto"/>
          <w:spacing w:val="0"/>
          <w:kern w:val="21"/>
          <w:sz w:val="32"/>
          <w:szCs w:val="32"/>
        </w:rPr>
        <w:t>为重点的新兴制造业</w:t>
      </w:r>
      <w:r>
        <w:rPr>
          <w:rFonts w:ascii="仿宋_GB2312" w:hAnsi="仿宋_GB2312" w:cs="仿宋_GB2312"/>
          <w:color w:val="auto"/>
          <w:spacing w:val="0"/>
          <w:kern w:val="21"/>
          <w:sz w:val="32"/>
          <w:szCs w:val="32"/>
        </w:rPr>
        <w:t>。</w:t>
      </w:r>
      <w:r>
        <w:rPr>
          <w:rFonts w:hint="eastAsia" w:ascii="仿宋_GB2312" w:hAnsi="仿宋_GB2312" w:cs="仿宋_GB2312"/>
          <w:color w:val="auto"/>
          <w:spacing w:val="0"/>
          <w:kern w:val="21"/>
          <w:sz w:val="32"/>
          <w:szCs w:val="32"/>
          <w:highlight w:val="none"/>
          <w:lang w:val="en-US" w:eastAsia="zh-CN"/>
        </w:rPr>
        <w:t>支持延安高新区</w:t>
      </w:r>
      <w:r>
        <w:rPr>
          <w:rFonts w:hint="eastAsia" w:ascii="仿宋_GB2312" w:hAnsi="仿宋_GB2312" w:cs="仿宋_GB2312"/>
          <w:color w:val="auto"/>
          <w:spacing w:val="0"/>
          <w:kern w:val="21"/>
          <w:sz w:val="32"/>
          <w:szCs w:val="32"/>
          <w:highlight w:val="none"/>
        </w:rPr>
        <w:t>打造都市型工业和楼宇工厂新形态</w:t>
      </w:r>
      <w:r>
        <w:rPr>
          <w:rFonts w:hint="eastAsia" w:ascii="仿宋_GB2312" w:hAnsi="仿宋_GB2312" w:cs="仿宋_GB2312"/>
          <w:color w:val="auto"/>
          <w:spacing w:val="0"/>
          <w:kern w:val="21"/>
          <w:sz w:val="32"/>
          <w:szCs w:val="32"/>
          <w:highlight w:val="none"/>
          <w:lang w:eastAsia="zh-CN"/>
        </w:rPr>
        <w:t>。</w:t>
      </w:r>
      <w:r>
        <w:rPr>
          <w:rFonts w:ascii="仿宋_GB2312" w:hAnsi="仿宋_GB2312" w:cs="仿宋_GB2312"/>
          <w:color w:val="auto"/>
          <w:spacing w:val="0"/>
          <w:kern w:val="21"/>
          <w:sz w:val="32"/>
          <w:szCs w:val="32"/>
          <w:highlight w:val="none"/>
        </w:rPr>
        <w:t>加快智慧卷烟工厂建设，</w:t>
      </w:r>
      <w:r>
        <w:rPr>
          <w:rFonts w:hint="eastAsia" w:ascii="仿宋_GB2312" w:hAnsi="仿宋_GB2312" w:cs="仿宋_GB2312"/>
          <w:color w:val="auto"/>
          <w:spacing w:val="0"/>
          <w:kern w:val="21"/>
          <w:sz w:val="32"/>
          <w:szCs w:val="32"/>
          <w:highlight w:val="none"/>
        </w:rPr>
        <w:t>开发高端卷烟产品，</w:t>
      </w:r>
      <w:r>
        <w:rPr>
          <w:rFonts w:ascii="仿宋_GB2312" w:hAnsi="仿宋_GB2312" w:cs="仿宋_GB2312"/>
          <w:color w:val="auto"/>
          <w:spacing w:val="0"/>
          <w:kern w:val="21"/>
          <w:sz w:val="32"/>
          <w:szCs w:val="32"/>
          <w:highlight w:val="none"/>
        </w:rPr>
        <w:t>到“十五五”末，延安卷烟</w:t>
      </w:r>
      <w:r>
        <w:rPr>
          <w:rFonts w:hint="eastAsia" w:ascii="仿宋_GB2312" w:hAnsi="仿宋_GB2312" w:cs="仿宋_GB2312"/>
          <w:color w:val="auto"/>
          <w:spacing w:val="0"/>
          <w:kern w:val="21"/>
          <w:sz w:val="32"/>
          <w:szCs w:val="32"/>
          <w:highlight w:val="none"/>
          <w:lang w:val="en-US" w:eastAsia="zh-CN"/>
        </w:rPr>
        <w:t>产量达到30万大箱</w:t>
      </w:r>
      <w:r>
        <w:rPr>
          <w:rFonts w:ascii="仿宋_GB2312" w:hAnsi="仿宋_GB2312" w:cs="仿宋_GB2312"/>
          <w:color w:val="auto"/>
          <w:spacing w:val="0"/>
          <w:kern w:val="21"/>
          <w:sz w:val="32"/>
          <w:szCs w:val="32"/>
          <w:highlight w:val="none"/>
        </w:rPr>
        <w:t>。</w:t>
      </w:r>
    </w:p>
    <w:p w14:paraId="2DD3DB31">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color w:val="auto"/>
        </w:rPr>
      </w:pP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14:paraId="0A70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04" w:type="dxa"/>
            <w:vAlign w:val="center"/>
          </w:tcPr>
          <w:p w14:paraId="09838498">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专栏5 先进制造及新材料产业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3DD6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jc w:val="center"/>
        </w:trPr>
        <w:tc>
          <w:tcPr>
            <w:tcW w:w="8504" w:type="dxa"/>
          </w:tcPr>
          <w:p w14:paraId="26395CE1">
            <w:pPr>
              <w:keepNext w:val="0"/>
              <w:keepLines w:val="0"/>
              <w:pageBreakBefore w:val="0"/>
              <w:widowControl w:val="0"/>
              <w:kinsoku/>
              <w:wordWrap/>
              <w:overflowPunct w:val="0"/>
              <w:topLinePunct w:val="0"/>
              <w:autoSpaceDE/>
              <w:autoSpaceDN/>
              <w:bidi w:val="0"/>
              <w:adjustRightInd/>
              <w:snapToGrid/>
              <w:spacing w:afterAutospacing="0" w:line="320" w:lineRule="exact"/>
              <w:ind w:left="0" w:firstLine="562"/>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油气装备制造重点项目。</w:t>
            </w:r>
            <w:r>
              <w:rPr>
                <w:rFonts w:hint="eastAsia" w:ascii="宋体" w:hAnsi="宋体" w:eastAsia="宋体" w:cs="宋体"/>
                <w:color w:val="auto"/>
                <w:spacing w:val="0"/>
                <w:kern w:val="21"/>
                <w:sz w:val="22"/>
                <w:szCs w:val="22"/>
                <w:highlight w:val="none"/>
                <w:u w:val="none"/>
              </w:rPr>
              <w:t>重点实施</w:t>
            </w:r>
            <w:r>
              <w:rPr>
                <w:rFonts w:hint="eastAsia" w:ascii="宋体" w:hAnsi="宋体" w:eastAsia="宋体" w:cs="宋体"/>
                <w:color w:val="auto"/>
                <w:spacing w:val="0"/>
                <w:kern w:val="21"/>
                <w:sz w:val="22"/>
                <w:szCs w:val="22"/>
                <w:highlight w:val="none"/>
                <w:u w:val="none"/>
                <w:lang w:val="en-US" w:eastAsia="zh-CN"/>
              </w:rPr>
              <w:t>西部</w:t>
            </w:r>
            <w:r>
              <w:rPr>
                <w:rFonts w:hint="eastAsia" w:ascii="宋体" w:hAnsi="宋体" w:eastAsia="宋体" w:cs="宋体"/>
                <w:color w:val="auto"/>
                <w:spacing w:val="0"/>
                <w:kern w:val="21"/>
                <w:sz w:val="22"/>
                <w:szCs w:val="22"/>
                <w:highlight w:val="none"/>
                <w:u w:val="none"/>
              </w:rPr>
              <w:t>能源装备制造和技术服务基地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普瑞思控油田高端特种装备生产制造、延安高新区油田专用柔性复合高压输送管材制造、延安高新区山东德州联合石油油田配件生产基地、延安高新区山东科瑞伴生气装备生产服务基地、延安高新区鑫天益高端阀门研发生产项目（二期）</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新区</w:t>
            </w:r>
            <w:r>
              <w:rPr>
                <w:rFonts w:hint="eastAsia" w:ascii="宋体" w:hAnsi="宋体" w:eastAsia="宋体" w:cs="宋体"/>
                <w:color w:val="auto"/>
                <w:spacing w:val="0"/>
                <w:kern w:val="21"/>
                <w:sz w:val="22"/>
                <w:szCs w:val="22"/>
                <w:highlight w:val="none"/>
                <w:u w:val="none"/>
              </w:rPr>
              <w:t>先进装备产业园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吴起油服设备再制造中心等项目。</w:t>
            </w:r>
          </w:p>
          <w:p w14:paraId="2A425DCB">
            <w:pPr>
              <w:keepNext w:val="0"/>
              <w:keepLines w:val="0"/>
              <w:pageBreakBefore w:val="0"/>
              <w:widowControl w:val="0"/>
              <w:kinsoku/>
              <w:wordWrap/>
              <w:overflowPunct w:val="0"/>
              <w:topLinePunct w:val="0"/>
              <w:autoSpaceDE/>
              <w:autoSpaceDN/>
              <w:bidi w:val="0"/>
              <w:adjustRightInd/>
              <w:snapToGrid/>
              <w:spacing w:afterAutospacing="0" w:line="3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新能源装备制造重点项目。</w:t>
            </w:r>
            <w:r>
              <w:rPr>
                <w:rFonts w:hint="eastAsia" w:ascii="宋体" w:hAnsi="宋体" w:eastAsia="宋体" w:cs="宋体"/>
                <w:color w:val="auto"/>
                <w:spacing w:val="0"/>
                <w:kern w:val="21"/>
                <w:sz w:val="22"/>
                <w:szCs w:val="22"/>
                <w:highlight w:val="none"/>
                <w:u w:val="none"/>
              </w:rPr>
              <w:t>重点实施延安高新区万乾太阳能光伏组件拆解与循环利用生产基地项目（二期）、延安高新区陕皖工程新能源场站备品备换件中心、延安高新区陕皖工程智慧储能系统装备制造供应基地、延安高新区陕皖工程配套新能源智能化运维中心、延安高新区恒艺绿能新能源电力装备生产制造</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延川县光伏组件钢边框生产线等项目。</w:t>
            </w:r>
          </w:p>
          <w:p w14:paraId="67472CC7">
            <w:pPr>
              <w:keepNext w:val="0"/>
              <w:keepLines w:val="0"/>
              <w:pageBreakBefore w:val="0"/>
              <w:widowControl w:val="0"/>
              <w:kinsoku/>
              <w:wordWrap/>
              <w:overflowPunct w:val="0"/>
              <w:topLinePunct w:val="0"/>
              <w:autoSpaceDE/>
              <w:autoSpaceDN/>
              <w:bidi w:val="0"/>
              <w:adjustRightInd/>
              <w:snapToGrid/>
              <w:spacing w:afterAutospacing="0" w:line="320" w:lineRule="exact"/>
              <w:ind w:left="0" w:firstLine="562"/>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农业装备制造重点项目。</w:t>
            </w:r>
            <w:r>
              <w:rPr>
                <w:rFonts w:hint="eastAsia" w:ascii="宋体" w:hAnsi="宋体" w:eastAsia="宋体" w:cs="宋体"/>
                <w:color w:val="auto"/>
                <w:spacing w:val="0"/>
                <w:kern w:val="21"/>
                <w:sz w:val="22"/>
                <w:szCs w:val="22"/>
                <w:highlight w:val="none"/>
                <w:u w:val="none"/>
                <w:lang w:val="en-US" w:eastAsia="zh-CN"/>
              </w:rPr>
              <w:t>重点实施</w:t>
            </w:r>
            <w:r>
              <w:rPr>
                <w:rFonts w:hint="eastAsia" w:ascii="宋体" w:hAnsi="宋体" w:eastAsia="宋体" w:cs="宋体"/>
                <w:color w:val="auto"/>
                <w:spacing w:val="0"/>
                <w:kern w:val="21"/>
                <w:sz w:val="22"/>
                <w:szCs w:val="22"/>
                <w:highlight w:val="none"/>
                <w:u w:val="none"/>
              </w:rPr>
              <w:t>延安市现代农业机械化装备及技术研发</w:t>
            </w:r>
            <w:r>
              <w:rPr>
                <w:rFonts w:hint="eastAsia" w:ascii="宋体" w:hAnsi="宋体" w:eastAsia="宋体" w:cs="宋体"/>
                <w:color w:val="auto"/>
                <w:spacing w:val="0"/>
                <w:kern w:val="21"/>
                <w:sz w:val="22"/>
                <w:szCs w:val="22"/>
                <w:highlight w:val="none"/>
                <w:u w:val="none"/>
                <w:lang w:eastAsia="zh-CN"/>
              </w:rPr>
              <w:t>、洛川县现代化果业装备制造</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rPr>
              <w:t>项目</w:t>
            </w:r>
            <w:r>
              <w:rPr>
                <w:rFonts w:hint="eastAsia" w:ascii="宋体" w:hAnsi="宋体" w:eastAsia="宋体" w:cs="宋体"/>
                <w:color w:val="auto"/>
                <w:spacing w:val="0"/>
                <w:kern w:val="21"/>
                <w:sz w:val="22"/>
                <w:szCs w:val="22"/>
                <w:highlight w:val="none"/>
                <w:u w:val="none"/>
                <w:lang w:eastAsia="zh-CN"/>
              </w:rPr>
              <w:t>。</w:t>
            </w:r>
          </w:p>
          <w:p w14:paraId="09D9C237">
            <w:pPr>
              <w:keepNext w:val="0"/>
              <w:keepLines w:val="0"/>
              <w:pageBreakBefore w:val="0"/>
              <w:widowControl w:val="0"/>
              <w:kinsoku/>
              <w:wordWrap/>
              <w:overflowPunct w:val="0"/>
              <w:topLinePunct w:val="0"/>
              <w:autoSpaceDE/>
              <w:autoSpaceDN/>
              <w:bidi w:val="0"/>
              <w:adjustRightInd/>
              <w:snapToGrid/>
              <w:spacing w:afterAutospacing="0" w:line="320" w:lineRule="exact"/>
              <w:ind w:left="0" w:firstLine="562"/>
              <w:textAlignment w:val="auto"/>
              <w:rPr>
                <w:rFonts w:hint="default" w:ascii="仿宋_GB2312" w:hAnsi="仿宋_GB2312" w:cs="仿宋_GB2312"/>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新材料重点项目。</w:t>
            </w:r>
            <w:r>
              <w:rPr>
                <w:rFonts w:hint="eastAsia" w:ascii="宋体" w:hAnsi="宋体" w:eastAsia="宋体" w:cs="宋体"/>
                <w:color w:val="auto"/>
                <w:spacing w:val="0"/>
                <w:kern w:val="21"/>
                <w:sz w:val="22"/>
                <w:szCs w:val="22"/>
                <w:highlight w:val="none"/>
                <w:u w:val="none"/>
              </w:rPr>
              <w:t>重点实施黄陵碳硅新材料</w:t>
            </w:r>
            <w:r>
              <w:rPr>
                <w:rFonts w:hint="eastAsia" w:ascii="宋体" w:hAnsi="宋体" w:eastAsia="宋体" w:cs="宋体"/>
                <w:color w:val="auto"/>
                <w:spacing w:val="0"/>
                <w:kern w:val="21"/>
                <w:sz w:val="22"/>
                <w:szCs w:val="22"/>
                <w:highlight w:val="none"/>
                <w:u w:val="none"/>
                <w:lang w:val="en-US" w:eastAsia="zh-CN"/>
              </w:rPr>
              <w:t>产业园</w:t>
            </w:r>
            <w:r>
              <w:rPr>
                <w:rFonts w:hint="eastAsia" w:ascii="宋体" w:hAnsi="宋体" w:eastAsia="宋体" w:cs="宋体"/>
                <w:color w:val="auto"/>
                <w:spacing w:val="0"/>
                <w:kern w:val="21"/>
                <w:sz w:val="22"/>
                <w:szCs w:val="22"/>
                <w:highlight w:val="none"/>
                <w:u w:val="none"/>
              </w:rPr>
              <w:t>、子长市年产30万吨煤矸石路基材料成果转化实验</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延安新区人造金刚石和半导体热沉片</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富县10万吨/年特种橡胶复合材料制造</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延安高新区延安紫砂新型建材制造二期</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延安</w:t>
            </w:r>
            <w:r>
              <w:rPr>
                <w:rFonts w:hint="eastAsia" w:ascii="宋体" w:hAnsi="宋体" w:eastAsia="宋体" w:cs="宋体"/>
                <w:color w:val="auto"/>
                <w:spacing w:val="0"/>
                <w:kern w:val="21"/>
                <w:sz w:val="22"/>
                <w:szCs w:val="22"/>
                <w:highlight w:val="none"/>
                <w:u w:val="none"/>
              </w:rPr>
              <w:t>高新区“紫砂传奇”特色工艺文创产品制造等项目。</w:t>
            </w:r>
          </w:p>
        </w:tc>
      </w:tr>
    </w:tbl>
    <w:p w14:paraId="3BB4685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25" w:name="_Toc22291"/>
      <w:bookmarkStart w:id="26" w:name="_Toc23838"/>
      <w:bookmarkStart w:id="27" w:name="_Toc13133"/>
    </w:p>
    <w:p w14:paraId="54D43C8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第七章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持续发力“土特产”做优特色现代农业</w:t>
      </w:r>
      <w:bookmarkEnd w:id="25"/>
      <w:bookmarkEnd w:id="26"/>
      <w:bookmarkEnd w:id="27"/>
    </w:p>
    <w:p w14:paraId="541442E9">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olor w:val="auto"/>
          <w:spacing w:val="0"/>
          <w:kern w:val="21"/>
          <w:sz w:val="32"/>
          <w:szCs w:val="32"/>
        </w:rPr>
      </w:pPr>
    </w:p>
    <w:p w14:paraId="7DA71A43">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立足资源禀赋和产业发展优势，开发乡土资源，突出地域特点，</w:t>
      </w:r>
      <w:r>
        <w:rPr>
          <w:rFonts w:hint="eastAsia" w:ascii="仿宋_GB2312" w:hAnsi="仿宋_GB2312" w:eastAsia="仿宋_GB2312" w:cs="仿宋_GB2312"/>
          <w:b w:val="0"/>
          <w:bCs/>
          <w:color w:val="auto"/>
          <w:spacing w:val="0"/>
          <w:kern w:val="21"/>
          <w:sz w:val="32"/>
          <w:szCs w:val="32"/>
        </w:rPr>
        <w:t>落实“市抓百亿级、县抓十亿级”要求，以千亩高标准苹果示范园和万亩小杂粮种植基地为抓手，加快苹果、特色食品、中药材等产业链现代化建设，培育一批“小而精”特色产业</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olor w:val="auto"/>
          <w:spacing w:val="0"/>
          <w:kern w:val="21"/>
          <w:sz w:val="32"/>
          <w:szCs w:val="32"/>
        </w:rPr>
        <w:t>统筹发展科技农业、绿色农业、质量农业、品牌农业，推动农业增效益、农村增活力、农民增收入。</w:t>
      </w:r>
    </w:p>
    <w:p w14:paraId="04EBFECE">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3226159E">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第一节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做强苹果及特色食品产业</w:t>
      </w:r>
    </w:p>
    <w:p w14:paraId="4EAB6BF2">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3774179A">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实施粮食产能提升行动。</w:t>
      </w:r>
      <w:r>
        <w:rPr>
          <w:rFonts w:hint="eastAsia" w:ascii="仿宋_GB2312" w:hAnsi="仿宋_GB2312" w:cs="Times New Roman"/>
          <w:color w:val="auto"/>
          <w:spacing w:val="0"/>
          <w:kern w:val="21"/>
          <w:sz w:val="32"/>
          <w:szCs w:val="32"/>
        </w:rPr>
        <w:t>坚持良田良种良机良法协同，“十五五”期间粮食面积稳定在225万亩以上，力争达到230万亩。以高标准农田建设为重点提地力，打造粮食生产核心产区160万亩以上，建成一批吨粮田、高产田。以“三主融合”为支撑提单产，实现大面积均衡增产，粮食产量达到78.5万吨。完善农业政策性保险，健全农业灾害防控体系，保护和调动农民种粮积极性</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提升耕地保护水平和粮食安全保障能力。</w:t>
      </w:r>
    </w:p>
    <w:p w14:paraId="15B8540E">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楷体_GB2312" w:hAnsi="楷体_GB2312" w:eastAsia="仿宋_GB2312" w:cs="楷体_GB2312"/>
          <w:b/>
          <w:bCs/>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建设苹果产业强市。</w:t>
      </w:r>
      <w:r>
        <w:rPr>
          <w:rFonts w:hint="eastAsia" w:ascii="仿宋_GB2312" w:hAnsi="仿宋_GB2312" w:cs="Times New Roman"/>
          <w:color w:val="auto"/>
          <w:spacing w:val="0"/>
          <w:kern w:val="21"/>
          <w:sz w:val="32"/>
          <w:szCs w:val="32"/>
        </w:rPr>
        <w:t>依托延安苹果国家级优势特色产业集群建设，集中打造南部塬区、北部山地两大苹果标准化示范基地。</w:t>
      </w:r>
      <w:r>
        <w:rPr>
          <w:rFonts w:hint="eastAsia" w:ascii="仿宋_GB2312" w:hAnsi="仿宋_GB2312" w:eastAsia="仿宋_GB2312" w:cs="Times New Roman"/>
          <w:b w:val="0"/>
          <w:bCs w:val="0"/>
          <w:color w:val="auto"/>
          <w:spacing w:val="0"/>
          <w:kern w:val="21"/>
          <w:sz w:val="32"/>
          <w:szCs w:val="32"/>
        </w:rPr>
        <w:t>充分发挥延安苹果研究院</w:t>
      </w:r>
      <w:r>
        <w:rPr>
          <w:rFonts w:hint="eastAsia" w:ascii="仿宋_GB2312" w:hAnsi="仿宋_GB2312" w:cs="Times New Roman"/>
          <w:bCs w:val="0"/>
          <w:color w:val="auto"/>
          <w:spacing w:val="0"/>
          <w:kern w:val="21"/>
          <w:sz w:val="32"/>
          <w:szCs w:val="32"/>
        </w:rPr>
        <w:t>作用</w:t>
      </w:r>
      <w:r>
        <w:rPr>
          <w:rFonts w:hint="eastAsia" w:ascii="仿宋_GB2312" w:hAnsi="仿宋_GB2312" w:eastAsia="仿宋_GB2312" w:cs="Times New Roman"/>
          <w:b w:val="0"/>
          <w:bCs w:val="0"/>
          <w:color w:val="auto"/>
          <w:spacing w:val="0"/>
          <w:kern w:val="21"/>
          <w:sz w:val="32"/>
          <w:szCs w:val="32"/>
        </w:rPr>
        <w:t>，建好用好苹果全产业链数智赋能综合服务信息化平台</w:t>
      </w:r>
      <w:r>
        <w:rPr>
          <w:rFonts w:hint="eastAsia" w:ascii="仿宋_GB2312" w:hAnsi="仿宋_GB2312" w:cs="Times New Roman"/>
          <w:b w:val="0"/>
          <w:bCs w:val="0"/>
          <w:color w:val="auto"/>
          <w:spacing w:val="0"/>
          <w:kern w:val="21"/>
          <w:sz w:val="32"/>
          <w:szCs w:val="32"/>
          <w:lang w:eastAsia="zh-CN"/>
        </w:rPr>
        <w:t>，</w:t>
      </w:r>
      <w:r>
        <w:rPr>
          <w:rFonts w:hint="eastAsia" w:ascii="仿宋_GB2312" w:hAnsi="仿宋_GB2312" w:cs="仿宋_GB2312"/>
          <w:b w:val="0"/>
          <w:bCs/>
          <w:color w:val="auto"/>
          <w:spacing w:val="0"/>
          <w:kern w:val="21"/>
          <w:sz w:val="32"/>
          <w:szCs w:val="32"/>
          <w:lang w:eastAsia="zh-CN"/>
        </w:rPr>
        <w:t>推进苹果全产业链数智化转型。</w:t>
      </w:r>
      <w:r>
        <w:rPr>
          <w:rFonts w:hint="eastAsia" w:ascii="仿宋_GB2312" w:hAnsi="仿宋_GB2312" w:cs="仿宋_GB2312"/>
          <w:b w:val="0"/>
          <w:bCs/>
          <w:color w:val="auto"/>
          <w:spacing w:val="0"/>
          <w:kern w:val="21"/>
          <w:sz w:val="32"/>
          <w:szCs w:val="32"/>
          <w:lang w:val="en-US" w:eastAsia="zh-CN"/>
        </w:rPr>
        <w:t>建设“</w:t>
      </w:r>
      <w:r>
        <w:rPr>
          <w:rFonts w:hint="eastAsia" w:ascii="仿宋_GB2312" w:hAnsi="仿宋_GB2312" w:cs="仿宋_GB2312"/>
          <w:bCs/>
          <w:color w:val="auto"/>
          <w:spacing w:val="0"/>
          <w:kern w:val="21"/>
          <w:sz w:val="32"/>
          <w:szCs w:val="32"/>
        </w:rPr>
        <w:t>千亩</w:t>
      </w:r>
      <w:r>
        <w:rPr>
          <w:rFonts w:hint="eastAsia" w:ascii="仿宋_GB2312" w:hAnsi="仿宋_GB2312" w:cs="仿宋_GB2312"/>
          <w:bCs/>
          <w:color w:val="auto"/>
          <w:spacing w:val="0"/>
          <w:kern w:val="21"/>
          <w:sz w:val="32"/>
          <w:szCs w:val="32"/>
          <w:lang w:val="en-US" w:eastAsia="zh-CN"/>
        </w:rPr>
        <w:t>高标准</w:t>
      </w:r>
      <w:r>
        <w:rPr>
          <w:rFonts w:hint="eastAsia" w:ascii="仿宋_GB2312" w:hAnsi="仿宋_GB2312" w:cs="仿宋_GB2312"/>
          <w:bCs/>
          <w:color w:val="auto"/>
          <w:spacing w:val="0"/>
          <w:kern w:val="21"/>
          <w:sz w:val="32"/>
          <w:szCs w:val="32"/>
        </w:rPr>
        <w:t>苹果示范</w:t>
      </w:r>
      <w:r>
        <w:rPr>
          <w:rFonts w:hint="eastAsia" w:ascii="仿宋_GB2312" w:hAnsi="仿宋_GB2312" w:cs="仿宋_GB2312"/>
          <w:bCs/>
          <w:color w:val="auto"/>
          <w:spacing w:val="0"/>
          <w:kern w:val="21"/>
          <w:sz w:val="32"/>
          <w:szCs w:val="32"/>
          <w:lang w:val="en-US" w:eastAsia="zh-CN"/>
        </w:rPr>
        <w:t>园</w:t>
      </w:r>
      <w:r>
        <w:rPr>
          <w:rFonts w:hint="eastAsia" w:ascii="仿宋_GB2312" w:hAnsi="仿宋_GB2312" w:cs="仿宋_GB2312"/>
          <w:b w:val="0"/>
          <w:bCs/>
          <w:color w:val="auto"/>
          <w:spacing w:val="0"/>
          <w:kern w:val="21"/>
          <w:sz w:val="32"/>
          <w:szCs w:val="32"/>
          <w:lang w:val="en-US" w:eastAsia="zh-CN"/>
        </w:rPr>
        <w:t>”</w:t>
      </w:r>
      <w:r>
        <w:rPr>
          <w:rFonts w:hint="eastAsia" w:ascii="仿宋_GB2312" w:hAnsi="仿宋_GB2312" w:cs="仿宋_GB2312"/>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深化“以株代亩”改革，</w:t>
      </w:r>
      <w:r>
        <w:rPr>
          <w:rFonts w:hint="eastAsia" w:ascii="仿宋_GB2312" w:hAnsi="仿宋_GB2312" w:cs="Times New Roman"/>
          <w:color w:val="auto"/>
          <w:spacing w:val="0"/>
          <w:kern w:val="21"/>
          <w:sz w:val="32"/>
          <w:szCs w:val="32"/>
        </w:rPr>
        <w:t>每年改造低效果园10万亩，推广“以株代亩”</w:t>
      </w:r>
      <w:r>
        <w:rPr>
          <w:rFonts w:hint="eastAsia" w:ascii="仿宋_GB2312" w:hAnsi="仿宋_GB2312" w:cs="Times New Roman"/>
          <w:color w:val="auto"/>
          <w:spacing w:val="0"/>
          <w:kern w:val="21"/>
          <w:sz w:val="32"/>
          <w:szCs w:val="32"/>
          <w:lang w:val="en-US" w:eastAsia="zh-CN"/>
        </w:rPr>
        <w:t>1.5</w:t>
      </w:r>
      <w:r>
        <w:rPr>
          <w:rFonts w:hint="eastAsia" w:ascii="仿宋_GB2312" w:hAnsi="仿宋_GB2312" w:cs="Times New Roman"/>
          <w:color w:val="auto"/>
          <w:spacing w:val="0"/>
          <w:kern w:val="21"/>
          <w:sz w:val="32"/>
          <w:szCs w:val="32"/>
        </w:rPr>
        <w:t>万亩，建设高质量生产示范基地</w:t>
      </w:r>
      <w:r>
        <w:rPr>
          <w:rFonts w:hint="eastAsia" w:ascii="仿宋_GB2312" w:hAnsi="仿宋_GB2312" w:cs="Times New Roman"/>
          <w:color w:val="auto"/>
          <w:spacing w:val="0"/>
          <w:kern w:val="21"/>
          <w:sz w:val="32"/>
          <w:szCs w:val="32"/>
          <w:lang w:val="en-US" w:eastAsia="zh-CN"/>
        </w:rPr>
        <w:t>2</w:t>
      </w:r>
      <w:r>
        <w:rPr>
          <w:rFonts w:hint="eastAsia" w:ascii="仿宋_GB2312" w:hAnsi="仿宋_GB2312" w:cs="Times New Roman"/>
          <w:color w:val="auto"/>
          <w:spacing w:val="0"/>
          <w:kern w:val="21"/>
          <w:sz w:val="32"/>
          <w:szCs w:val="32"/>
        </w:rPr>
        <w:t>0个，</w:t>
      </w:r>
      <w:r>
        <w:rPr>
          <w:rFonts w:hint="eastAsia" w:ascii="仿宋_GB2312" w:hAnsi="仿宋_GB2312" w:cs="Times New Roman"/>
          <w:color w:val="auto"/>
          <w:spacing w:val="0"/>
          <w:kern w:val="21"/>
          <w:sz w:val="32"/>
          <w:szCs w:val="32"/>
          <w:highlight w:val="none"/>
        </w:rPr>
        <w:t>全市园林水果产量达到6</w:t>
      </w:r>
      <w:r>
        <w:rPr>
          <w:rFonts w:hint="eastAsia" w:ascii="仿宋_GB2312" w:hAnsi="仿宋_GB2312" w:cs="Times New Roman"/>
          <w:color w:val="auto"/>
          <w:spacing w:val="0"/>
          <w:kern w:val="21"/>
          <w:sz w:val="32"/>
          <w:szCs w:val="32"/>
          <w:highlight w:val="none"/>
          <w:lang w:val="en-US" w:eastAsia="zh-CN"/>
        </w:rPr>
        <w:t>6</w:t>
      </w:r>
      <w:r>
        <w:rPr>
          <w:rFonts w:hint="eastAsia" w:ascii="仿宋_GB2312" w:hAnsi="仿宋_GB2312" w:cs="Times New Roman"/>
          <w:color w:val="auto"/>
          <w:spacing w:val="0"/>
          <w:kern w:val="21"/>
          <w:sz w:val="32"/>
          <w:szCs w:val="32"/>
          <w:highlight w:val="none"/>
        </w:rPr>
        <w:t>0万吨，</w:t>
      </w:r>
      <w:r>
        <w:rPr>
          <w:rFonts w:hint="eastAsia" w:ascii="仿宋_GB2312" w:hAnsi="仿宋_GB2312" w:cs="Times New Roman"/>
          <w:color w:val="auto"/>
          <w:spacing w:val="0"/>
          <w:kern w:val="21"/>
          <w:sz w:val="32"/>
          <w:szCs w:val="32"/>
        </w:rPr>
        <w:t>其中苹果产量6</w:t>
      </w:r>
      <w:r>
        <w:rPr>
          <w:rFonts w:hint="eastAsia" w:ascii="仿宋_GB2312" w:hAnsi="仿宋_GB2312" w:cs="Times New Roman"/>
          <w:color w:val="auto"/>
          <w:spacing w:val="0"/>
          <w:kern w:val="21"/>
          <w:sz w:val="32"/>
          <w:szCs w:val="32"/>
          <w:lang w:val="en-US" w:eastAsia="zh-CN"/>
        </w:rPr>
        <w:t>5</w:t>
      </w:r>
      <w:r>
        <w:rPr>
          <w:rFonts w:hint="eastAsia" w:ascii="仿宋_GB2312" w:hAnsi="仿宋_GB2312" w:cs="Times New Roman"/>
          <w:color w:val="auto"/>
          <w:spacing w:val="0"/>
          <w:kern w:val="21"/>
          <w:sz w:val="32"/>
          <w:szCs w:val="32"/>
        </w:rPr>
        <w:t>0万吨</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Times New Roman"/>
          <w:color w:val="auto"/>
          <w:spacing w:val="0"/>
          <w:kern w:val="21"/>
          <w:sz w:val="32"/>
          <w:szCs w:val="32"/>
        </w:rPr>
        <w:t>加强国家级（洛川）苹果种质资源圃和吴起楸子保护利用，加快苹果新优品种（砧木）选育创新，加大现代化苗木繁育企业引进力度</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培育“延安根”“延安种”</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开展前沿性关键性科研攻关，建设秦创原洛川苹果产业创新集聚区。</w:t>
      </w:r>
      <w:r>
        <w:rPr>
          <w:rFonts w:hint="eastAsia" w:ascii="仿宋_GB2312" w:hAnsi="仿宋_GB2312" w:cs="Times New Roman"/>
          <w:color w:val="auto"/>
          <w:spacing w:val="0"/>
          <w:kern w:val="21"/>
          <w:sz w:val="32"/>
          <w:szCs w:val="32"/>
          <w:highlight w:val="none"/>
        </w:rPr>
        <w:t>提升应对花期冻害、风雹灾害应急响应能力，</w:t>
      </w:r>
      <w:r>
        <w:rPr>
          <w:rFonts w:hint="eastAsia" w:ascii="仿宋_GB2312" w:hAnsi="仿宋_GB2312" w:cs="Times New Roman"/>
          <w:color w:val="auto"/>
          <w:spacing w:val="0"/>
          <w:kern w:val="21"/>
          <w:sz w:val="32"/>
          <w:szCs w:val="32"/>
        </w:rPr>
        <w:t>建成冰雹源头防御体系。</w:t>
      </w:r>
      <w:r>
        <w:rPr>
          <w:rFonts w:hint="eastAsia" w:ascii="仿宋_GB2312" w:hAnsi="仿宋_GB2312" w:eastAsia="仿宋_GB2312" w:cs="仿宋_GB2312"/>
          <w:b w:val="0"/>
          <w:bCs/>
          <w:color w:val="auto"/>
          <w:spacing w:val="0"/>
          <w:kern w:val="21"/>
          <w:sz w:val="32"/>
          <w:szCs w:val="32"/>
        </w:rPr>
        <w:t>推动苹果产业与农资生产、食品加工、化工材料、包装印刷、装备制造、现代物流、果业文旅等产业贯通发展</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Times New Roman"/>
          <w:color w:val="auto"/>
          <w:spacing w:val="0"/>
          <w:kern w:val="21"/>
          <w:sz w:val="32"/>
          <w:szCs w:val="32"/>
        </w:rPr>
        <w:t>实施“延安苹果”品牌升级战略，重点培育30个企业品牌和产品品牌，带动市场拓展与出口贸易。</w:t>
      </w:r>
      <w:r>
        <w:rPr>
          <w:rFonts w:hint="eastAsia" w:ascii="仿宋_GB2312" w:hAnsi="仿宋_GB2312" w:cs="Times New Roman"/>
          <w:color w:val="auto"/>
          <w:spacing w:val="0"/>
          <w:kern w:val="21"/>
          <w:sz w:val="32"/>
          <w:szCs w:val="32"/>
          <w:lang w:val="en-US" w:eastAsia="zh-CN"/>
        </w:rPr>
        <w:t>依托国家骨干冷链物流基地建设，</w:t>
      </w:r>
      <w:r>
        <w:rPr>
          <w:rFonts w:hint="eastAsia" w:ascii="仿宋_GB2312" w:hAnsi="仿宋_GB2312" w:cs="仿宋_GB2312"/>
          <w:b w:val="0"/>
          <w:bCs/>
          <w:color w:val="auto"/>
          <w:spacing w:val="0"/>
          <w:kern w:val="21"/>
          <w:sz w:val="32"/>
          <w:szCs w:val="32"/>
          <w:lang w:val="en-US" w:eastAsia="zh-CN"/>
        </w:rPr>
        <w:t>搭建苹果销售专用平台，</w:t>
      </w:r>
      <w:r>
        <w:rPr>
          <w:rFonts w:hint="eastAsia" w:ascii="仿宋_GB2312" w:hAnsi="仿宋_GB2312" w:eastAsia="仿宋_GB2312" w:cs="仿宋_GB2312"/>
          <w:b w:val="0"/>
          <w:bCs/>
          <w:color w:val="auto"/>
          <w:spacing w:val="0"/>
          <w:kern w:val="21"/>
          <w:sz w:val="32"/>
          <w:szCs w:val="32"/>
        </w:rPr>
        <w:t>促进苹果生产标准化、</w:t>
      </w:r>
      <w:r>
        <w:rPr>
          <w:rFonts w:hint="eastAsia" w:ascii="仿宋_GB2312" w:hAnsi="仿宋_GB2312" w:eastAsia="仿宋_GB2312" w:cs="仿宋_GB2312"/>
          <w:b w:val="0"/>
          <w:bCs/>
          <w:color w:val="auto"/>
          <w:spacing w:val="0"/>
          <w:kern w:val="21"/>
          <w:sz w:val="32"/>
          <w:szCs w:val="32"/>
          <w:lang w:val="en-US" w:eastAsia="zh-CN"/>
        </w:rPr>
        <w:t>全程</w:t>
      </w:r>
      <w:r>
        <w:rPr>
          <w:rFonts w:hint="eastAsia" w:ascii="仿宋_GB2312" w:hAnsi="仿宋_GB2312" w:eastAsia="仿宋_GB2312" w:cs="仿宋_GB2312"/>
          <w:b w:val="0"/>
          <w:bCs/>
          <w:color w:val="auto"/>
          <w:spacing w:val="0"/>
          <w:kern w:val="21"/>
          <w:sz w:val="32"/>
          <w:szCs w:val="32"/>
        </w:rPr>
        <w:t>智能化、营销品牌化、科技现代化等综合水平走在全国前列，着力打造全产业链千亿级苹果产业集群。</w:t>
      </w:r>
    </w:p>
    <w:p w14:paraId="1A9440D3">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实施设施</w:t>
      </w:r>
      <w:r>
        <w:rPr>
          <w:rFonts w:hint="eastAsia" w:ascii="楷体_GB2312" w:hAnsi="楷体_GB2312" w:eastAsia="楷体_GB2312" w:cs="楷体_GB2312"/>
          <w:b w:val="0"/>
          <w:bCs w:val="0"/>
          <w:color w:val="auto"/>
          <w:spacing w:val="0"/>
          <w:kern w:val="21"/>
          <w:sz w:val="32"/>
          <w:szCs w:val="32"/>
          <w:lang w:val="en-US" w:eastAsia="zh-CN"/>
        </w:rPr>
        <w:t>农业</w:t>
      </w:r>
      <w:r>
        <w:rPr>
          <w:rFonts w:hint="eastAsia" w:ascii="楷体_GB2312" w:hAnsi="楷体_GB2312" w:eastAsia="楷体_GB2312" w:cs="楷体_GB2312"/>
          <w:b w:val="0"/>
          <w:bCs w:val="0"/>
          <w:color w:val="auto"/>
          <w:spacing w:val="0"/>
          <w:kern w:val="21"/>
          <w:sz w:val="32"/>
          <w:szCs w:val="32"/>
        </w:rPr>
        <w:t>增效行动。</w:t>
      </w:r>
      <w:r>
        <w:rPr>
          <w:rFonts w:hint="eastAsia" w:ascii="仿宋_GB2312" w:hAnsi="仿宋_GB2312" w:cs="Times New Roman"/>
          <w:color w:val="auto"/>
          <w:spacing w:val="0"/>
          <w:kern w:val="21"/>
          <w:sz w:val="32"/>
          <w:szCs w:val="32"/>
        </w:rPr>
        <w:t>以延河、洛河、秀延河、汾川河、葫芦河流域为重点建设标准化蔬菜保供基地，以延安北部以及环延安乡镇为重点建设</w:t>
      </w:r>
      <w:r>
        <w:rPr>
          <w:rFonts w:hint="eastAsia" w:ascii="仿宋_GB2312" w:hAnsi="仿宋_GB2312" w:cs="Times New Roman"/>
          <w:color w:val="auto"/>
          <w:spacing w:val="0"/>
          <w:kern w:val="21"/>
          <w:sz w:val="32"/>
          <w:szCs w:val="32"/>
          <w:lang w:val="en-US" w:eastAsia="zh-CN"/>
        </w:rPr>
        <w:t>特色</w:t>
      </w:r>
      <w:r>
        <w:rPr>
          <w:rFonts w:hint="eastAsia" w:ascii="仿宋_GB2312" w:hAnsi="仿宋_GB2312" w:cs="Times New Roman"/>
          <w:color w:val="auto"/>
          <w:spacing w:val="0"/>
          <w:kern w:val="21"/>
          <w:sz w:val="32"/>
          <w:szCs w:val="32"/>
        </w:rPr>
        <w:t>瓜果与休闲采摘产业带，以吴起、黄龙为核心区建设高山冷凉蔬菜基地，以宜川、宝塔、吴起等为重点建设食用菌生产核心区，打造黄土高原高效设施农业基地。统筹用地空间，新发展日光温室、弓棚和高标准露地菜1万亩，每年改造提升老旧设施5000亩，推</w:t>
      </w:r>
      <w:r>
        <w:rPr>
          <w:rFonts w:hint="eastAsia" w:ascii="仿宋_GB2312" w:hAnsi="仿宋_GB2312" w:cs="Times New Roman"/>
          <w:color w:val="auto"/>
          <w:spacing w:val="0"/>
          <w:kern w:val="21"/>
          <w:sz w:val="32"/>
          <w:szCs w:val="32"/>
          <w:lang w:val="en-US" w:eastAsia="zh-CN"/>
        </w:rPr>
        <w:t>广</w:t>
      </w:r>
      <w:r>
        <w:rPr>
          <w:rFonts w:hint="eastAsia" w:ascii="仿宋_GB2312" w:hAnsi="仿宋_GB2312" w:cs="Times New Roman"/>
          <w:color w:val="auto"/>
          <w:spacing w:val="0"/>
          <w:kern w:val="21"/>
          <w:sz w:val="32"/>
          <w:szCs w:val="32"/>
        </w:rPr>
        <w:t>安塞区有机蔬菜、宝塔区产业联盟、吴起县直供基地等发展模式。到2030年，</w:t>
      </w:r>
      <w:r>
        <w:rPr>
          <w:rFonts w:hint="eastAsia" w:ascii="仿宋_GB2312" w:hAnsi="仿宋_GB2312" w:cs="Times New Roman"/>
          <w:color w:val="auto"/>
          <w:spacing w:val="0"/>
          <w:kern w:val="21"/>
          <w:sz w:val="32"/>
          <w:szCs w:val="32"/>
          <w:highlight w:val="none"/>
        </w:rPr>
        <w:t>瓜菜播种面积、</w:t>
      </w:r>
      <w:r>
        <w:rPr>
          <w:rFonts w:hint="eastAsia" w:ascii="仿宋_GB2312" w:hAnsi="仿宋_GB2312" w:cs="Times New Roman"/>
          <w:color w:val="auto"/>
          <w:spacing w:val="0"/>
          <w:kern w:val="21"/>
          <w:sz w:val="32"/>
          <w:szCs w:val="32"/>
        </w:rPr>
        <w:t>产量</w:t>
      </w:r>
      <w:r>
        <w:rPr>
          <w:rFonts w:hint="eastAsia" w:ascii="仿宋_GB2312" w:hAnsi="仿宋_GB2312" w:cs="Times New Roman"/>
          <w:color w:val="auto"/>
          <w:spacing w:val="0"/>
          <w:kern w:val="21"/>
          <w:sz w:val="32"/>
          <w:szCs w:val="32"/>
          <w:lang w:val="en-US" w:eastAsia="zh-CN"/>
        </w:rPr>
        <w:t>分别</w:t>
      </w:r>
      <w:r>
        <w:rPr>
          <w:rFonts w:hint="eastAsia" w:ascii="仿宋_GB2312" w:hAnsi="仿宋_GB2312" w:cs="Times New Roman"/>
          <w:color w:val="auto"/>
          <w:spacing w:val="0"/>
          <w:kern w:val="21"/>
          <w:sz w:val="32"/>
          <w:szCs w:val="32"/>
        </w:rPr>
        <w:t>达到57万亩、185万吨。</w:t>
      </w:r>
    </w:p>
    <w:p w14:paraId="2EB3A258">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实施畜牧</w:t>
      </w:r>
      <w:r>
        <w:rPr>
          <w:rFonts w:hint="eastAsia" w:ascii="楷体_GB2312" w:hAnsi="楷体_GB2312" w:eastAsia="楷体_GB2312" w:cs="楷体_GB2312"/>
          <w:b w:val="0"/>
          <w:bCs w:val="0"/>
          <w:color w:val="auto"/>
          <w:spacing w:val="0"/>
          <w:kern w:val="21"/>
          <w:sz w:val="32"/>
          <w:szCs w:val="32"/>
          <w:lang w:val="en-US" w:eastAsia="zh-CN"/>
        </w:rPr>
        <w:t>业</w:t>
      </w:r>
      <w:r>
        <w:rPr>
          <w:rFonts w:hint="eastAsia" w:ascii="楷体_GB2312" w:hAnsi="楷体_GB2312" w:eastAsia="楷体_GB2312" w:cs="楷体_GB2312"/>
          <w:b w:val="0"/>
          <w:bCs w:val="0"/>
          <w:color w:val="auto"/>
          <w:spacing w:val="0"/>
          <w:kern w:val="21"/>
          <w:sz w:val="32"/>
          <w:szCs w:val="32"/>
        </w:rPr>
        <w:t>培优行动。</w:t>
      </w:r>
      <w:r>
        <w:rPr>
          <w:rFonts w:hint="eastAsia" w:ascii="仿宋_GB2312" w:hAnsi="仿宋_GB2312" w:cs="Times New Roman"/>
          <w:color w:val="auto"/>
          <w:spacing w:val="0"/>
          <w:kern w:val="21"/>
          <w:sz w:val="32"/>
          <w:szCs w:val="32"/>
        </w:rPr>
        <w:t>承接全省畜牧业“西进北扩”战略，积极引进国内外畜禽养殖大型龙头企业，重点培育年出栏万头以上规模猪场，生猪饲养量达到120万头以上。采取“公司+农户”“订单合作”等模式，带动肉羊</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肉牛养殖规模分别达到1</w:t>
      </w:r>
      <w:r>
        <w:rPr>
          <w:rFonts w:hint="eastAsia" w:ascii="仿宋_GB2312" w:hAnsi="仿宋_GB2312" w:cs="Times New Roman"/>
          <w:color w:val="auto"/>
          <w:spacing w:val="0"/>
          <w:kern w:val="21"/>
          <w:sz w:val="32"/>
          <w:szCs w:val="32"/>
          <w:lang w:val="en-US" w:eastAsia="zh-CN"/>
        </w:rPr>
        <w:t>3</w:t>
      </w:r>
      <w:r>
        <w:rPr>
          <w:rFonts w:hint="eastAsia" w:ascii="仿宋_GB2312" w:hAnsi="仿宋_GB2312" w:cs="Times New Roman"/>
          <w:color w:val="auto"/>
          <w:spacing w:val="0"/>
          <w:kern w:val="21"/>
          <w:sz w:val="32"/>
          <w:szCs w:val="32"/>
        </w:rPr>
        <w:t>0万只</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12万头以上。全链发展家禽养殖，养殖规模突破1000万羽。</w:t>
      </w:r>
    </w:p>
    <w:p w14:paraId="06EFA572">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做精特色产业。</w:t>
      </w:r>
      <w:r>
        <w:rPr>
          <w:rFonts w:hint="eastAsia" w:ascii="仿宋_GB2312" w:hAnsi="仿宋_GB2312" w:eastAsia="仿宋_GB2312" w:cs="仿宋_GB2312"/>
          <w:b w:val="0"/>
          <w:bCs/>
          <w:color w:val="auto"/>
          <w:spacing w:val="0"/>
          <w:kern w:val="21"/>
          <w:sz w:val="32"/>
          <w:szCs w:val="32"/>
        </w:rPr>
        <w:t>建设万亩小杂粮</w:t>
      </w:r>
      <w:r>
        <w:rPr>
          <w:rFonts w:hint="eastAsia" w:ascii="仿宋_GB2312" w:hAnsi="仿宋_GB2312" w:cs="仿宋_GB2312"/>
          <w:b w:val="0"/>
          <w:bCs/>
          <w:color w:val="auto"/>
          <w:spacing w:val="0"/>
          <w:kern w:val="21"/>
          <w:sz w:val="32"/>
          <w:szCs w:val="32"/>
          <w:lang w:val="en-US" w:eastAsia="zh-CN"/>
        </w:rPr>
        <w:t>种植</w:t>
      </w:r>
      <w:r>
        <w:rPr>
          <w:rFonts w:hint="eastAsia" w:ascii="仿宋_GB2312" w:hAnsi="仿宋_GB2312" w:eastAsia="仿宋_GB2312" w:cs="仿宋_GB2312"/>
          <w:b w:val="0"/>
          <w:bCs/>
          <w:color w:val="auto"/>
          <w:spacing w:val="0"/>
          <w:kern w:val="21"/>
          <w:sz w:val="32"/>
          <w:szCs w:val="32"/>
        </w:rPr>
        <w:t>基地，</w:t>
      </w:r>
      <w:r>
        <w:rPr>
          <w:rFonts w:hint="eastAsia" w:ascii="仿宋_GB2312" w:hAnsi="仿宋_GB2312" w:cs="仿宋_GB2312"/>
          <w:b w:val="0"/>
          <w:bCs/>
          <w:color w:val="auto"/>
          <w:spacing w:val="0"/>
          <w:kern w:val="21"/>
          <w:sz w:val="32"/>
          <w:szCs w:val="32"/>
          <w:lang w:val="en-US" w:eastAsia="zh-CN"/>
        </w:rPr>
        <w:t>推进小米、荞麦等特色有机小杂粮向绿色、健康、高端化发展。</w:t>
      </w:r>
      <w:r>
        <w:rPr>
          <w:rFonts w:hint="eastAsia" w:ascii="仿宋_GB2312" w:hAnsi="仿宋_GB2312" w:eastAsia="仿宋_GB2312" w:cs="Times New Roman"/>
          <w:b w:val="0"/>
          <w:bCs w:val="0"/>
          <w:color w:val="auto"/>
          <w:spacing w:val="0"/>
          <w:kern w:val="21"/>
          <w:sz w:val="32"/>
          <w:szCs w:val="32"/>
        </w:rPr>
        <w:t>大力发展林下经济，</w:t>
      </w:r>
      <w:r>
        <w:rPr>
          <w:rFonts w:hint="eastAsia" w:ascii="仿宋_GB2312" w:hAnsi="仿宋_GB2312" w:eastAsia="仿宋_GB2312" w:cs="仿宋_GB2312"/>
          <w:b w:val="0"/>
          <w:bCs/>
          <w:color w:val="auto"/>
          <w:spacing w:val="0"/>
          <w:kern w:val="21"/>
          <w:sz w:val="32"/>
          <w:szCs w:val="32"/>
          <w:lang w:val="en-US" w:eastAsia="zh-CN"/>
        </w:rPr>
        <w:t>积极发展经济灌木林和中草药种植，</w:t>
      </w:r>
      <w:r>
        <w:rPr>
          <w:rFonts w:hint="eastAsia" w:ascii="仿宋_GB2312" w:hAnsi="仿宋_GB2312" w:eastAsia="仿宋_GB2312" w:cs="仿宋_GB2312"/>
          <w:b w:val="0"/>
          <w:bCs/>
          <w:color w:val="auto"/>
          <w:spacing w:val="0"/>
          <w:kern w:val="21"/>
          <w:sz w:val="32"/>
          <w:szCs w:val="32"/>
        </w:rPr>
        <w:t>构建</w:t>
      </w:r>
      <w:r>
        <w:rPr>
          <w:rFonts w:hint="eastAsia" w:ascii="仿宋_GB2312" w:hAnsi="仿宋_GB2312" w:eastAsia="仿宋_GB2312" w:cs="仿宋_GB2312"/>
          <w:b w:val="0"/>
          <w:bCs/>
          <w:color w:val="auto"/>
          <w:spacing w:val="0"/>
          <w:kern w:val="21"/>
          <w:sz w:val="32"/>
          <w:szCs w:val="32"/>
          <w:u w:val="none"/>
        </w:rPr>
        <w:t>林下种、林上采、</w:t>
      </w:r>
      <w:r>
        <w:rPr>
          <w:rFonts w:hint="eastAsia" w:ascii="仿宋_GB2312" w:hAnsi="仿宋_GB2312" w:eastAsia="仿宋_GB2312" w:cs="仿宋_GB2312"/>
          <w:b w:val="0"/>
          <w:bCs/>
          <w:color w:val="auto"/>
          <w:spacing w:val="0"/>
          <w:kern w:val="21"/>
          <w:sz w:val="32"/>
          <w:szCs w:val="32"/>
        </w:rPr>
        <w:t>林中养、林间游的立体发展格局。</w:t>
      </w:r>
      <w:r>
        <w:rPr>
          <w:rFonts w:hint="eastAsia" w:ascii="仿宋_GB2312" w:hAnsi="仿宋_GB2312" w:cs="Times New Roman"/>
          <w:color w:val="auto"/>
          <w:spacing w:val="0"/>
          <w:kern w:val="21"/>
          <w:sz w:val="32"/>
          <w:szCs w:val="32"/>
        </w:rPr>
        <w:t>重点发展</w:t>
      </w:r>
      <w:r>
        <w:rPr>
          <w:rFonts w:hint="eastAsia" w:ascii="仿宋_GB2312" w:hAnsi="仿宋_GB2312" w:cs="Times New Roman"/>
          <w:color w:val="auto"/>
          <w:spacing w:val="0"/>
          <w:kern w:val="21"/>
          <w:sz w:val="32"/>
          <w:szCs w:val="32"/>
          <w:lang w:val="en-US" w:eastAsia="zh-CN"/>
        </w:rPr>
        <w:t>连翘、</w:t>
      </w:r>
      <w:r>
        <w:rPr>
          <w:rFonts w:hint="eastAsia" w:ascii="仿宋_GB2312" w:hAnsi="仿宋_GB2312" w:cs="Times New Roman"/>
          <w:color w:val="auto"/>
          <w:spacing w:val="0"/>
          <w:kern w:val="21"/>
          <w:sz w:val="32"/>
          <w:szCs w:val="32"/>
        </w:rPr>
        <w:t>酸枣、远志、黄芪等大宗和道地药材，鼓励发展林下中药材种植，推广林药混种、套种和中药材野生抚育及仿野生栽培模式，打造品种优良、质量上乘的中药材重点产区，中药材种植面积达到30万亩以上。加快低产低效干果经济林改造，推进红枣、核桃、</w:t>
      </w:r>
      <w:r>
        <w:rPr>
          <w:rFonts w:hint="eastAsia" w:ascii="仿宋_GB2312" w:hAnsi="仿宋_GB2312" w:cs="Times New Roman"/>
          <w:color w:val="auto"/>
          <w:spacing w:val="0"/>
          <w:kern w:val="21"/>
          <w:sz w:val="32"/>
          <w:szCs w:val="32"/>
          <w:highlight w:val="none"/>
        </w:rPr>
        <w:t>花椒</w:t>
      </w:r>
      <w:r>
        <w:rPr>
          <w:rFonts w:hint="eastAsia" w:ascii="仿宋_GB2312" w:hAnsi="仿宋_GB2312" w:cs="Times New Roman"/>
          <w:color w:val="auto"/>
          <w:spacing w:val="0"/>
          <w:kern w:val="21"/>
          <w:sz w:val="32"/>
          <w:szCs w:val="32"/>
        </w:rPr>
        <w:t>等干果产业加工增值，干果经济林面积稳定在40万亩。突出“延安洋槐蜜”品牌优势，以黄龙为核心加快形成蜂产品研发中心和蜂蜜集散地，蜂群规模达到25万箱。推进“放牧式”生态养殖，在富县、南泥湾推广稻渔综合种养，以黄龙、吴起、宝塔为重点扩大休闲渔业规模，打造“渔旅+”产业链。</w:t>
      </w:r>
    </w:p>
    <w:p w14:paraId="3DE3DCF7">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实施</w:t>
      </w:r>
      <w:r>
        <w:rPr>
          <w:rFonts w:hint="eastAsia" w:ascii="楷体_GB2312" w:hAnsi="楷体_GB2312" w:eastAsia="楷体_GB2312" w:cs="楷体_GB2312"/>
          <w:b w:val="0"/>
          <w:bCs w:val="0"/>
          <w:color w:val="auto"/>
          <w:spacing w:val="0"/>
          <w:kern w:val="21"/>
          <w:sz w:val="32"/>
          <w:szCs w:val="32"/>
          <w:lang w:val="en-US" w:eastAsia="zh-CN"/>
        </w:rPr>
        <w:t>农产</w:t>
      </w:r>
      <w:r>
        <w:rPr>
          <w:rFonts w:hint="eastAsia" w:ascii="楷体_GB2312" w:hAnsi="楷体_GB2312" w:eastAsia="楷体_GB2312" w:cs="楷体_GB2312"/>
          <w:b w:val="0"/>
          <w:bCs w:val="0"/>
          <w:color w:val="auto"/>
          <w:spacing w:val="0"/>
          <w:kern w:val="21"/>
          <w:sz w:val="32"/>
          <w:szCs w:val="32"/>
        </w:rPr>
        <w:t>品加工</w:t>
      </w:r>
      <w:r>
        <w:rPr>
          <w:rFonts w:hint="eastAsia" w:ascii="楷体_GB2312" w:hAnsi="楷体_GB2312" w:eastAsia="楷体_GB2312" w:cs="楷体_GB2312"/>
          <w:b w:val="0"/>
          <w:bCs w:val="0"/>
          <w:color w:val="auto"/>
          <w:spacing w:val="0"/>
          <w:kern w:val="21"/>
          <w:sz w:val="32"/>
          <w:szCs w:val="32"/>
          <w:lang w:val="en-US" w:eastAsia="zh-CN"/>
        </w:rPr>
        <w:t>业</w:t>
      </w:r>
      <w:r>
        <w:rPr>
          <w:rFonts w:hint="eastAsia" w:ascii="楷体_GB2312" w:hAnsi="楷体_GB2312" w:eastAsia="楷体_GB2312" w:cs="楷体_GB2312"/>
          <w:b w:val="0"/>
          <w:bCs w:val="0"/>
          <w:color w:val="auto"/>
          <w:spacing w:val="0"/>
          <w:kern w:val="21"/>
          <w:sz w:val="32"/>
          <w:szCs w:val="32"/>
        </w:rPr>
        <w:t>倍增</w:t>
      </w:r>
      <w:r>
        <w:rPr>
          <w:rFonts w:hint="eastAsia" w:ascii="楷体_GB2312" w:hAnsi="楷体_GB2312" w:eastAsia="楷体_GB2312" w:cs="楷体_GB2312"/>
          <w:b w:val="0"/>
          <w:bCs w:val="0"/>
          <w:color w:val="auto"/>
          <w:spacing w:val="0"/>
          <w:kern w:val="21"/>
          <w:sz w:val="32"/>
          <w:szCs w:val="32"/>
          <w:lang w:val="en-US" w:eastAsia="zh-CN"/>
        </w:rPr>
        <w:t>计划</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s="Times New Roman"/>
          <w:color w:val="auto"/>
          <w:spacing w:val="0"/>
          <w:kern w:val="21"/>
          <w:sz w:val="32"/>
          <w:szCs w:val="32"/>
        </w:rPr>
        <w:t>优化升级从保鲜烘干、清选分级到精深加工的农产品加工体系，</w:t>
      </w:r>
      <w:r>
        <w:rPr>
          <w:rFonts w:hint="eastAsia" w:ascii="仿宋_GB2312" w:hAnsi="仿宋_GB2312" w:eastAsia="仿宋_GB2312" w:cs="Times New Roman"/>
          <w:b w:val="0"/>
          <w:bCs w:val="0"/>
          <w:color w:val="auto"/>
          <w:spacing w:val="0"/>
          <w:kern w:val="21"/>
          <w:sz w:val="32"/>
          <w:szCs w:val="32"/>
        </w:rPr>
        <w:t>实现产品价值</w:t>
      </w:r>
      <w:r>
        <w:rPr>
          <w:rFonts w:hint="eastAsia" w:ascii="仿宋_GB2312" w:hAnsi="仿宋_GB2312" w:cs="Times New Roman"/>
          <w:b w:val="0"/>
          <w:bCs w:val="0"/>
          <w:color w:val="auto"/>
          <w:spacing w:val="0"/>
          <w:kern w:val="21"/>
          <w:sz w:val="32"/>
          <w:szCs w:val="32"/>
          <w:lang w:val="en-US" w:eastAsia="zh-CN"/>
        </w:rPr>
        <w:t>和</w:t>
      </w:r>
      <w:r>
        <w:rPr>
          <w:rFonts w:hint="eastAsia" w:ascii="仿宋_GB2312" w:hAnsi="仿宋_GB2312" w:eastAsia="仿宋_GB2312" w:cs="Times New Roman"/>
          <w:b w:val="0"/>
          <w:bCs w:val="0"/>
          <w:color w:val="auto"/>
          <w:spacing w:val="0"/>
          <w:kern w:val="21"/>
          <w:sz w:val="32"/>
          <w:szCs w:val="32"/>
        </w:rPr>
        <w:t>产业能级</w:t>
      </w:r>
      <w:r>
        <w:rPr>
          <w:rFonts w:hint="eastAsia" w:ascii="仿宋_GB2312" w:hAnsi="仿宋_GB2312" w:cs="Times New Roman"/>
          <w:b w:val="0"/>
          <w:bCs w:val="0"/>
          <w:color w:val="auto"/>
          <w:spacing w:val="0"/>
          <w:kern w:val="21"/>
          <w:sz w:val="32"/>
          <w:szCs w:val="32"/>
          <w:lang w:val="en-US" w:eastAsia="zh-CN"/>
        </w:rPr>
        <w:t>双</w:t>
      </w:r>
      <w:r>
        <w:rPr>
          <w:rFonts w:hint="eastAsia" w:ascii="仿宋_GB2312" w:hAnsi="仿宋_GB2312" w:eastAsia="仿宋_GB2312" w:cs="Times New Roman"/>
          <w:b w:val="0"/>
          <w:bCs w:val="0"/>
          <w:color w:val="auto"/>
          <w:spacing w:val="0"/>
          <w:kern w:val="21"/>
          <w:sz w:val="32"/>
          <w:szCs w:val="32"/>
        </w:rPr>
        <w:t>提升。</w:t>
      </w:r>
      <w:r>
        <w:rPr>
          <w:rFonts w:hint="eastAsia" w:ascii="仿宋_GB2312" w:hAnsi="仿宋_GB2312" w:cs="Times New Roman"/>
          <w:color w:val="auto"/>
          <w:spacing w:val="0"/>
          <w:kern w:val="21"/>
          <w:sz w:val="32"/>
          <w:szCs w:val="32"/>
        </w:rPr>
        <w:t>依托蔬菜、畜禽、杂粮、食用菌、鲜干果等特色农产品资源优势，重点建设粮油、酿酒、畜禽肉类、果蔬、茶饮、特色小吃等特色鲜明、结构合理、链条完整的农产品精深加工产业板块。重点推进原粮生产向食品生产转型，提升畜禽预冷、分割能力</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发展预制菜、调味品、休闲食品、果蔬汁、保健食品、提取物等精深加工产品。增强黄陵轩辕、甘泉美水等传统白酒市场竞争力，开发果味酒、气泡酒等多样化产品，</w:t>
      </w:r>
      <w:r>
        <w:rPr>
          <w:rFonts w:hint="eastAsia" w:ascii="仿宋_GB2312" w:hAnsi="仿宋_GB2312" w:cs="Times New Roman"/>
          <w:color w:val="auto"/>
          <w:spacing w:val="0"/>
          <w:kern w:val="21"/>
          <w:sz w:val="32"/>
          <w:szCs w:val="32"/>
          <w:highlight w:val="none"/>
          <w:lang w:val="en-US" w:eastAsia="zh-CN"/>
        </w:rPr>
        <w:t>重点</w:t>
      </w:r>
      <w:r>
        <w:rPr>
          <w:rFonts w:hint="eastAsia" w:ascii="仿宋_GB2312" w:hAnsi="仿宋_GB2312" w:cs="Times New Roman"/>
          <w:color w:val="auto"/>
          <w:spacing w:val="0"/>
          <w:kern w:val="21"/>
          <w:sz w:val="32"/>
          <w:szCs w:val="32"/>
          <w:highlight w:val="none"/>
        </w:rPr>
        <w:t>支持</w:t>
      </w:r>
      <w:r>
        <w:rPr>
          <w:rFonts w:hint="eastAsia" w:ascii="仿宋_GB2312" w:hAnsi="仿宋_GB2312" w:cs="Times New Roman"/>
          <w:color w:val="auto"/>
          <w:spacing w:val="0"/>
          <w:kern w:val="21"/>
          <w:sz w:val="32"/>
          <w:szCs w:val="32"/>
          <w:highlight w:val="none"/>
          <w:lang w:val="en-US" w:eastAsia="zh-CN"/>
        </w:rPr>
        <w:t>延安</w:t>
      </w:r>
      <w:r>
        <w:rPr>
          <w:rFonts w:hint="eastAsia" w:ascii="仿宋_GB2312" w:hAnsi="仿宋_GB2312" w:cs="Times New Roman"/>
          <w:color w:val="auto"/>
          <w:spacing w:val="0"/>
          <w:kern w:val="21"/>
          <w:sz w:val="32"/>
          <w:szCs w:val="32"/>
          <w:highlight w:val="none"/>
        </w:rPr>
        <w:t>稠酒</w:t>
      </w:r>
      <w:r>
        <w:rPr>
          <w:rFonts w:hint="eastAsia" w:ascii="仿宋_GB2312" w:hAnsi="仿宋_GB2312" w:cs="Times New Roman"/>
          <w:color w:val="auto"/>
          <w:spacing w:val="0"/>
          <w:kern w:val="21"/>
          <w:sz w:val="32"/>
          <w:szCs w:val="32"/>
          <w:highlight w:val="none"/>
          <w:lang w:val="en-US" w:eastAsia="zh-CN"/>
        </w:rPr>
        <w:t>提升工艺、扩大市场，积极发展</w:t>
      </w:r>
      <w:r>
        <w:rPr>
          <w:rFonts w:hint="eastAsia" w:ascii="仿宋_GB2312" w:hAnsi="仿宋_GB2312" w:cs="Times New Roman"/>
          <w:color w:val="auto"/>
          <w:spacing w:val="0"/>
          <w:kern w:val="21"/>
          <w:sz w:val="32"/>
          <w:szCs w:val="32"/>
          <w:highlight w:val="none"/>
        </w:rPr>
        <w:t>精酿啤酒、黄酒等，做强“延安啤酒”品牌</w:t>
      </w:r>
      <w:r>
        <w:rPr>
          <w:rFonts w:hint="eastAsia" w:ascii="仿宋_GB2312" w:hAnsi="仿宋_GB2312" w:cs="Times New Roman"/>
          <w:color w:val="auto"/>
          <w:spacing w:val="0"/>
          <w:kern w:val="21"/>
          <w:sz w:val="32"/>
          <w:szCs w:val="32"/>
        </w:rPr>
        <w:t>。开发枣芽茶、连翘茶、菊花茶等系列产品，支持蜂蜜水、醋饮、梨汁等饮品企业做大规模，做优“延安山泉”“南泥湾”等矿泉水品牌。以“川云酸菜面”“吴起剁荞面”等为重点，推广“中央厨房+餐饮门店”等模式，支持“延长烤肉”“安塞地椒羊肉”</w:t>
      </w:r>
      <w:r>
        <w:rPr>
          <w:rFonts w:hint="eastAsia" w:ascii="仿宋_GB2312" w:hAnsi="仿宋_GB2312" w:cs="Times New Roman"/>
          <w:color w:val="auto"/>
          <w:spacing w:val="-6"/>
          <w:kern w:val="21"/>
          <w:sz w:val="32"/>
          <w:szCs w:val="32"/>
        </w:rPr>
        <w:t>全链</w:t>
      </w:r>
      <w:r>
        <w:rPr>
          <w:rFonts w:hint="eastAsia" w:ascii="仿宋_GB2312" w:hAnsi="仿宋_GB2312" w:cs="Times New Roman"/>
          <w:color w:val="auto"/>
          <w:spacing w:val="-6"/>
          <w:kern w:val="21"/>
          <w:sz w:val="32"/>
          <w:szCs w:val="32"/>
          <w:lang w:val="en-US" w:eastAsia="zh-CN"/>
        </w:rPr>
        <w:t>条</w:t>
      </w:r>
      <w:r>
        <w:rPr>
          <w:rFonts w:hint="eastAsia" w:ascii="仿宋_GB2312" w:hAnsi="仿宋_GB2312" w:cs="Times New Roman"/>
          <w:color w:val="auto"/>
          <w:spacing w:val="-6"/>
          <w:kern w:val="21"/>
          <w:sz w:val="32"/>
          <w:szCs w:val="32"/>
        </w:rPr>
        <w:t>发展，打响叫亮“延安味道”品牌。围绕人防救生、煤矿救生、家庭应急储备、户外应急等需求，发展罐头、压缩饼干及脱水食品等应急食品。探索开发人造食品、3D打印食品等未来食品</w:t>
      </w:r>
      <w:r>
        <w:rPr>
          <w:rFonts w:hint="eastAsia" w:ascii="仿宋_GB2312" w:hAnsi="仿宋_GB2312" w:cs="Times New Roman"/>
          <w:color w:val="auto"/>
          <w:spacing w:val="0"/>
          <w:kern w:val="21"/>
          <w:sz w:val="32"/>
          <w:szCs w:val="32"/>
        </w:rPr>
        <w:t>。</w:t>
      </w:r>
    </w:p>
    <w:p w14:paraId="420A0093">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1B8B4331">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第二节</w:t>
      </w:r>
      <w:r>
        <w:rPr>
          <w:rFonts w:hint="eastAsia" w:ascii="楷体_GB2312" w:hAnsi="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提升农业现代化水平</w:t>
      </w:r>
    </w:p>
    <w:p w14:paraId="4DF05CFE">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6976C103">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推进农业科技创新</w:t>
      </w:r>
      <w:r>
        <w:rPr>
          <w:rFonts w:hint="eastAsia" w:ascii="楷体_GB2312" w:hAnsi="楷体_GB2312" w:eastAsia="楷体_GB2312" w:cs="楷体_GB2312"/>
          <w:b w:val="0"/>
          <w:bCs w:val="0"/>
          <w:color w:val="auto"/>
          <w:spacing w:val="0"/>
          <w:kern w:val="21"/>
          <w:sz w:val="32"/>
          <w:szCs w:val="32"/>
          <w:lang w:eastAsia="zh-CN"/>
        </w:rPr>
        <w:t>。</w:t>
      </w:r>
      <w:r>
        <w:rPr>
          <w:rFonts w:hint="default" w:ascii="仿宋_GB2312" w:hAnsi="仿宋_GB2312" w:cs="仿宋_GB2312"/>
          <w:color w:val="auto"/>
          <w:spacing w:val="0"/>
          <w:kern w:val="21"/>
          <w:sz w:val="32"/>
          <w:szCs w:val="32"/>
        </w:rPr>
        <w:t>推动全市农业科技资源整合，建立企业主导、市场导向、产学研协同的创新机制，加大农业科技型企业、农业产业技术创新战略联盟培育引进力度</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支持创建省级农业高新技术产业示范区。健全公益性和经营性相结合的农业科技推广体系，支持基层农技推广队伍建设。推进农机装备全面升级</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落实</w:t>
      </w:r>
      <w:r>
        <w:rPr>
          <w:rFonts w:hint="default" w:ascii="仿宋_GB2312" w:hAnsi="仿宋_GB2312" w:cs="仿宋_GB2312"/>
          <w:color w:val="auto"/>
          <w:spacing w:val="0"/>
          <w:kern w:val="21"/>
          <w:sz w:val="32"/>
          <w:szCs w:val="32"/>
        </w:rPr>
        <w:t>优机优补政策，</w:t>
      </w:r>
      <w:r>
        <w:rPr>
          <w:rFonts w:hint="default" w:ascii="仿宋_GB2312" w:hAnsi="仿宋_GB2312" w:cs="仿宋_GB2312"/>
          <w:color w:val="auto"/>
          <w:spacing w:val="0"/>
          <w:kern w:val="21"/>
          <w:sz w:val="32"/>
          <w:szCs w:val="32"/>
          <w:highlight w:val="none"/>
        </w:rPr>
        <w:t>推动黄陵苹果全程机械化试验站取得突破性进展，</w:t>
      </w:r>
      <w:r>
        <w:rPr>
          <w:rFonts w:hint="default" w:ascii="仿宋_GB2312" w:hAnsi="仿宋_GB2312" w:cs="仿宋_GB2312"/>
          <w:color w:val="auto"/>
          <w:spacing w:val="0"/>
          <w:kern w:val="21"/>
          <w:sz w:val="32"/>
          <w:szCs w:val="32"/>
        </w:rPr>
        <w:t>加快关键环节主力机型推广，农机总动力达到217万千瓦。推进农业“宜机化”作业条件提档升级，推广以机适种</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以种适机融合发展模式，综合机械化水平达到77.6%。</w:t>
      </w:r>
    </w:p>
    <w:p w14:paraId="3A05A803">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eastAsia="zh-CN"/>
        </w:rPr>
        <w:t>推进农业全面绿色转型。</w:t>
      </w:r>
      <w:r>
        <w:rPr>
          <w:rFonts w:hint="eastAsia" w:ascii="仿宋_GB2312" w:hAnsi="仿宋_GB2312" w:cs="仿宋_GB2312"/>
          <w:color w:val="auto"/>
          <w:spacing w:val="0"/>
          <w:kern w:val="21"/>
          <w:sz w:val="32"/>
          <w:szCs w:val="32"/>
          <w:lang w:eastAsia="zh-CN"/>
        </w:rPr>
        <w:t>因地制宜推进轮作休耕、间作套种、林下经营、农林牧渔结合等生态复合型种养，推广果畜、果菌、菜畜和稻渔综合种养等循环农业模式。开展苹果碳足迹核算与碳标签建设试点。促进农业资源集约利用，统筹推进农艺、工程、管理节水，水浇地大面积推广水肥一体化等高效节水技术，旱耕地组装配套蓄水保墒、集雨节灌、探墒播种等技术措施。</w:t>
      </w:r>
      <w:r>
        <w:rPr>
          <w:rFonts w:hint="eastAsia" w:ascii="仿宋_GB2312" w:hAnsi="仿宋_GB2312" w:cs="仿宋_GB2312"/>
          <w:color w:val="auto"/>
          <w:spacing w:val="0"/>
          <w:kern w:val="21"/>
          <w:sz w:val="32"/>
          <w:szCs w:val="32"/>
        </w:rPr>
        <w:t>加强农业领域固体废物综合利用，持续推进化肥农药投入减量和粪污、秸秆、果树枝条等资源全量就近综合利用，开展农膜、反光膜市场化回收利用。</w:t>
      </w:r>
      <w:r>
        <w:rPr>
          <w:rFonts w:hint="eastAsia" w:ascii="仿宋_GB2312" w:hAnsi="仿宋_GB2312" w:cs="仿宋_GB2312"/>
          <w:color w:val="auto"/>
          <w:spacing w:val="0"/>
          <w:kern w:val="21"/>
          <w:sz w:val="32"/>
          <w:szCs w:val="32"/>
          <w:lang w:eastAsia="zh-CN"/>
        </w:rPr>
        <w:t>强化农业面源污染治理，推进畜禽粪肥源头减量和就地就近科学还田。到2030年，绿色防控覆盖率达到60%以上，畜禽粪污综合利用率达到90%，秸秆综合利用率保持在93%以上，农膜回收率达到86%。</w:t>
      </w:r>
    </w:p>
    <w:p w14:paraId="36E75AF7">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eastAsia="zh-CN"/>
        </w:rPr>
        <w:t>强化农产品质量监管。</w:t>
      </w:r>
      <w:r>
        <w:rPr>
          <w:rFonts w:hint="eastAsia" w:ascii="仿宋_GB2312" w:hAnsi="仿宋_GB2312" w:cs="仿宋_GB2312"/>
          <w:color w:val="auto"/>
          <w:spacing w:val="0"/>
          <w:kern w:val="21"/>
          <w:sz w:val="32"/>
          <w:szCs w:val="32"/>
          <w:lang w:eastAsia="zh-CN"/>
        </w:rPr>
        <w:t>一体推进农业标准制定、应用和管理，健全农产品等级规格、品质评价、产地初加工、包装标识与储藏标准，推进产地环境、生产过程、产品质量、包装标识等全流程标准化。实施农产品“三品一标”基地建设、品质提升、消费促进、达标亮证四大行动，每年认证绿色食品、有机农产品20个，支持具有地域特色的农产品申请地理标志、证明商标和品牌保护，农产品质量安全检测合格率稳定在98%以上。</w:t>
      </w:r>
    </w:p>
    <w:p w14:paraId="1E7329ED">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仿宋_GB2312" w:hAnsi="仿宋_GB2312" w:eastAsia="仿宋_GB2312" w:cs="仿宋_GB2312"/>
          <w:b w:val="0"/>
          <w:bCs w:val="0"/>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推进农产品品牌高水平建设。</w:t>
      </w:r>
      <w:r>
        <w:rPr>
          <w:rFonts w:hint="default" w:ascii="仿宋_GB2312" w:hAnsi="仿宋_GB2312" w:cs="仿宋_GB2312"/>
          <w:color w:val="auto"/>
          <w:spacing w:val="0"/>
          <w:kern w:val="21"/>
          <w:sz w:val="32"/>
          <w:szCs w:val="32"/>
        </w:rPr>
        <w:t>以“延安苹果·中国国礼”为</w:t>
      </w:r>
      <w:r>
        <w:rPr>
          <w:rFonts w:hint="eastAsia" w:ascii="仿宋_GB2312" w:hAnsi="仿宋_GB2312" w:cs="仿宋_GB2312"/>
          <w:color w:val="auto"/>
          <w:spacing w:val="0"/>
          <w:kern w:val="21"/>
          <w:sz w:val="32"/>
          <w:szCs w:val="32"/>
          <w:lang w:val="en-US" w:eastAsia="zh-CN"/>
        </w:rPr>
        <w:t>引领</w:t>
      </w:r>
      <w:r>
        <w:rPr>
          <w:rFonts w:hint="default" w:ascii="仿宋_GB2312" w:hAnsi="仿宋_GB2312" w:cs="仿宋_GB2312"/>
          <w:color w:val="auto"/>
          <w:spacing w:val="0"/>
          <w:kern w:val="21"/>
          <w:sz w:val="32"/>
          <w:szCs w:val="32"/>
        </w:rPr>
        <w:t>，实施品牌升级战略规划及宣传三年行动，巩固提升延安苹果、洛川苹果区域公用品牌优势。深挖品牌文化底蕴，讲好品牌故事。构建“公用IP+企业子品牌”矩阵，统一品牌形象。开发深加工产品与农文旅项目，实现品牌溢价与农民增收。加强品牌保护维权与质量追溯管理。</w:t>
      </w:r>
    </w:p>
    <w:p w14:paraId="3C9C76B7">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eastAsia="仿宋_GB2312" w:cs="仿宋_GB2312"/>
          <w:b w:val="0"/>
          <w:bCs w:val="0"/>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完善现代农业经营体系</w:t>
      </w:r>
      <w:r>
        <w:rPr>
          <w:rFonts w:hint="eastAsia" w:ascii="楷体_GB2312" w:hAnsi="楷体_GB2312" w:eastAsia="楷体_GB2312" w:cs="楷体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加快构建以家庭经营为基础、新型农业经营主体为依托、社会化服务为支撑、各类主体联合合作的现代农业经营体系。实施家庭农场提升计划，鼓励规模经营户及各类返乡创业人才兴办家庭农场，推进“一码通”管理。推进农民专业合作社规范发展，实施农业企业梯度培育行动</w:t>
      </w:r>
      <w:r>
        <w:rPr>
          <w:rFonts w:hint="eastAsia" w:ascii="仿宋_GB2312" w:hAnsi="仿宋_GB2312" w:cs="仿宋_GB2312"/>
          <w:b w:val="0"/>
          <w:bCs w:val="0"/>
          <w:color w:val="auto"/>
          <w:spacing w:val="0"/>
          <w:kern w:val="21"/>
          <w:sz w:val="32"/>
          <w:szCs w:val="32"/>
          <w:lang w:eastAsia="zh-CN"/>
        </w:rPr>
        <w:t>。建设现代农事综合服务中心，</w:t>
      </w:r>
      <w:r>
        <w:rPr>
          <w:rFonts w:hint="eastAsia" w:ascii="仿宋_GB2312" w:hAnsi="仿宋_GB2312" w:eastAsia="仿宋_GB2312" w:cs="仿宋_GB2312"/>
          <w:b w:val="0"/>
          <w:bCs w:val="0"/>
          <w:color w:val="auto"/>
          <w:spacing w:val="0"/>
          <w:kern w:val="21"/>
          <w:sz w:val="32"/>
          <w:szCs w:val="32"/>
        </w:rPr>
        <w:t>探索开展品牌打造、营销推介、智慧农业等延伸性服务，打造10公里农事服务圈。发展联农带农经济</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引导各类经营主体与小农户建立完成契约型、分红型、股权型等多种利益联结机制</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Times New Roman"/>
          <w:color w:val="auto"/>
          <w:spacing w:val="0"/>
          <w:kern w:val="21"/>
          <w:sz w:val="32"/>
          <w:szCs w:val="32"/>
        </w:rPr>
        <w:t>让农民更多分享产业增值收益。</w:t>
      </w:r>
    </w:p>
    <w:p w14:paraId="73546622">
      <w:pPr>
        <w:keepNext w:val="0"/>
        <w:keepLines w:val="0"/>
        <w:pageBreakBefore w:val="0"/>
        <w:widowControl w:val="0"/>
        <w:kinsoku/>
        <w:wordWrap/>
        <w:overflowPunct w:val="0"/>
        <w:topLinePunct w:val="0"/>
        <w:autoSpaceDE/>
        <w:autoSpaceDN/>
        <w:bidi w:val="0"/>
        <w:adjustRightInd/>
        <w:snapToGrid/>
        <w:spacing w:afterAutospacing="0" w:line="579" w:lineRule="exact"/>
        <w:ind w:left="0"/>
        <w:jc w:val="both"/>
        <w:textAlignment w:val="auto"/>
        <w:rPr>
          <w:rFonts w:hint="eastAsia" w:ascii="仿宋_GB2312" w:hAnsi="仿宋_GB2312" w:cs="仿宋_GB2312"/>
          <w:b w:val="0"/>
          <w:bCs/>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深化农村一二三产业融合。</w:t>
      </w:r>
      <w:r>
        <w:rPr>
          <w:rFonts w:hint="eastAsia" w:ascii="仿宋_GB2312" w:hAnsi="仿宋_GB2312" w:cs="Times New Roman"/>
          <w:color w:val="auto"/>
          <w:spacing w:val="0"/>
          <w:kern w:val="21"/>
          <w:sz w:val="32"/>
          <w:szCs w:val="32"/>
        </w:rPr>
        <w:t>坚持粮头食尾、畜头肉尾、农头工尾，推广农产品产地加工与精深加工相结合模式，</w:t>
      </w:r>
      <w:r>
        <w:rPr>
          <w:rFonts w:hint="eastAsia" w:ascii="仿宋_GB2312" w:hAnsi="仿宋_GB2312" w:eastAsia="仿宋_GB2312" w:cs="仿宋_GB2312"/>
          <w:color w:val="auto"/>
          <w:spacing w:val="0"/>
          <w:kern w:val="21"/>
          <w:sz w:val="32"/>
          <w:szCs w:val="32"/>
          <w:lang w:val="en-US" w:eastAsia="zh-CN"/>
        </w:rPr>
        <w:t>健全农产品物流网络和生鲜冷链物流体系</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lang w:val="en-US" w:eastAsia="zh-CN"/>
        </w:rPr>
        <w:t>加快</w:t>
      </w:r>
      <w:r>
        <w:rPr>
          <w:rFonts w:hint="eastAsia" w:ascii="仿宋_GB2312" w:hAnsi="仿宋_GB2312" w:cs="Times New Roman"/>
          <w:color w:val="auto"/>
          <w:spacing w:val="0"/>
          <w:kern w:val="21"/>
          <w:sz w:val="32"/>
          <w:szCs w:val="32"/>
        </w:rPr>
        <w:t>农业与旅游、康养、研学等产业融合发展</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积极发展加工流通、民宿文化、休闲观光、乡村服务业等，</w:t>
      </w:r>
      <w:r>
        <w:rPr>
          <w:rFonts w:hint="eastAsia" w:ascii="仿宋_GB2312" w:hAnsi="仿宋_GB2312" w:eastAsia="仿宋_GB2312" w:cs="仿宋_GB2312"/>
          <w:b w:val="0"/>
          <w:bCs/>
          <w:color w:val="auto"/>
          <w:spacing w:val="0"/>
          <w:kern w:val="21"/>
          <w:sz w:val="32"/>
          <w:szCs w:val="32"/>
        </w:rPr>
        <w:t>推动直播直销</w:t>
      </w:r>
      <w:r>
        <w:rPr>
          <w:rFonts w:hint="eastAsia" w:ascii="仿宋_GB2312" w:hAnsi="仿宋_GB2312" w:eastAsia="仿宋_GB2312" w:cs="仿宋_GB2312"/>
          <w:b w:val="0"/>
          <w:bCs/>
          <w:color w:val="auto"/>
          <w:spacing w:val="0"/>
          <w:kern w:val="21"/>
          <w:sz w:val="32"/>
          <w:szCs w:val="32"/>
          <w:lang w:val="en-US" w:eastAsia="zh-CN"/>
        </w:rPr>
        <w:t>直供</w:t>
      </w:r>
      <w:r>
        <w:rPr>
          <w:rFonts w:hint="eastAsia" w:ascii="仿宋_GB2312" w:hAnsi="仿宋_GB2312" w:eastAsia="仿宋_GB2312" w:cs="仿宋_GB2312"/>
          <w:b w:val="0"/>
          <w:bCs/>
          <w:color w:val="auto"/>
          <w:spacing w:val="0"/>
          <w:kern w:val="21"/>
          <w:sz w:val="32"/>
          <w:szCs w:val="32"/>
        </w:rPr>
        <w:t>、果树认养、乡村旅游等新业态做大规模</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促进农文商旅养融合发展</w:t>
      </w:r>
      <w:r>
        <w:rPr>
          <w:rFonts w:hint="eastAsia" w:ascii="仿宋_GB2312" w:hAnsi="仿宋_GB2312" w:cs="仿宋_GB2312"/>
          <w:b w:val="0"/>
          <w:bCs/>
          <w:color w:val="auto"/>
          <w:spacing w:val="0"/>
          <w:kern w:val="21"/>
          <w:sz w:val="32"/>
          <w:szCs w:val="32"/>
          <w:lang w:eastAsia="zh-CN"/>
        </w:rPr>
        <w:t>。</w:t>
      </w:r>
    </w:p>
    <w:p w14:paraId="23956EA8">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lang w:eastAsia="zh-CN"/>
        </w:rPr>
      </w:pPr>
    </w:p>
    <w:tbl>
      <w:tblPr>
        <w:tblStyle w:val="1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3"/>
      </w:tblGrid>
      <w:tr w14:paraId="5E7B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53" w:type="dxa"/>
            <w:vAlign w:val="center"/>
          </w:tcPr>
          <w:p w14:paraId="010299CE">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专栏6 苹果及特色食品产业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0123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8653" w:type="dxa"/>
            <w:vAlign w:val="center"/>
          </w:tcPr>
          <w:p w14:paraId="58A6D69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苹果</w:t>
            </w:r>
            <w:r>
              <w:rPr>
                <w:rFonts w:hint="eastAsia" w:ascii="楷体_GB2312" w:hAnsi="楷体_GB2312" w:eastAsia="楷体_GB2312" w:cs="楷体_GB2312"/>
                <w:b w:val="0"/>
                <w:bCs w:val="0"/>
                <w:color w:val="auto"/>
                <w:spacing w:val="0"/>
                <w:kern w:val="21"/>
                <w:sz w:val="22"/>
                <w:szCs w:val="22"/>
                <w:highlight w:val="none"/>
                <w:u w:val="none"/>
                <w:lang w:val="en-US" w:eastAsia="zh-CN"/>
              </w:rPr>
              <w:t>产业</w:t>
            </w:r>
            <w:r>
              <w:rPr>
                <w:rFonts w:hint="eastAsia" w:ascii="楷体_GB2312" w:hAnsi="楷体_GB2312" w:eastAsia="楷体_GB2312" w:cs="楷体_GB2312"/>
                <w:b w:val="0"/>
                <w:bCs w:val="0"/>
                <w:color w:val="auto"/>
                <w:spacing w:val="0"/>
                <w:kern w:val="21"/>
                <w:sz w:val="22"/>
                <w:szCs w:val="22"/>
                <w:highlight w:val="none"/>
                <w:u w:val="none"/>
              </w:rPr>
              <w:t>重点项目。</w:t>
            </w:r>
            <w:r>
              <w:rPr>
                <w:rFonts w:hint="eastAsia" w:ascii="宋体" w:hAnsi="宋体" w:eastAsia="宋体" w:cs="宋体"/>
                <w:color w:val="auto"/>
                <w:spacing w:val="0"/>
                <w:kern w:val="21"/>
                <w:sz w:val="22"/>
                <w:szCs w:val="22"/>
                <w:highlight w:val="none"/>
                <w:u w:val="none"/>
              </w:rPr>
              <w:t>重点实施</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千亩高标准苹果示范园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3332”模式推广、老旧果园改造、果品贮藏保鲜、采后初加工</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实施</w:t>
            </w:r>
            <w:r>
              <w:rPr>
                <w:rFonts w:hint="eastAsia" w:ascii="宋体" w:hAnsi="宋体" w:eastAsia="宋体" w:cs="宋体"/>
                <w:color w:val="auto"/>
                <w:spacing w:val="0"/>
                <w:kern w:val="21"/>
                <w:sz w:val="22"/>
                <w:szCs w:val="22"/>
                <w:highlight w:val="none"/>
                <w:u w:val="none"/>
              </w:rPr>
              <w:t>吴起楸子种质资源保护与开发示范基地、宜川县苹果新优品种改良</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洛川县苹果包装生产升级、洛川县苹果园防灾减灾体系工程、洛川县供销苹果仓储物流园区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延长县苹果矮化示范园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甘泉县苹果精深加工厂</w:t>
            </w:r>
            <w:r>
              <w:rPr>
                <w:rFonts w:hint="eastAsia" w:ascii="宋体" w:hAnsi="宋体" w:eastAsia="宋体" w:cs="宋体"/>
                <w:color w:val="auto"/>
                <w:spacing w:val="0"/>
                <w:kern w:val="21"/>
                <w:sz w:val="22"/>
                <w:szCs w:val="22"/>
                <w:highlight w:val="none"/>
                <w:u w:val="none"/>
                <w:lang w:val="en-US" w:eastAsia="zh-CN"/>
              </w:rPr>
              <w:t>、</w:t>
            </w:r>
            <w:r>
              <w:rPr>
                <w:rFonts w:hint="eastAsia" w:ascii="宋体" w:hAnsi="宋体" w:eastAsia="宋体" w:cs="宋体"/>
                <w:color w:val="auto"/>
                <w:spacing w:val="0"/>
                <w:kern w:val="21"/>
                <w:sz w:val="22"/>
                <w:szCs w:val="22"/>
                <w:highlight w:val="none"/>
                <w:u w:val="none"/>
              </w:rPr>
              <w:t>富县矮化密植园、</w:t>
            </w:r>
            <w:r>
              <w:rPr>
                <w:rFonts w:hint="eastAsia" w:ascii="宋体" w:hAnsi="宋体" w:eastAsia="宋体" w:cs="宋体"/>
                <w:color w:val="auto"/>
                <w:spacing w:val="0"/>
                <w:kern w:val="21"/>
                <w:sz w:val="22"/>
                <w:szCs w:val="22"/>
                <w:highlight w:val="none"/>
                <w:u w:val="none"/>
                <w:lang w:val="en-US" w:eastAsia="zh-CN"/>
              </w:rPr>
              <w:t>志丹县苹果产业集雨节水灌溉保墒</w:t>
            </w:r>
            <w:r>
              <w:rPr>
                <w:rFonts w:hint="eastAsia" w:ascii="宋体" w:hAnsi="宋体" w:eastAsia="宋体" w:cs="宋体"/>
                <w:color w:val="auto"/>
                <w:spacing w:val="0"/>
                <w:kern w:val="21"/>
                <w:sz w:val="22"/>
                <w:szCs w:val="22"/>
                <w:highlight w:val="none"/>
                <w:u w:val="none"/>
              </w:rPr>
              <w:t>等项目。</w:t>
            </w:r>
          </w:p>
          <w:p w14:paraId="7B5D2D57">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特色食品</w:t>
            </w:r>
            <w:r>
              <w:rPr>
                <w:rFonts w:hint="eastAsia" w:ascii="楷体_GB2312" w:hAnsi="楷体_GB2312" w:eastAsia="楷体_GB2312" w:cs="楷体_GB2312"/>
                <w:b w:val="0"/>
                <w:bCs w:val="0"/>
                <w:color w:val="auto"/>
                <w:spacing w:val="0"/>
                <w:kern w:val="21"/>
                <w:sz w:val="22"/>
                <w:szCs w:val="22"/>
                <w:highlight w:val="none"/>
                <w:u w:val="none"/>
                <w:lang w:val="en-US" w:eastAsia="zh-CN"/>
              </w:rPr>
              <w:t>产业</w:t>
            </w:r>
            <w:r>
              <w:rPr>
                <w:rFonts w:hint="eastAsia" w:ascii="楷体_GB2312" w:hAnsi="楷体_GB2312" w:eastAsia="楷体_GB2312" w:cs="楷体_GB2312"/>
                <w:b w:val="0"/>
                <w:bCs w:val="0"/>
                <w:color w:val="auto"/>
                <w:spacing w:val="0"/>
                <w:kern w:val="21"/>
                <w:sz w:val="22"/>
                <w:szCs w:val="22"/>
                <w:highlight w:val="none"/>
                <w:u w:val="none"/>
              </w:rPr>
              <w:t>重点项目。</w:t>
            </w:r>
            <w:r>
              <w:rPr>
                <w:rFonts w:hint="eastAsia" w:ascii="宋体" w:hAnsi="宋体" w:eastAsia="宋体" w:cs="宋体"/>
                <w:color w:val="auto"/>
                <w:spacing w:val="0"/>
                <w:kern w:val="21"/>
                <w:sz w:val="22"/>
                <w:szCs w:val="22"/>
                <w:highlight w:val="none"/>
                <w:u w:val="none"/>
                <w:lang w:val="en-US" w:eastAsia="zh-CN"/>
              </w:rPr>
              <w:t>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万亩小杂粮示范基地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重点实施</w:t>
            </w:r>
            <w:r>
              <w:rPr>
                <w:rFonts w:hint="eastAsia" w:ascii="宋体" w:hAnsi="宋体" w:eastAsia="宋体" w:cs="宋体"/>
                <w:color w:val="auto"/>
                <w:spacing w:val="0"/>
                <w:kern w:val="21"/>
                <w:sz w:val="22"/>
                <w:szCs w:val="22"/>
                <w:highlight w:val="none"/>
                <w:u w:val="none"/>
                <w:lang w:val="en-US" w:eastAsia="zh-CN"/>
              </w:rPr>
              <w:t>全市</w:t>
            </w:r>
            <w:r>
              <w:rPr>
                <w:rFonts w:hint="eastAsia" w:ascii="宋体" w:hAnsi="宋体" w:eastAsia="宋体" w:cs="宋体"/>
                <w:color w:val="auto"/>
                <w:spacing w:val="0"/>
                <w:kern w:val="21"/>
                <w:sz w:val="22"/>
                <w:szCs w:val="22"/>
                <w:highlight w:val="none"/>
                <w:u w:val="none"/>
              </w:rPr>
              <w:t>优势特色设施蔬菜、省级农产品加工园区、吴起县1万吨菊芋（洋姜）加工、安塞</w:t>
            </w:r>
            <w:r>
              <w:rPr>
                <w:rFonts w:hint="eastAsia" w:ascii="宋体" w:hAnsi="宋体" w:eastAsia="宋体" w:cs="宋体"/>
                <w:color w:val="auto"/>
                <w:spacing w:val="0"/>
                <w:kern w:val="21"/>
                <w:sz w:val="22"/>
                <w:szCs w:val="22"/>
                <w:highlight w:val="none"/>
                <w:u w:val="none"/>
                <w:lang w:val="en-US" w:eastAsia="zh-CN"/>
              </w:rPr>
              <w:t>区</w:t>
            </w:r>
            <w:r>
              <w:rPr>
                <w:rFonts w:hint="eastAsia" w:ascii="宋体" w:hAnsi="宋体" w:eastAsia="宋体" w:cs="宋体"/>
                <w:color w:val="auto"/>
                <w:spacing w:val="0"/>
                <w:kern w:val="21"/>
                <w:sz w:val="22"/>
                <w:szCs w:val="22"/>
                <w:highlight w:val="none"/>
                <w:u w:val="none"/>
              </w:rPr>
              <w:t>有机蔬菜推广</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安塞区2万吨生鲜豆制品生产加工、安塞高新区食品药品产业园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黄龙县高山冷凉菜、</w:t>
            </w:r>
            <w:r>
              <w:rPr>
                <w:rFonts w:hint="eastAsia" w:ascii="宋体" w:hAnsi="宋体" w:eastAsia="宋体" w:cs="宋体"/>
                <w:color w:val="auto"/>
                <w:spacing w:val="0"/>
                <w:kern w:val="21"/>
                <w:sz w:val="22"/>
                <w:szCs w:val="22"/>
                <w:highlight w:val="none"/>
                <w:u w:val="none"/>
              </w:rPr>
              <w:t>洛川县苹果系列产品开发加工、富县安德利果汁加工能力提升</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志丹县山地有机苹果深加工</w:t>
            </w:r>
            <w:r>
              <w:rPr>
                <w:rFonts w:hint="eastAsia" w:ascii="宋体" w:hAnsi="宋体" w:eastAsia="宋体" w:cs="宋体"/>
                <w:color w:val="auto"/>
                <w:spacing w:val="0"/>
                <w:kern w:val="21"/>
                <w:sz w:val="22"/>
                <w:szCs w:val="22"/>
                <w:highlight w:val="none"/>
                <w:u w:val="none"/>
              </w:rPr>
              <w:t>等项目。</w:t>
            </w:r>
          </w:p>
          <w:p w14:paraId="4F7BFD84">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default" w:ascii="仿宋_GB2312" w:hAnsi="仿宋_GB2312" w:eastAsia="仿宋_GB2312" w:cs="仿宋_GB2312"/>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中药材</w:t>
            </w:r>
            <w:r>
              <w:rPr>
                <w:rFonts w:hint="eastAsia" w:ascii="楷体_GB2312" w:hAnsi="楷体_GB2312" w:eastAsia="楷体_GB2312" w:cs="楷体_GB2312"/>
                <w:b w:val="0"/>
                <w:bCs w:val="0"/>
                <w:color w:val="auto"/>
                <w:spacing w:val="0"/>
                <w:kern w:val="21"/>
                <w:sz w:val="22"/>
                <w:szCs w:val="22"/>
                <w:highlight w:val="none"/>
                <w:u w:val="none"/>
                <w:lang w:val="en-US" w:eastAsia="zh-CN"/>
              </w:rPr>
              <w:t>产业</w:t>
            </w:r>
            <w:r>
              <w:rPr>
                <w:rFonts w:hint="eastAsia" w:ascii="楷体_GB2312" w:hAnsi="楷体_GB2312" w:eastAsia="楷体_GB2312" w:cs="楷体_GB2312"/>
                <w:b w:val="0"/>
                <w:bCs w:val="0"/>
                <w:color w:val="auto"/>
                <w:spacing w:val="0"/>
                <w:kern w:val="21"/>
                <w:sz w:val="22"/>
                <w:szCs w:val="22"/>
                <w:highlight w:val="none"/>
                <w:u w:val="none"/>
              </w:rPr>
              <w:t>重点项目。</w:t>
            </w:r>
            <w:r>
              <w:rPr>
                <w:rFonts w:hint="eastAsia" w:ascii="宋体" w:hAnsi="宋体" w:eastAsia="宋体" w:cs="宋体"/>
                <w:color w:val="auto"/>
                <w:spacing w:val="0"/>
                <w:kern w:val="21"/>
                <w:sz w:val="22"/>
                <w:szCs w:val="22"/>
                <w:highlight w:val="none"/>
                <w:u w:val="none"/>
                <w:lang w:val="en-US" w:eastAsia="zh-CN"/>
              </w:rPr>
              <w:t>建设</w:t>
            </w:r>
            <w:r>
              <w:rPr>
                <w:rFonts w:hint="eastAsia" w:ascii="宋体" w:hAnsi="宋体" w:eastAsia="宋体" w:cs="宋体"/>
                <w:color w:val="auto"/>
                <w:spacing w:val="0"/>
                <w:kern w:val="21"/>
                <w:sz w:val="22"/>
                <w:szCs w:val="22"/>
                <w:highlight w:val="none"/>
                <w:u w:val="none"/>
              </w:rPr>
              <w:t>延安市中药材规范化种植基地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重点实施黄龙县中药材产业集群、子长市中药材全产业链、富县特色中药材规模化种植现代化加工等项目。</w:t>
            </w:r>
          </w:p>
        </w:tc>
      </w:tr>
    </w:tbl>
    <w:p w14:paraId="586C082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color w:val="auto"/>
          <w:spacing w:val="0"/>
          <w:kern w:val="21"/>
          <w:sz w:val="32"/>
          <w:szCs w:val="32"/>
        </w:rPr>
      </w:pPr>
      <w:bookmarkStart w:id="28" w:name="_Toc2137"/>
      <w:bookmarkStart w:id="29" w:name="_Toc10434"/>
      <w:bookmarkStart w:id="30" w:name="_Toc32494"/>
    </w:p>
    <w:p w14:paraId="585C73C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color w:val="auto"/>
          <w:spacing w:val="0"/>
          <w:kern w:val="21"/>
          <w:sz w:val="32"/>
          <w:szCs w:val="32"/>
        </w:rPr>
      </w:pPr>
      <w:r>
        <w:rPr>
          <w:rFonts w:hint="eastAsia"/>
          <w:color w:val="auto"/>
          <w:spacing w:val="0"/>
          <w:kern w:val="21"/>
          <w:sz w:val="32"/>
          <w:szCs w:val="32"/>
        </w:rPr>
        <w:t>第八章</w:t>
      </w:r>
      <w:r>
        <w:rPr>
          <w:rFonts w:hint="eastAsia"/>
          <w:color w:val="auto"/>
          <w:spacing w:val="0"/>
          <w:kern w:val="21"/>
          <w:sz w:val="32"/>
          <w:szCs w:val="32"/>
          <w:lang w:val="en-US" w:eastAsia="zh-CN"/>
        </w:rPr>
        <w:t xml:space="preserve">  </w:t>
      </w:r>
      <w:r>
        <w:rPr>
          <w:rFonts w:hint="eastAsia"/>
          <w:color w:val="auto"/>
          <w:spacing w:val="0"/>
          <w:kern w:val="21"/>
          <w:sz w:val="32"/>
          <w:szCs w:val="32"/>
        </w:rPr>
        <w:t>持续发力“扬挖补”做大现代服务业</w:t>
      </w:r>
      <w:bookmarkEnd w:id="28"/>
      <w:bookmarkEnd w:id="29"/>
      <w:bookmarkEnd w:id="30"/>
    </w:p>
    <w:p w14:paraId="66C690FE">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2"/>
          <w:szCs w:val="32"/>
        </w:rPr>
      </w:pPr>
    </w:p>
    <w:p w14:paraId="4E424891">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实施服务业扩能提质行动，突出扬文化旅游优势、挖现代物流潜力、补现代金融短板，推进生产性服务业向专业化和价值链高端延伸，生活性服务业高品质、多元化、便利化发展。</w:t>
      </w:r>
    </w:p>
    <w:p w14:paraId="16A96458">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楷体_GB2312" w:hAnsi="楷体_GB2312" w:eastAsia="楷体_GB2312" w:cs="楷体_GB2312"/>
          <w:b w:val="0"/>
          <w:bCs w:val="0"/>
          <w:color w:val="auto"/>
          <w:spacing w:val="0"/>
          <w:kern w:val="21"/>
          <w:sz w:val="32"/>
          <w:szCs w:val="32"/>
        </w:rPr>
      </w:pPr>
    </w:p>
    <w:p w14:paraId="468A1BA0">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第一节</w:t>
      </w:r>
      <w:r>
        <w:rPr>
          <w:rFonts w:hint="eastAsia" w:ascii="楷体_GB2312" w:hAnsi="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文化旅游</w:t>
      </w:r>
    </w:p>
    <w:p w14:paraId="13557F07">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s="仿宋_GB2312"/>
          <w:color w:val="auto"/>
          <w:spacing w:val="0"/>
          <w:kern w:val="21"/>
          <w:sz w:val="32"/>
          <w:szCs w:val="32"/>
        </w:rPr>
      </w:pPr>
    </w:p>
    <w:p w14:paraId="57854238">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深化“文旅+百业”“百业+文旅”，打响叫亮“圣地延安·精神家园”品牌</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统筹推进红色文旅、特色文旅产业链建设，</w:t>
      </w:r>
      <w:r>
        <w:rPr>
          <w:rFonts w:hint="eastAsia" w:ascii="仿宋_GB2312" w:hAnsi="仿宋_GB2312" w:cs="仿宋_GB2312"/>
          <w:b w:val="0"/>
          <w:bCs w:val="0"/>
          <w:color w:val="auto"/>
          <w:spacing w:val="0"/>
          <w:kern w:val="21"/>
          <w:sz w:val="32"/>
          <w:szCs w:val="32"/>
          <w:lang w:val="en-US" w:eastAsia="zh-CN"/>
        </w:rPr>
        <w:t>精心打造</w:t>
      </w:r>
      <w:r>
        <w:rPr>
          <w:rFonts w:hint="eastAsia" w:ascii="仿宋_GB2312" w:hAnsi="仿宋_GB2312" w:eastAsia="仿宋_GB2312" w:cs="仿宋_GB2312"/>
          <w:b w:val="0"/>
          <w:bCs w:val="0"/>
          <w:color w:val="auto"/>
          <w:spacing w:val="0"/>
          <w:kern w:val="21"/>
          <w:sz w:val="32"/>
          <w:szCs w:val="32"/>
        </w:rPr>
        <w:t>“红色革命游”</w:t>
      </w:r>
      <w:r>
        <w:rPr>
          <w:rFonts w:hint="eastAsia" w:ascii="仿宋_GB2312" w:hAnsi="仿宋_GB2312" w:cs="仿宋_GB2312"/>
          <w:b w:val="0"/>
          <w:bCs w:val="0"/>
          <w:color w:val="auto"/>
          <w:spacing w:val="0"/>
          <w:kern w:val="21"/>
          <w:sz w:val="32"/>
          <w:szCs w:val="32"/>
          <w:lang w:val="en-US" w:eastAsia="zh-CN"/>
        </w:rPr>
        <w:t>和</w:t>
      </w:r>
      <w:r>
        <w:rPr>
          <w:rFonts w:hint="eastAsia" w:ascii="仿宋_GB2312" w:hAnsi="仿宋_GB2312" w:eastAsia="仿宋_GB2312" w:cs="仿宋_GB2312"/>
          <w:b w:val="0"/>
          <w:bCs w:val="0"/>
          <w:color w:val="auto"/>
          <w:spacing w:val="0"/>
          <w:kern w:val="21"/>
          <w:sz w:val="32"/>
          <w:szCs w:val="32"/>
        </w:rPr>
        <w:t>“黄土风情游”</w:t>
      </w:r>
      <w:r>
        <w:rPr>
          <w:rFonts w:hint="eastAsia" w:ascii="仿宋_GB2312" w:hAnsi="仿宋_GB2312" w:cs="仿宋_GB2312"/>
          <w:b w:val="0"/>
          <w:bCs w:val="0"/>
          <w:color w:val="auto"/>
          <w:spacing w:val="0"/>
          <w:kern w:val="21"/>
          <w:sz w:val="32"/>
          <w:szCs w:val="32"/>
          <w:lang w:val="en-US" w:eastAsia="zh-CN"/>
        </w:rPr>
        <w:t>两条</w:t>
      </w:r>
      <w:r>
        <w:rPr>
          <w:rFonts w:hint="eastAsia" w:ascii="仿宋_GB2312" w:hAnsi="仿宋_GB2312" w:eastAsia="仿宋_GB2312" w:cs="仿宋_GB2312"/>
          <w:b w:val="0"/>
          <w:bCs w:val="0"/>
          <w:color w:val="auto"/>
          <w:spacing w:val="0"/>
          <w:kern w:val="21"/>
          <w:sz w:val="32"/>
          <w:szCs w:val="32"/>
        </w:rPr>
        <w:t>精品旅游线路</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color w:val="auto"/>
          <w:spacing w:val="0"/>
          <w:kern w:val="21"/>
          <w:sz w:val="32"/>
          <w:szCs w:val="32"/>
        </w:rPr>
        <w:t>把文旅产业打造成全市战略性支柱产业</w:t>
      </w:r>
      <w:r>
        <w:rPr>
          <w:rFonts w:hint="eastAsia" w:ascii="仿宋_GB2312" w:hAnsi="仿宋_GB2312" w:cs="仿宋_GB2312"/>
          <w:color w:val="auto"/>
          <w:spacing w:val="0"/>
          <w:kern w:val="21"/>
          <w:sz w:val="32"/>
          <w:szCs w:val="32"/>
          <w:lang w:eastAsia="zh-CN"/>
        </w:rPr>
        <w:t>。</w:t>
      </w:r>
    </w:p>
    <w:p w14:paraId="388B180E">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红色文旅。</w:t>
      </w:r>
      <w:r>
        <w:rPr>
          <w:rFonts w:hint="eastAsia" w:ascii="仿宋_GB2312" w:hAnsi="仿宋_GB2312" w:cs="仿宋_GB2312"/>
          <w:color w:val="auto"/>
          <w:spacing w:val="0"/>
          <w:kern w:val="21"/>
          <w:sz w:val="32"/>
          <w:szCs w:val="32"/>
        </w:rPr>
        <w:t>以红色文化资源为依托，以延安革命纪念地景区为核心，聚焦红色研学，建设彰显红色文化的“中国革命博物馆城”。</w:t>
      </w:r>
      <w:r>
        <w:rPr>
          <w:rFonts w:hint="eastAsia" w:ascii="仿宋_GB2312" w:hAnsi="仿宋_GB2312" w:cs="仿宋_GB2312"/>
          <w:color w:val="auto"/>
          <w:spacing w:val="0"/>
          <w:kern w:val="21"/>
          <w:sz w:val="32"/>
          <w:szCs w:val="32"/>
          <w:lang w:val="en-US" w:eastAsia="zh-CN"/>
        </w:rPr>
        <w:t>发展</w:t>
      </w:r>
      <w:r>
        <w:rPr>
          <w:rFonts w:hint="eastAsia" w:ascii="仿宋_GB2312" w:hAnsi="仿宋_GB2312" w:cs="仿宋_GB2312"/>
          <w:color w:val="auto"/>
          <w:spacing w:val="0"/>
          <w:kern w:val="21"/>
          <w:sz w:val="32"/>
          <w:szCs w:val="32"/>
        </w:rPr>
        <w:t>红色革命纪念地瞻仰游</w:t>
      </w:r>
      <w:r>
        <w:rPr>
          <w:rFonts w:hint="eastAsia" w:ascii="仿宋_GB2312" w:hAnsi="仿宋_GB2312" w:cs="仿宋_GB2312"/>
          <w:color w:val="auto"/>
          <w:spacing w:val="0"/>
          <w:kern w:val="21"/>
          <w:sz w:val="32"/>
          <w:szCs w:val="32"/>
          <w:lang w:val="en-US" w:eastAsia="zh-CN"/>
        </w:rPr>
        <w:t>，</w:t>
      </w:r>
      <w:r>
        <w:rPr>
          <w:rFonts w:hint="eastAsia" w:ascii="仿宋_GB2312" w:hAnsi="仿宋_GB2312" w:cs="仿宋_GB2312"/>
          <w:color w:val="auto"/>
          <w:spacing w:val="0"/>
          <w:kern w:val="21"/>
          <w:sz w:val="32"/>
          <w:szCs w:val="32"/>
        </w:rPr>
        <w:t>打造“我要去延安”和瞻仰延安杨家岭、枣园、革命纪念馆等革命旧址及场馆主题游径，</w:t>
      </w:r>
      <w:r>
        <w:rPr>
          <w:rFonts w:hint="eastAsia" w:ascii="仿宋_GB2312" w:hAnsi="仿宋_GB2312" w:cs="仿宋_GB2312"/>
          <w:color w:val="auto"/>
          <w:spacing w:val="0"/>
          <w:kern w:val="21"/>
          <w:sz w:val="32"/>
          <w:szCs w:val="32"/>
          <w:lang w:val="en-US" w:eastAsia="zh-CN"/>
        </w:rPr>
        <w:t>加强与市域外红色旅游目的地交流合作、统筹市域内红色旅游县，打造红色革命游精品旅游线路，强化红色旅游线路对全市旅游资源的辐射引流作用。支持与全国知名文创企业合作研发文创产品，策划打造</w:t>
      </w:r>
      <w:r>
        <w:rPr>
          <w:rFonts w:hint="eastAsia" w:ascii="仿宋_GB2312" w:hAnsi="仿宋_GB2312" w:cs="仿宋_GB2312"/>
          <w:color w:val="auto"/>
          <w:spacing w:val="0"/>
          <w:kern w:val="21"/>
          <w:sz w:val="32"/>
          <w:szCs w:val="32"/>
        </w:rPr>
        <w:t>一批红色旅游演艺和特色展览，增强游客感受与互动体验。深入挖掘延安精神，将红色记忆、历史文化、前沿科技与文化旅游相融合，推动红色教育培训高质量发展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持续办好“到延安去·三秦学子圣地行”研学活动，推出一批红色精品研学线路和研学基地，积极打造全国学子圣地行品牌。</w:t>
      </w:r>
    </w:p>
    <w:p w14:paraId="467ADDC2">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特色文旅。</w:t>
      </w:r>
      <w:r>
        <w:rPr>
          <w:rFonts w:hint="eastAsia" w:ascii="仿宋_GB2312" w:hAnsi="仿宋_GB2312" w:cs="仿宋_GB2312"/>
          <w:color w:val="auto"/>
          <w:spacing w:val="0"/>
          <w:kern w:val="21"/>
          <w:sz w:val="32"/>
          <w:szCs w:val="32"/>
        </w:rPr>
        <w:t>持续</w:t>
      </w:r>
      <w:r>
        <w:rPr>
          <w:rFonts w:hint="eastAsia" w:ascii="仿宋_GB2312" w:hAnsi="仿宋_GB2312" w:cs="仿宋_GB2312"/>
          <w:color w:val="auto"/>
          <w:spacing w:val="0"/>
          <w:kern w:val="21"/>
          <w:sz w:val="32"/>
          <w:szCs w:val="32"/>
          <w:lang w:val="en-US" w:eastAsia="zh-CN"/>
        </w:rPr>
        <w:t>提升A级景区品质，</w:t>
      </w:r>
      <w:r>
        <w:rPr>
          <w:rFonts w:hint="eastAsia" w:ascii="仿宋_GB2312" w:hAnsi="仿宋_GB2312" w:cs="仿宋_GB2312"/>
          <w:color w:val="auto"/>
          <w:spacing w:val="0"/>
          <w:kern w:val="21"/>
          <w:sz w:val="32"/>
          <w:szCs w:val="32"/>
        </w:rPr>
        <w:t>推进甘泉大峡谷创建国家5A级旅游景区，延安鲁艺景区、子长钟山石窟、王家坪旧址</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延安博物馆</w:t>
      </w:r>
      <w:r>
        <w:rPr>
          <w:rFonts w:hint="eastAsia" w:ascii="仿宋_GB2312" w:hAnsi="仿宋_GB2312" w:cs="仿宋_GB2312"/>
          <w:color w:val="auto"/>
          <w:spacing w:val="0"/>
          <w:kern w:val="21"/>
          <w:sz w:val="32"/>
          <w:szCs w:val="32"/>
        </w:rPr>
        <w:t>等创建国家4A级旅游景区。</w:t>
      </w:r>
      <w:r>
        <w:rPr>
          <w:rFonts w:hint="eastAsia" w:ascii="仿宋_GB2312" w:hAnsi="仿宋_GB2312" w:cs="仿宋_GB2312"/>
          <w:color w:val="auto"/>
          <w:spacing w:val="0"/>
          <w:kern w:val="21"/>
          <w:sz w:val="32"/>
          <w:szCs w:val="32"/>
          <w:lang w:val="en-US" w:eastAsia="zh-CN"/>
        </w:rPr>
        <w:t>整合</w:t>
      </w:r>
      <w:r>
        <w:rPr>
          <w:rFonts w:hint="eastAsia" w:ascii="仿宋_GB2312" w:hAnsi="仿宋_GB2312" w:cs="仿宋_GB2312"/>
          <w:color w:val="auto"/>
          <w:spacing w:val="0"/>
          <w:kern w:val="21"/>
          <w:sz w:val="32"/>
          <w:szCs w:val="32"/>
        </w:rPr>
        <w:t>延安非遗、黄土民俗、黄帝文化、土特产品</w:t>
      </w:r>
      <w:r>
        <w:rPr>
          <w:rFonts w:hint="eastAsia" w:ascii="仿宋_GB2312" w:hAnsi="仿宋_GB2312" w:cs="仿宋_GB2312"/>
          <w:color w:val="auto"/>
          <w:spacing w:val="0"/>
          <w:kern w:val="21"/>
          <w:sz w:val="32"/>
          <w:szCs w:val="32"/>
          <w:lang w:val="en-US" w:eastAsia="zh-CN"/>
        </w:rPr>
        <w:t>等特色文化资源，推动黄土风情</w:t>
      </w:r>
      <w:r>
        <w:rPr>
          <w:rFonts w:hint="eastAsia" w:ascii="仿宋_GB2312" w:hAnsi="仿宋_GB2312" w:cs="仿宋_GB2312"/>
          <w:color w:val="auto"/>
          <w:spacing w:val="0"/>
          <w:kern w:val="21"/>
          <w:sz w:val="32"/>
          <w:szCs w:val="32"/>
        </w:rPr>
        <w:t>IP开发与孵化，构建文化创意品牌矩阵</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打造黄土风情游精品旅游线路。</w:t>
      </w:r>
      <w:r>
        <w:rPr>
          <w:rFonts w:hint="eastAsia" w:ascii="仿宋_GB2312" w:hAnsi="仿宋_GB2312" w:cs="仿宋_GB2312"/>
          <w:color w:val="auto"/>
          <w:spacing w:val="0"/>
          <w:kern w:val="21"/>
          <w:sz w:val="32"/>
          <w:szCs w:val="32"/>
        </w:rPr>
        <w:t>依托黄河壶口瀑布景区、延川乾坤湾景区</w:t>
      </w:r>
      <w:r>
        <w:rPr>
          <w:rFonts w:hint="eastAsia" w:ascii="仿宋_GB2312" w:hAnsi="仿宋_GB2312" w:cs="仿宋_GB2312"/>
          <w:color w:val="auto"/>
          <w:spacing w:val="0"/>
          <w:kern w:val="21"/>
          <w:sz w:val="32"/>
          <w:szCs w:val="32"/>
          <w:lang w:val="en-US" w:eastAsia="zh-CN"/>
        </w:rPr>
        <w:t>和古贤水库</w:t>
      </w:r>
      <w:r>
        <w:rPr>
          <w:rFonts w:hint="eastAsia" w:ascii="仿宋_GB2312" w:hAnsi="仿宋_GB2312" w:cs="仿宋_GB2312"/>
          <w:color w:val="auto"/>
          <w:spacing w:val="0"/>
          <w:kern w:val="21"/>
          <w:sz w:val="32"/>
          <w:szCs w:val="32"/>
        </w:rPr>
        <w:t>，串联黄河沿线生态旅游资源，发展黄河生态文旅景区群，建设黄河风景道。依托甘泉大峡谷、志丹大峡谷等拓展峡谷探险旅游，发展丹霞地貌地质旅游景区群。依托黄龙山国家森林公园、劳山国家森林公园、黄陵国家森林公园，发展自然康养度假景区群</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到2030年，</w:t>
      </w:r>
      <w:r>
        <w:rPr>
          <w:rFonts w:hint="eastAsia" w:ascii="仿宋_GB2312" w:hAnsi="仿宋_GB2312" w:cs="仿宋_GB2312"/>
          <w:color w:val="auto"/>
          <w:spacing w:val="0"/>
          <w:kern w:val="21"/>
          <w:sz w:val="32"/>
          <w:szCs w:val="32"/>
        </w:rPr>
        <w:t>创建省级以上旅游度假区2个</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推动</w:t>
      </w:r>
      <w:r>
        <w:rPr>
          <w:rFonts w:hint="eastAsia" w:ascii="仿宋_GB2312" w:hAnsi="仿宋_GB2312" w:cs="仿宋_GB2312"/>
          <w:color w:val="auto"/>
          <w:spacing w:val="0"/>
          <w:kern w:val="21"/>
          <w:sz w:val="32"/>
          <w:szCs w:val="32"/>
        </w:rPr>
        <w:t>延安1938街区、二道街等特色街区“文商旅”业态融合</w:t>
      </w:r>
      <w:r>
        <w:rPr>
          <w:rFonts w:hint="eastAsia" w:ascii="仿宋_GB2312" w:hAnsi="仿宋_GB2312" w:cs="仿宋_GB2312"/>
          <w:color w:val="auto"/>
          <w:spacing w:val="0"/>
          <w:kern w:val="21"/>
          <w:sz w:val="32"/>
          <w:szCs w:val="32"/>
          <w:lang w:eastAsia="zh-CN"/>
        </w:rPr>
        <w:t>，争创一批省级商旅名街</w:t>
      </w:r>
      <w:r>
        <w:rPr>
          <w:rFonts w:hint="eastAsia" w:ascii="仿宋_GB2312" w:hAnsi="仿宋_GB2312" w:cs="仿宋_GB2312"/>
          <w:color w:val="auto"/>
          <w:spacing w:val="0"/>
          <w:kern w:val="21"/>
          <w:sz w:val="32"/>
          <w:szCs w:val="32"/>
        </w:rPr>
        <w:t>。支持各类非遗文化展演活动，</w:t>
      </w:r>
      <w:r>
        <w:rPr>
          <w:rFonts w:hint="eastAsia" w:ascii="仿宋_GB2312" w:hAnsi="仿宋_GB2312" w:cs="仿宋_GB2312"/>
          <w:color w:val="auto"/>
          <w:spacing w:val="0"/>
          <w:kern w:val="21"/>
          <w:sz w:val="32"/>
          <w:szCs w:val="32"/>
          <w:lang w:val="en-US" w:eastAsia="zh-CN"/>
        </w:rPr>
        <w:t>办好</w:t>
      </w:r>
      <w:r>
        <w:rPr>
          <w:rFonts w:hint="eastAsia" w:ascii="仿宋_GB2312" w:hAnsi="仿宋_GB2312" w:cs="仿宋_GB2312"/>
          <w:color w:val="auto"/>
          <w:spacing w:val="0"/>
          <w:kern w:val="21"/>
          <w:sz w:val="32"/>
          <w:szCs w:val="32"/>
        </w:rPr>
        <w:t>“非遗大集”</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培育壮大节庆会展旅游</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组建体育产业集团，持续办好延安新“九一”扩大运动会</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延安新区</w:t>
      </w:r>
      <w:r>
        <w:rPr>
          <w:rFonts w:hint="eastAsia" w:ascii="仿宋_GB2312" w:hAnsi="仿宋_GB2312" w:cs="仿宋_GB2312"/>
          <w:color w:val="auto"/>
          <w:spacing w:val="0"/>
          <w:kern w:val="21"/>
          <w:sz w:val="32"/>
          <w:szCs w:val="32"/>
        </w:rPr>
        <w:t>马拉松赛、</w:t>
      </w:r>
      <w:r>
        <w:rPr>
          <w:rFonts w:hint="eastAsia" w:ascii="仿宋_GB2312" w:hAnsi="仿宋_GB2312" w:cs="仿宋_GB2312"/>
          <w:color w:val="auto"/>
          <w:spacing w:val="0"/>
          <w:kern w:val="21"/>
          <w:sz w:val="32"/>
          <w:szCs w:val="32"/>
          <w:lang w:val="en-US" w:eastAsia="zh-CN"/>
        </w:rPr>
        <w:t>红色半程马拉松赛、黄龙千人</w:t>
      </w:r>
      <w:r>
        <w:rPr>
          <w:rFonts w:hint="eastAsia" w:ascii="仿宋_GB2312" w:hAnsi="仿宋_GB2312" w:cs="仿宋_GB2312"/>
          <w:color w:val="auto"/>
          <w:spacing w:val="0"/>
          <w:kern w:val="21"/>
          <w:sz w:val="32"/>
          <w:szCs w:val="32"/>
        </w:rPr>
        <w:t>垂钓大赛等精品赛事，支持打造“一县一品”特色赛事品牌。拓展文旅与体育、农业、科技等深度融合路径，推广“跟着演出、赛事、非遗、美食、AI游延安”新场景新业态。</w:t>
      </w:r>
      <w:r>
        <w:rPr>
          <w:rFonts w:hint="eastAsia" w:ascii="仿宋_GB2312" w:hAnsi="仿宋_GB2312" w:cs="仿宋_GB2312"/>
          <w:color w:val="auto"/>
          <w:spacing w:val="0"/>
          <w:kern w:val="21"/>
          <w:sz w:val="32"/>
          <w:szCs w:val="32"/>
          <w:lang w:val="en-US" w:eastAsia="zh-CN"/>
        </w:rPr>
        <w:t>围绕</w:t>
      </w:r>
      <w:r>
        <w:rPr>
          <w:rFonts w:hint="eastAsia" w:ascii="仿宋_GB2312" w:hAnsi="仿宋_GB2312" w:cs="仿宋_GB2312"/>
          <w:color w:val="auto"/>
          <w:spacing w:val="0"/>
          <w:kern w:val="21"/>
          <w:sz w:val="32"/>
          <w:szCs w:val="32"/>
        </w:rPr>
        <w:t>农耕文化、美丽田园、生态农业、古朴村落</w:t>
      </w:r>
      <w:r>
        <w:rPr>
          <w:rFonts w:hint="eastAsia" w:ascii="仿宋_GB2312" w:hAnsi="仿宋_GB2312" w:cs="仿宋_GB2312"/>
          <w:color w:val="auto"/>
          <w:spacing w:val="0"/>
          <w:kern w:val="21"/>
          <w:sz w:val="32"/>
          <w:szCs w:val="32"/>
          <w:lang w:val="en-US" w:eastAsia="zh-CN"/>
        </w:rPr>
        <w:t>等，</w:t>
      </w:r>
      <w:r>
        <w:rPr>
          <w:rFonts w:hint="eastAsia" w:ascii="仿宋_GB2312" w:hAnsi="仿宋_GB2312" w:cs="仿宋_GB2312"/>
          <w:color w:val="auto"/>
          <w:spacing w:val="0"/>
          <w:kern w:val="21"/>
          <w:sz w:val="32"/>
          <w:szCs w:val="32"/>
        </w:rPr>
        <w:t>推动乡村旅游发展，支持发展黄土风情民俗体验、农文旅融合体验，办好乡村旅游“月月摘”</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苹果采摘研学+地质科普+乡村民宿</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等活动，推出一批互动性好、体验感强的文旅项目。以街区、景区为支撑</w:t>
      </w:r>
      <w:r>
        <w:rPr>
          <w:rFonts w:hint="eastAsia" w:ascii="仿宋_GB2312" w:hAnsi="仿宋_GB2312" w:cs="仿宋_GB2312"/>
          <w:color w:val="auto"/>
          <w:spacing w:val="0"/>
          <w:kern w:val="21"/>
          <w:sz w:val="32"/>
          <w:szCs w:val="32"/>
          <w:highlight w:val="none"/>
        </w:rPr>
        <w:t>打造数字文旅产业园，推动文娱演艺数字化转型升级。支持各类经营主体创新发展旅游直播、云演艺、线下沉浸式数字文化场馆、数字博物馆、红色动漫等数字文旅新业态。培育</w:t>
      </w:r>
      <w:r>
        <w:rPr>
          <w:rFonts w:hint="eastAsia" w:ascii="仿宋_GB2312" w:hAnsi="仿宋_GB2312" w:cs="仿宋_GB2312"/>
          <w:color w:val="auto"/>
          <w:spacing w:val="0"/>
          <w:kern w:val="21"/>
          <w:sz w:val="32"/>
          <w:szCs w:val="32"/>
        </w:rPr>
        <w:t>“高铁+旅游”新业态，推出高铁旅游专列、高铁+景区联票、高铁旅游计次票等多样化产品。</w:t>
      </w:r>
    </w:p>
    <w:p w14:paraId="5AD33693">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全要素保障文旅融合高质量发展</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s="仿宋_GB2312"/>
          <w:color w:val="auto"/>
          <w:spacing w:val="0"/>
          <w:kern w:val="21"/>
          <w:sz w:val="32"/>
          <w:szCs w:val="32"/>
        </w:rPr>
        <w:t>坚持以文塑旅、以旅彰文，推进文旅与农业、体育、演艺、康养、商业等融合发展。加大经营主体</w:t>
      </w:r>
      <w:r>
        <w:rPr>
          <w:rFonts w:hint="eastAsia" w:ascii="仿宋_GB2312" w:hAnsi="仿宋_GB2312" w:cs="仿宋_GB2312"/>
          <w:color w:val="auto"/>
          <w:spacing w:val="0"/>
          <w:kern w:val="21"/>
          <w:sz w:val="32"/>
          <w:szCs w:val="32"/>
          <w:lang w:val="en-US" w:eastAsia="zh-CN"/>
        </w:rPr>
        <w:t>引培</w:t>
      </w:r>
      <w:r>
        <w:rPr>
          <w:rFonts w:hint="eastAsia" w:ascii="仿宋_GB2312" w:hAnsi="仿宋_GB2312" w:cs="仿宋_GB2312"/>
          <w:color w:val="auto"/>
          <w:spacing w:val="0"/>
          <w:kern w:val="21"/>
          <w:sz w:val="32"/>
          <w:szCs w:val="32"/>
        </w:rPr>
        <w:t>力度，鼓励文化装备生产、文化消费终端生产等加快发展。支持县域文化旅游产业提能增效，构建</w:t>
      </w:r>
      <w:r>
        <w:rPr>
          <w:rFonts w:hint="eastAsia" w:ascii="仿宋_GB2312" w:hAnsi="仿宋_GB2312" w:cs="仿宋_GB2312"/>
          <w:color w:val="auto"/>
          <w:spacing w:val="0"/>
          <w:kern w:val="21"/>
          <w:sz w:val="32"/>
          <w:szCs w:val="32"/>
          <w:lang w:val="en-US" w:eastAsia="zh-CN"/>
        </w:rPr>
        <w:t>特色突出、联动性强</w:t>
      </w:r>
      <w:r>
        <w:rPr>
          <w:rFonts w:hint="eastAsia" w:ascii="仿宋_GB2312" w:hAnsi="仿宋_GB2312" w:cs="仿宋_GB2312"/>
          <w:color w:val="auto"/>
          <w:spacing w:val="0"/>
          <w:kern w:val="21"/>
          <w:sz w:val="32"/>
          <w:szCs w:val="32"/>
        </w:rPr>
        <w:t>全域旅游新格局</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推动标志性文旅资源串珠成链，打造彰显不同风韵的文旅带、特色文化旅游品牌。实施旅游基础设施</w:t>
      </w:r>
      <w:r>
        <w:rPr>
          <w:rFonts w:hint="eastAsia" w:ascii="仿宋_GB2312" w:hAnsi="仿宋_GB2312" w:cs="仿宋_GB2312"/>
          <w:color w:val="auto"/>
          <w:spacing w:val="0"/>
          <w:kern w:val="21"/>
          <w:sz w:val="32"/>
          <w:szCs w:val="32"/>
          <w:lang w:val="en-US" w:eastAsia="zh-CN"/>
        </w:rPr>
        <w:t>提标改造</w:t>
      </w:r>
      <w:r>
        <w:rPr>
          <w:rFonts w:hint="eastAsia" w:ascii="仿宋_GB2312" w:hAnsi="仿宋_GB2312" w:cs="仿宋_GB2312"/>
          <w:color w:val="auto"/>
          <w:spacing w:val="0"/>
          <w:kern w:val="21"/>
          <w:sz w:val="32"/>
          <w:szCs w:val="32"/>
        </w:rPr>
        <w:t>和</w:t>
      </w:r>
      <w:r>
        <w:rPr>
          <w:rFonts w:hint="eastAsia" w:ascii="仿宋_GB2312" w:hAnsi="仿宋_GB2312" w:cs="仿宋_GB2312"/>
          <w:color w:val="auto"/>
          <w:spacing w:val="0"/>
          <w:kern w:val="21"/>
          <w:sz w:val="32"/>
          <w:szCs w:val="32"/>
          <w:lang w:val="en-US" w:eastAsia="zh-CN"/>
        </w:rPr>
        <w:t>旅游服务设施</w:t>
      </w:r>
      <w:r>
        <w:rPr>
          <w:rFonts w:hint="eastAsia" w:ascii="仿宋_GB2312" w:hAnsi="仿宋_GB2312" w:cs="仿宋_GB2312"/>
          <w:color w:val="auto"/>
          <w:spacing w:val="0"/>
          <w:kern w:val="21"/>
          <w:sz w:val="32"/>
          <w:szCs w:val="32"/>
        </w:rPr>
        <w:t>数字化</w:t>
      </w:r>
      <w:r>
        <w:rPr>
          <w:rFonts w:hint="eastAsia" w:ascii="仿宋_GB2312" w:hAnsi="仿宋_GB2312" w:cs="仿宋_GB2312"/>
          <w:color w:val="auto"/>
          <w:spacing w:val="0"/>
          <w:kern w:val="21"/>
          <w:sz w:val="32"/>
          <w:szCs w:val="32"/>
          <w:lang w:val="en-US" w:eastAsia="zh-CN"/>
        </w:rPr>
        <w:t>升级</w:t>
      </w:r>
      <w:r>
        <w:rPr>
          <w:rFonts w:hint="eastAsia" w:ascii="仿宋_GB2312" w:hAnsi="仿宋_GB2312" w:cs="仿宋_GB2312"/>
          <w:color w:val="auto"/>
          <w:spacing w:val="0"/>
          <w:kern w:val="21"/>
          <w:sz w:val="32"/>
          <w:szCs w:val="32"/>
        </w:rPr>
        <w:t>，做精做强旅游要素供给，</w:t>
      </w:r>
      <w:r>
        <w:rPr>
          <w:rFonts w:hint="eastAsia" w:ascii="仿宋_GB2312" w:hAnsi="仿宋_GB2312" w:cs="仿宋_GB2312"/>
          <w:color w:val="auto"/>
          <w:spacing w:val="0"/>
          <w:kern w:val="21"/>
          <w:sz w:val="32"/>
          <w:szCs w:val="32"/>
          <w:lang w:val="en-US" w:eastAsia="zh-CN"/>
        </w:rPr>
        <w:t>持续</w:t>
      </w:r>
      <w:r>
        <w:rPr>
          <w:rFonts w:hint="eastAsia" w:ascii="仿宋_GB2312" w:hAnsi="仿宋_GB2312" w:cs="仿宋_GB2312"/>
          <w:color w:val="auto"/>
          <w:spacing w:val="0"/>
          <w:kern w:val="21"/>
          <w:sz w:val="32"/>
          <w:szCs w:val="32"/>
        </w:rPr>
        <w:t>提高</w:t>
      </w:r>
      <w:r>
        <w:rPr>
          <w:rFonts w:hint="eastAsia" w:ascii="仿宋_GB2312" w:hAnsi="仿宋_GB2312" w:cs="仿宋_GB2312"/>
          <w:color w:val="auto"/>
          <w:spacing w:val="0"/>
          <w:kern w:val="21"/>
          <w:sz w:val="32"/>
          <w:szCs w:val="32"/>
          <w:lang w:val="en-US" w:eastAsia="zh-CN"/>
        </w:rPr>
        <w:t>旅游</w:t>
      </w:r>
      <w:r>
        <w:rPr>
          <w:rFonts w:hint="eastAsia" w:ascii="仿宋_GB2312" w:hAnsi="仿宋_GB2312" w:cs="仿宋_GB2312"/>
          <w:color w:val="auto"/>
          <w:spacing w:val="0"/>
          <w:kern w:val="21"/>
          <w:sz w:val="32"/>
          <w:szCs w:val="32"/>
        </w:rPr>
        <w:t>公共服务水平</w:t>
      </w:r>
      <w:r>
        <w:rPr>
          <w:rFonts w:hint="eastAsia" w:ascii="仿宋_GB2312" w:hAnsi="仿宋_GB2312" w:cs="仿宋_GB2312"/>
          <w:color w:val="auto"/>
          <w:spacing w:val="0"/>
          <w:kern w:val="21"/>
          <w:sz w:val="32"/>
          <w:szCs w:val="32"/>
          <w:lang w:val="en-US" w:eastAsia="zh-CN"/>
        </w:rPr>
        <w:t>和</w:t>
      </w:r>
      <w:r>
        <w:rPr>
          <w:rFonts w:hint="eastAsia" w:ascii="仿宋_GB2312" w:hAnsi="仿宋_GB2312" w:cs="仿宋_GB2312"/>
          <w:color w:val="auto"/>
          <w:spacing w:val="0"/>
          <w:kern w:val="21"/>
          <w:sz w:val="32"/>
          <w:szCs w:val="32"/>
        </w:rPr>
        <w:t>旅游服务质量。加强与周边地市、结对城市以及长征沿线城市的合作交流，以西延、延榆高铁开通为契机，实施“引客入延”计划。抓住加入世界旅游联盟和丝绸之路旅游城市联盟机遇，加大面向国际社会的旅游宣传推介和文化交流力度，提升延安文化旅游知名度和影响力。</w:t>
      </w:r>
    </w:p>
    <w:p w14:paraId="6FD86234">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p w14:paraId="2C49D9B1">
      <w:pPr>
        <w:pStyle w:val="9"/>
        <w:keepNext w:val="0"/>
        <w:keepLines w:val="0"/>
        <w:pageBreakBefore w:val="0"/>
        <w:widowControl w:val="0"/>
        <w:kinsoku/>
        <w:wordWrap/>
        <w:overflowPunct w:val="0"/>
        <w:topLinePunct w:val="0"/>
        <w:autoSpaceDE/>
        <w:autoSpaceDN/>
        <w:bidi w:val="0"/>
        <w:adjustRightInd/>
        <w:snapToGrid/>
        <w:spacing w:afterAutospacing="0" w:line="20" w:lineRule="exact"/>
        <w:ind w:left="0"/>
        <w:textAlignment w:val="auto"/>
        <w:rPr>
          <w:rFonts w:hint="eastAsia"/>
          <w:color w:val="auto"/>
          <w:spacing w:val="0"/>
          <w:kern w:val="21"/>
        </w:rPr>
      </w:pPr>
    </w:p>
    <w:tbl>
      <w:tblPr>
        <w:tblStyle w:val="16"/>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6"/>
      </w:tblGrid>
      <w:tr w14:paraId="2FA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656" w:type="dxa"/>
            <w:vAlign w:val="center"/>
          </w:tcPr>
          <w:p w14:paraId="236D1FAB">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eastAsia="zh-CN"/>
              </w:rPr>
            </w:pPr>
            <w:r>
              <w:rPr>
                <w:rFonts w:hint="eastAsia" w:ascii="黑体" w:hAnsi="黑体" w:eastAsia="黑体" w:cs="黑体"/>
                <w:b w:val="0"/>
                <w:bCs w:val="0"/>
                <w:color w:val="auto"/>
                <w:spacing w:val="0"/>
                <w:kern w:val="21"/>
                <w:sz w:val="25"/>
                <w:szCs w:val="25"/>
                <w:highlight w:val="none"/>
                <w:u w:val="none"/>
              </w:rPr>
              <w:t>专栏7 文化旅游产业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69DD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56" w:type="dxa"/>
            <w:vAlign w:val="center"/>
          </w:tcPr>
          <w:p w14:paraId="258AE0D4">
            <w:pPr>
              <w:keepNext w:val="0"/>
              <w:keepLines w:val="0"/>
              <w:pageBreakBefore w:val="0"/>
              <w:widowControl w:val="0"/>
              <w:kinsoku/>
              <w:wordWrap/>
              <w:overflowPunct w:val="0"/>
              <w:topLinePunct w:val="0"/>
              <w:autoSpaceDE/>
              <w:autoSpaceDN/>
              <w:bidi w:val="0"/>
              <w:adjustRightInd/>
              <w:snapToGrid/>
              <w:spacing w:afterAutospacing="0" w:line="38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红色文旅产业链重点项目。</w:t>
            </w:r>
            <w:r>
              <w:rPr>
                <w:rFonts w:hint="eastAsia" w:ascii="宋体" w:hAnsi="宋体" w:eastAsia="宋体" w:cs="宋体"/>
                <w:color w:val="auto"/>
                <w:spacing w:val="0"/>
                <w:kern w:val="21"/>
                <w:sz w:val="22"/>
                <w:szCs w:val="22"/>
                <w:highlight w:val="none"/>
                <w:u w:val="none"/>
              </w:rPr>
              <w:t>重点实施</w:t>
            </w:r>
            <w:r>
              <w:rPr>
                <w:rFonts w:hint="eastAsia" w:ascii="宋体" w:hAnsi="宋体" w:eastAsia="宋体" w:cs="宋体"/>
                <w:color w:val="auto"/>
                <w:spacing w:val="0"/>
                <w:kern w:val="21"/>
                <w:sz w:val="22"/>
                <w:szCs w:val="22"/>
                <w:highlight w:val="none"/>
                <w:u w:val="none"/>
                <w:lang w:val="en-US" w:eastAsia="zh-CN"/>
              </w:rPr>
              <w:t>延安长征文化旅游复合廊道示范段、</w:t>
            </w:r>
            <w:r>
              <w:rPr>
                <w:rFonts w:hint="eastAsia" w:ascii="宋体" w:hAnsi="宋体" w:eastAsia="宋体" w:cs="宋体"/>
                <w:color w:val="auto"/>
                <w:spacing w:val="0"/>
                <w:kern w:val="21"/>
                <w:sz w:val="22"/>
                <w:szCs w:val="22"/>
                <w:highlight w:val="none"/>
                <w:u w:val="none"/>
              </w:rPr>
              <w:t>瓦窑堡会议</w:t>
            </w:r>
            <w:r>
              <w:rPr>
                <w:rFonts w:hint="eastAsia" w:ascii="宋体" w:hAnsi="宋体" w:eastAsia="宋体" w:cs="宋体"/>
                <w:color w:val="auto"/>
                <w:spacing w:val="0"/>
                <w:kern w:val="21"/>
                <w:sz w:val="22"/>
                <w:szCs w:val="22"/>
                <w:highlight w:val="none"/>
                <w:u w:val="none"/>
                <w:lang w:val="en-US" w:eastAsia="zh-CN"/>
              </w:rPr>
              <w:t>重点展示园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吴起县长征长城国家文化公园吴起核心功能区提升改造等项目。</w:t>
            </w:r>
          </w:p>
          <w:p w14:paraId="1D3AD5D3">
            <w:pPr>
              <w:keepNext w:val="0"/>
              <w:keepLines w:val="0"/>
              <w:pageBreakBefore w:val="0"/>
              <w:widowControl w:val="0"/>
              <w:kinsoku/>
              <w:wordWrap/>
              <w:overflowPunct w:val="0"/>
              <w:topLinePunct w:val="0"/>
              <w:autoSpaceDE/>
              <w:autoSpaceDN/>
              <w:bidi w:val="0"/>
              <w:adjustRightInd/>
              <w:snapToGrid/>
              <w:spacing w:afterAutospacing="0" w:line="380" w:lineRule="exact"/>
              <w:ind w:left="0" w:firstLine="562"/>
              <w:jc w:val="both"/>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特色文旅产业链重点项目。</w:t>
            </w:r>
            <w:r>
              <w:rPr>
                <w:rFonts w:hint="eastAsia" w:ascii="宋体" w:hAnsi="宋体" w:eastAsia="宋体" w:cs="宋体"/>
                <w:color w:val="auto"/>
                <w:spacing w:val="0"/>
                <w:kern w:val="21"/>
                <w:sz w:val="22"/>
                <w:szCs w:val="22"/>
                <w:highlight w:val="none"/>
                <w:u w:val="none"/>
              </w:rPr>
              <w:t>重点实施芦山峁考古遗址公园、延长石油工业文化遗产保护</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黄河国家文化公园（壶口段）、延安高新东区文旅产业园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洛川黄土国家地质公园保护提升</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安塞区腰鼓山黄土风情文化园区、宝塔区河庄坪镇农文旅融合示范区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新区数字化沉浸式体验场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富县“红色直罗千年稻乡”农文旅融合示范区等项目。</w:t>
            </w:r>
          </w:p>
          <w:p w14:paraId="6C3D7131">
            <w:pPr>
              <w:keepNext w:val="0"/>
              <w:keepLines w:val="0"/>
              <w:pageBreakBefore w:val="0"/>
              <w:widowControl w:val="0"/>
              <w:kinsoku/>
              <w:wordWrap/>
              <w:overflowPunct w:val="0"/>
              <w:topLinePunct w:val="0"/>
              <w:autoSpaceDE/>
              <w:autoSpaceDN/>
              <w:bidi w:val="0"/>
              <w:adjustRightInd/>
              <w:snapToGrid/>
              <w:spacing w:afterAutospacing="0" w:line="38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精品旅游线路。</w:t>
            </w:r>
            <w:r>
              <w:rPr>
                <w:rFonts w:hint="eastAsia" w:ascii="宋体" w:hAnsi="宋体" w:eastAsia="宋体" w:cs="宋体"/>
                <w:b/>
                <w:bCs/>
                <w:color w:val="auto"/>
                <w:spacing w:val="0"/>
                <w:kern w:val="21"/>
                <w:sz w:val="22"/>
                <w:szCs w:val="22"/>
                <w:highlight w:val="none"/>
                <w:u w:val="none"/>
                <w:lang w:val="en-US" w:eastAsia="zh-CN"/>
              </w:rPr>
              <w:t>“红色革命游”精品旅游线路：</w:t>
            </w:r>
            <w:r>
              <w:rPr>
                <w:rFonts w:hint="eastAsia" w:ascii="宋体" w:hAnsi="宋体" w:eastAsia="宋体" w:cs="宋体"/>
                <w:color w:val="auto"/>
                <w:spacing w:val="0"/>
                <w:kern w:val="21"/>
                <w:sz w:val="22"/>
                <w:szCs w:val="22"/>
                <w:highlight w:val="none"/>
                <w:u w:val="none"/>
              </w:rPr>
              <w:t>围绕落脚陕北、东征西征、</w:t>
            </w:r>
            <w:r>
              <w:rPr>
                <w:rFonts w:hint="eastAsia" w:ascii="宋体" w:hAnsi="宋体" w:eastAsia="宋体" w:cs="宋体"/>
                <w:color w:val="auto"/>
                <w:spacing w:val="0"/>
                <w:kern w:val="21"/>
                <w:sz w:val="22"/>
                <w:szCs w:val="22"/>
                <w:highlight w:val="none"/>
                <w:u w:val="none"/>
                <w:lang w:val="en-US" w:eastAsia="zh-CN"/>
              </w:rPr>
              <w:t>洛川会议、</w:t>
            </w:r>
            <w:r>
              <w:rPr>
                <w:rFonts w:hint="eastAsia" w:ascii="宋体" w:hAnsi="宋体" w:eastAsia="宋体" w:cs="宋体"/>
                <w:color w:val="auto"/>
                <w:spacing w:val="0"/>
                <w:kern w:val="21"/>
                <w:sz w:val="22"/>
                <w:szCs w:val="22"/>
                <w:highlight w:val="none"/>
                <w:u w:val="none"/>
              </w:rPr>
              <w:t>保卫黄河、大生产运动、保卫延安、转战陕北等重大历史事件，串联标志性旅游资源，深挖红色历史故事内涵，打造适用于党员干部培训、青少年研学、历史爱好者参观等不同客群的专题化、分众化红色旅游线路产品。</w:t>
            </w:r>
            <w:r>
              <w:rPr>
                <w:rFonts w:hint="eastAsia" w:ascii="宋体" w:hAnsi="宋体" w:eastAsia="宋体" w:cs="宋体"/>
                <w:b/>
                <w:bCs/>
                <w:color w:val="auto"/>
                <w:spacing w:val="0"/>
                <w:kern w:val="21"/>
                <w:sz w:val="22"/>
                <w:szCs w:val="22"/>
                <w:highlight w:val="none"/>
                <w:u w:val="none"/>
                <w:lang w:val="en-US" w:eastAsia="zh-CN"/>
              </w:rPr>
              <w:t>“黄土风情游”精品旅游线路：</w:t>
            </w:r>
            <w:r>
              <w:rPr>
                <w:rFonts w:hint="eastAsia" w:ascii="宋体" w:hAnsi="宋体" w:eastAsia="宋体" w:cs="宋体"/>
                <w:color w:val="auto"/>
                <w:spacing w:val="0"/>
                <w:kern w:val="21"/>
                <w:sz w:val="22"/>
                <w:szCs w:val="22"/>
                <w:highlight w:val="none"/>
                <w:u w:val="none"/>
              </w:rPr>
              <w:t>以延安中心城区为基点，有机整合各县（市、区）独具特色的黄土风情、绿色生态、土特产品、民俗体验等文旅资源，开发延长游客停留时间的全域旅游产品，打造满足市场多样化需求的黄土风情游精品旅游线路。</w:t>
            </w:r>
          </w:p>
          <w:p w14:paraId="6E36E902">
            <w:pPr>
              <w:keepNext w:val="0"/>
              <w:keepLines w:val="0"/>
              <w:pageBreakBefore w:val="0"/>
              <w:widowControl w:val="0"/>
              <w:kinsoku/>
              <w:wordWrap/>
              <w:overflowPunct w:val="0"/>
              <w:topLinePunct w:val="0"/>
              <w:autoSpaceDE/>
              <w:autoSpaceDN/>
              <w:bidi w:val="0"/>
              <w:adjustRightInd/>
              <w:snapToGrid/>
              <w:spacing w:afterAutospacing="0" w:line="380" w:lineRule="exact"/>
              <w:ind w:left="0" w:firstLine="562"/>
              <w:jc w:val="both"/>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配合发展与服务保障项目</w:t>
            </w:r>
            <w:r>
              <w:rPr>
                <w:rFonts w:hint="eastAsia" w:ascii="楷体_GB2312" w:hAnsi="楷体_GB2312" w:eastAsia="楷体_GB2312" w:cs="楷体_GB2312"/>
                <w:b w:val="0"/>
                <w:bCs w:val="0"/>
                <w:color w:val="auto"/>
                <w:spacing w:val="0"/>
                <w:kern w:val="21"/>
                <w:sz w:val="22"/>
                <w:szCs w:val="22"/>
                <w:highlight w:val="none"/>
                <w:u w:val="none"/>
                <w:lang w:val="en-US" w:eastAsia="zh-CN"/>
              </w:rPr>
              <w:t>。</w:t>
            </w:r>
            <w:r>
              <w:rPr>
                <w:rFonts w:hint="eastAsia" w:ascii="宋体" w:hAnsi="宋体" w:eastAsia="宋体" w:cs="宋体"/>
                <w:color w:val="auto"/>
                <w:spacing w:val="0"/>
                <w:kern w:val="21"/>
                <w:sz w:val="22"/>
                <w:szCs w:val="22"/>
                <w:highlight w:val="none"/>
                <w:u w:val="none"/>
                <w:lang w:val="en-US" w:eastAsia="zh-CN"/>
              </w:rPr>
              <w:t>重点实施</w:t>
            </w:r>
            <w:r>
              <w:rPr>
                <w:rFonts w:hint="eastAsia" w:ascii="宋体" w:hAnsi="宋体" w:eastAsia="宋体" w:cs="宋体"/>
                <w:color w:val="auto"/>
                <w:spacing w:val="0"/>
                <w:kern w:val="21"/>
                <w:sz w:val="22"/>
                <w:szCs w:val="22"/>
                <w:highlight w:val="none"/>
                <w:u w:val="none"/>
              </w:rPr>
              <w:t>延安新区高铁站旅游服务中心</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甘泉大峡谷景区一级游客中心建设</w:t>
            </w:r>
            <w:r>
              <w:rPr>
                <w:rFonts w:hint="eastAsia" w:ascii="宋体" w:hAnsi="宋体" w:eastAsia="宋体" w:cs="宋体"/>
                <w:color w:val="auto"/>
                <w:spacing w:val="0"/>
                <w:kern w:val="21"/>
                <w:sz w:val="22"/>
                <w:szCs w:val="22"/>
                <w:highlight w:val="none"/>
                <w:u w:val="none"/>
                <w:lang w:val="en-US" w:eastAsia="zh-CN"/>
              </w:rPr>
              <w:t>工程等项目。</w:t>
            </w:r>
          </w:p>
        </w:tc>
      </w:tr>
    </w:tbl>
    <w:p w14:paraId="7C768D7A">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1D39E0DE">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第二节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现代物流</w:t>
      </w:r>
    </w:p>
    <w:p w14:paraId="3C469794">
      <w:pPr>
        <w:keepNext w:val="0"/>
        <w:keepLines w:val="0"/>
        <w:pageBreakBefore w:val="0"/>
        <w:widowControl w:val="0"/>
        <w:kinsoku/>
        <w:wordWrap/>
        <w:overflowPunct w:val="0"/>
        <w:topLinePunct w:val="0"/>
        <w:autoSpaceDE/>
        <w:autoSpaceDN/>
        <w:bidi w:val="0"/>
        <w:adjustRightInd/>
        <w:snapToGrid/>
        <w:spacing w:afterAutospacing="0" w:line="576" w:lineRule="exact"/>
        <w:ind w:left="0" w:firstLine="640"/>
        <w:textAlignment w:val="auto"/>
        <w:rPr>
          <w:rFonts w:hint="eastAsia" w:ascii="仿宋_GB2312" w:hAnsi="仿宋_GB2312" w:cs="仿宋_GB2312"/>
          <w:color w:val="auto"/>
          <w:spacing w:val="0"/>
          <w:kern w:val="21"/>
          <w:sz w:val="32"/>
          <w:szCs w:val="32"/>
        </w:rPr>
      </w:pPr>
    </w:p>
    <w:p w14:paraId="5CC9DF97">
      <w:pPr>
        <w:keepNext w:val="0"/>
        <w:keepLines w:val="0"/>
        <w:pageBreakBefore w:val="0"/>
        <w:widowControl w:val="0"/>
        <w:kinsoku/>
        <w:wordWrap/>
        <w:overflowPunct w:val="0"/>
        <w:topLinePunct w:val="0"/>
        <w:autoSpaceDE/>
        <w:autoSpaceDN/>
        <w:bidi w:val="0"/>
        <w:adjustRightInd/>
        <w:snapToGrid/>
        <w:spacing w:afterAutospacing="0" w:line="576"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开展物流领域技术创新、业态创新和模式创新，加快构建“通道+枢纽+网络”的现代物流运行体系，着力做大大宗物流、快递物流、冷链物流、应急物流等产业。</w:t>
      </w:r>
    </w:p>
    <w:p w14:paraId="4B7F09A0">
      <w:pPr>
        <w:keepNext w:val="0"/>
        <w:keepLines w:val="0"/>
        <w:pageBreakBefore w:val="0"/>
        <w:widowControl w:val="0"/>
        <w:kinsoku/>
        <w:wordWrap/>
        <w:overflowPunct w:val="0"/>
        <w:topLinePunct w:val="0"/>
        <w:autoSpaceDE/>
        <w:autoSpaceDN/>
        <w:bidi w:val="0"/>
        <w:adjustRightInd/>
        <w:snapToGrid/>
        <w:spacing w:afterAutospacing="0" w:line="576"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大宗物流。</w:t>
      </w:r>
      <w:r>
        <w:rPr>
          <w:rFonts w:hint="eastAsia" w:ascii="仿宋_GB2312" w:hAnsi="仿宋_GB2312" w:cs="仿宋_GB2312"/>
          <w:color w:val="auto"/>
          <w:spacing w:val="0"/>
          <w:kern w:val="21"/>
          <w:sz w:val="32"/>
          <w:szCs w:val="32"/>
        </w:rPr>
        <w:t>依托延安煤油气资源开采和下游化工产品，以延安陆港型国家物流枢纽为核心、包西铁路为轴线、北部油气运输带为通道，构建“一核一轴一带”大宗物流布局。发展</w:t>
      </w:r>
      <w:r>
        <w:rPr>
          <w:rFonts w:hint="eastAsia" w:ascii="仿宋_GB2312" w:hAnsi="仿宋_GB2312" w:cs="仿宋_GB2312"/>
          <w:color w:val="auto"/>
          <w:spacing w:val="0"/>
          <w:kern w:val="21"/>
          <w:sz w:val="32"/>
          <w:szCs w:val="32"/>
          <w:highlight w:val="none"/>
        </w:rPr>
        <w:t>大件运输、产成品运输</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rPr>
        <w:t>短倒运输等装备</w:t>
      </w:r>
      <w:r>
        <w:rPr>
          <w:rFonts w:hint="eastAsia" w:ascii="仿宋_GB2312" w:hAnsi="仿宋_GB2312" w:cs="仿宋_GB2312"/>
          <w:color w:val="auto"/>
          <w:spacing w:val="0"/>
          <w:kern w:val="21"/>
          <w:sz w:val="32"/>
          <w:szCs w:val="32"/>
        </w:rPr>
        <w:t>物流服务，提升装备制造产业物流运输水平。推进煤炭仓储、煤炭快装、煤炭转运等产业专业化集聚发展，推动煤炭储备基地、大宗物流综合服务平台、大型工矿企业铁路专用线等建设。</w:t>
      </w:r>
    </w:p>
    <w:p w14:paraId="590AFBBE">
      <w:pPr>
        <w:keepNext w:val="0"/>
        <w:keepLines w:val="0"/>
        <w:pageBreakBefore w:val="0"/>
        <w:widowControl w:val="0"/>
        <w:kinsoku/>
        <w:wordWrap/>
        <w:overflowPunct w:val="0"/>
        <w:topLinePunct w:val="0"/>
        <w:autoSpaceDE/>
        <w:autoSpaceDN/>
        <w:bidi w:val="0"/>
        <w:adjustRightInd/>
        <w:snapToGrid/>
        <w:spacing w:afterAutospacing="0" w:line="576"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冷链物流。</w:t>
      </w:r>
      <w:r>
        <w:rPr>
          <w:rFonts w:hint="eastAsia" w:ascii="仿宋_GB2312" w:hAnsi="仿宋_GB2312" w:cs="仿宋_GB2312"/>
          <w:color w:val="auto"/>
          <w:spacing w:val="0"/>
          <w:kern w:val="21"/>
          <w:sz w:val="32"/>
          <w:szCs w:val="32"/>
        </w:rPr>
        <w:t>以国家骨干冷链物流基地洛川、</w:t>
      </w:r>
      <w:r>
        <w:rPr>
          <w:rFonts w:hint="eastAsia" w:ascii="仿宋_GB2312" w:hAnsi="仿宋_GB2312" w:cs="仿宋_GB2312"/>
          <w:color w:val="auto"/>
          <w:spacing w:val="0"/>
          <w:kern w:val="21"/>
          <w:sz w:val="32"/>
          <w:szCs w:val="32"/>
          <w:lang w:val="en-US" w:eastAsia="zh-CN"/>
        </w:rPr>
        <w:t>甘泉、</w:t>
      </w:r>
      <w:r>
        <w:rPr>
          <w:rFonts w:hint="eastAsia" w:ascii="仿宋_GB2312" w:hAnsi="仿宋_GB2312" w:cs="仿宋_GB2312"/>
          <w:color w:val="auto"/>
          <w:spacing w:val="0"/>
          <w:kern w:val="21"/>
          <w:sz w:val="32"/>
          <w:szCs w:val="32"/>
        </w:rPr>
        <w:t>南泥湾片区为核心，吴起、安塞、子长、宝塔、富县、</w:t>
      </w:r>
      <w:r>
        <w:rPr>
          <w:rFonts w:hint="eastAsia" w:ascii="仿宋_GB2312" w:hAnsi="仿宋_GB2312" w:cs="仿宋_GB2312"/>
          <w:color w:val="auto"/>
          <w:spacing w:val="0"/>
          <w:kern w:val="21"/>
          <w:sz w:val="32"/>
          <w:szCs w:val="32"/>
          <w:lang w:val="en-US" w:eastAsia="zh-CN"/>
        </w:rPr>
        <w:t>延</w:t>
      </w:r>
      <w:r>
        <w:rPr>
          <w:rFonts w:hint="eastAsia" w:ascii="仿宋_GB2312" w:hAnsi="仿宋_GB2312" w:cs="仿宋_GB2312"/>
          <w:color w:val="auto"/>
          <w:spacing w:val="0"/>
          <w:kern w:val="21"/>
          <w:sz w:val="32"/>
          <w:szCs w:val="32"/>
        </w:rPr>
        <w:t>川、黄陵、宜川等区域冷链物流中心为支撑，构建“骨干基地引领、区域中心协同”的冷链物流布局。鼓励发展</w:t>
      </w:r>
      <w:r>
        <w:rPr>
          <w:rFonts w:hint="eastAsia" w:ascii="仿宋_GB2312" w:hAnsi="仿宋_GB2312" w:cs="仿宋_GB2312"/>
          <w:color w:val="auto"/>
          <w:spacing w:val="0"/>
          <w:kern w:val="21"/>
          <w:sz w:val="32"/>
          <w:szCs w:val="32"/>
          <w:highlight w:val="none"/>
        </w:rPr>
        <w:t>公路冷链专线</w:t>
      </w:r>
      <w:r>
        <w:rPr>
          <w:rFonts w:hint="eastAsia" w:ascii="仿宋_GB2312" w:hAnsi="仿宋_GB2312" w:cs="仿宋_GB2312"/>
          <w:color w:val="auto"/>
          <w:spacing w:val="0"/>
          <w:kern w:val="21"/>
          <w:sz w:val="32"/>
          <w:szCs w:val="32"/>
        </w:rPr>
        <w:t>、铁路冷链班列等干线运输模式，丰富产地冷链基础设施。</w:t>
      </w:r>
      <w:r>
        <w:rPr>
          <w:rFonts w:hint="eastAsia" w:ascii="仿宋_GB2312" w:hAnsi="仿宋_GB2312" w:cs="仿宋_GB2312"/>
          <w:color w:val="auto"/>
          <w:spacing w:val="0"/>
          <w:kern w:val="21"/>
          <w:sz w:val="32"/>
          <w:szCs w:val="32"/>
          <w:lang w:val="en-US" w:eastAsia="zh-CN"/>
        </w:rPr>
        <w:t>发展</w:t>
      </w:r>
      <w:r>
        <w:rPr>
          <w:rFonts w:hint="eastAsia" w:ascii="仿宋_GB2312" w:hAnsi="仿宋_GB2312" w:cs="仿宋_GB2312"/>
          <w:color w:val="auto"/>
          <w:spacing w:val="0"/>
          <w:kern w:val="21"/>
          <w:sz w:val="32"/>
          <w:szCs w:val="32"/>
        </w:rPr>
        <w:t>鲜果储运、食品储运</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医药冷链</w:t>
      </w:r>
      <w:r>
        <w:rPr>
          <w:rFonts w:hint="eastAsia" w:ascii="仿宋_GB2312" w:hAnsi="仿宋_GB2312" w:cs="仿宋_GB2312"/>
          <w:color w:val="auto"/>
          <w:spacing w:val="0"/>
          <w:kern w:val="21"/>
          <w:sz w:val="32"/>
          <w:szCs w:val="32"/>
          <w:lang w:val="en-US" w:eastAsia="zh-CN"/>
        </w:rPr>
        <w:t>以及</w:t>
      </w:r>
      <w:r>
        <w:rPr>
          <w:rFonts w:hint="eastAsia" w:ascii="仿宋_GB2312" w:hAnsi="仿宋_GB2312" w:cs="仿宋_GB2312"/>
          <w:color w:val="auto"/>
          <w:spacing w:val="0"/>
          <w:kern w:val="21"/>
          <w:sz w:val="32"/>
          <w:szCs w:val="32"/>
        </w:rPr>
        <w:t>与城市新消费方式融合的冷链配送新业态。</w:t>
      </w:r>
    </w:p>
    <w:p w14:paraId="24A94518">
      <w:pPr>
        <w:keepNext w:val="0"/>
        <w:keepLines w:val="0"/>
        <w:pageBreakBefore w:val="0"/>
        <w:widowControl w:val="0"/>
        <w:kinsoku/>
        <w:wordWrap/>
        <w:overflowPunct w:val="0"/>
        <w:topLinePunct w:val="0"/>
        <w:autoSpaceDE/>
        <w:autoSpaceDN/>
        <w:bidi w:val="0"/>
        <w:adjustRightInd/>
        <w:snapToGrid/>
        <w:spacing w:afterAutospacing="0" w:line="576" w:lineRule="exact"/>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快递物流。</w:t>
      </w:r>
      <w:r>
        <w:rPr>
          <w:rFonts w:hint="eastAsia" w:ascii="仿宋_GB2312" w:hAnsi="仿宋_GB2312" w:cs="仿宋_GB2312"/>
          <w:color w:val="auto"/>
          <w:spacing w:val="0"/>
          <w:kern w:val="21"/>
          <w:sz w:val="32"/>
          <w:szCs w:val="32"/>
        </w:rPr>
        <w:t>高标准建设以甘泉、高新区快递物流枢纽为双核心，各品牌市、县（市、区）级处理中心为节点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县乡村三级寄递物流体系畅通顺达的邮政快递</w:t>
      </w:r>
      <w:r>
        <w:rPr>
          <w:rFonts w:hint="eastAsia" w:ascii="仿宋_GB2312" w:hAnsi="仿宋_GB2312" w:cs="仿宋_GB2312"/>
          <w:color w:val="auto"/>
          <w:spacing w:val="0"/>
          <w:kern w:val="21"/>
          <w:sz w:val="32"/>
          <w:szCs w:val="32"/>
          <w:lang w:val="en-US" w:eastAsia="zh-CN"/>
        </w:rPr>
        <w:t>网络</w:t>
      </w:r>
      <w:r>
        <w:rPr>
          <w:rFonts w:hint="eastAsia" w:ascii="仿宋_GB2312" w:hAnsi="仿宋_GB2312" w:cs="仿宋_GB2312"/>
          <w:color w:val="auto"/>
          <w:spacing w:val="0"/>
          <w:kern w:val="21"/>
          <w:sz w:val="32"/>
          <w:szCs w:val="32"/>
        </w:rPr>
        <w:t>。支持中通陕北</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延安</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智能科技电商产业园、甘泉韵达电商产业园发挥西北快递中转枢纽功能。推动中国邮政</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延安</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电商物流中心</w:t>
      </w:r>
      <w:r>
        <w:rPr>
          <w:rFonts w:hint="eastAsia" w:ascii="仿宋_GB2312" w:hAnsi="仿宋_GB2312" w:cs="仿宋_GB2312"/>
          <w:color w:val="auto"/>
          <w:spacing w:val="0"/>
          <w:kern w:val="21"/>
          <w:sz w:val="32"/>
          <w:szCs w:val="32"/>
          <w:lang w:val="en-US" w:eastAsia="zh-CN"/>
        </w:rPr>
        <w:t>建设</w:t>
      </w:r>
      <w:r>
        <w:rPr>
          <w:rFonts w:hint="eastAsia" w:ascii="仿宋_GB2312" w:hAnsi="仿宋_GB2312" w:cs="仿宋_GB2312"/>
          <w:color w:val="auto"/>
          <w:spacing w:val="0"/>
          <w:kern w:val="21"/>
          <w:sz w:val="32"/>
          <w:szCs w:val="32"/>
        </w:rPr>
        <w:t>运营，电商快递物流企业集中</w:t>
      </w:r>
      <w:r>
        <w:rPr>
          <w:rFonts w:hint="eastAsia" w:ascii="仿宋_GB2312" w:hAnsi="仿宋_GB2312" w:cs="仿宋_GB2312"/>
          <w:color w:val="auto"/>
          <w:spacing w:val="0"/>
          <w:kern w:val="21"/>
          <w:sz w:val="32"/>
          <w:szCs w:val="32"/>
          <w:lang w:val="en-US" w:eastAsia="zh-CN"/>
        </w:rPr>
        <w:t>布局</w:t>
      </w:r>
      <w:r>
        <w:rPr>
          <w:rFonts w:hint="eastAsia" w:ascii="仿宋_GB2312" w:hAnsi="仿宋_GB2312" w:cs="仿宋_GB2312"/>
          <w:color w:val="auto"/>
          <w:spacing w:val="0"/>
          <w:kern w:val="21"/>
          <w:sz w:val="32"/>
          <w:szCs w:val="32"/>
        </w:rPr>
        <w:t>，形成集仓储、运输、电商运营为一体的电商快递物流集</w:t>
      </w:r>
      <w:r>
        <w:rPr>
          <w:rFonts w:hint="eastAsia" w:ascii="仿宋_GB2312" w:hAnsi="仿宋_GB2312" w:cs="仿宋_GB2312"/>
          <w:color w:val="auto"/>
          <w:spacing w:val="0"/>
          <w:kern w:val="21"/>
          <w:sz w:val="32"/>
          <w:szCs w:val="32"/>
          <w:lang w:val="en-US" w:eastAsia="zh-CN"/>
        </w:rPr>
        <w:t>聚区</w:t>
      </w:r>
      <w:r>
        <w:rPr>
          <w:rFonts w:hint="eastAsia" w:ascii="仿宋_GB2312" w:hAnsi="仿宋_GB2312" w:cs="仿宋_GB2312"/>
          <w:color w:val="auto"/>
          <w:spacing w:val="0"/>
          <w:kern w:val="21"/>
          <w:sz w:val="32"/>
          <w:szCs w:val="32"/>
        </w:rPr>
        <w:t>。持续</w:t>
      </w:r>
      <w:r>
        <w:rPr>
          <w:rFonts w:hint="eastAsia" w:ascii="仿宋_GB2312" w:hAnsi="仿宋_GB2312" w:cs="仿宋_GB2312"/>
          <w:color w:val="auto"/>
          <w:spacing w:val="0"/>
          <w:kern w:val="21"/>
          <w:sz w:val="32"/>
          <w:szCs w:val="32"/>
          <w:lang w:val="en-US" w:eastAsia="zh-CN"/>
        </w:rPr>
        <w:t>巩固</w:t>
      </w:r>
      <w:r>
        <w:rPr>
          <w:rFonts w:hint="eastAsia" w:ascii="仿宋_GB2312" w:hAnsi="仿宋_GB2312" w:cs="仿宋_GB2312"/>
          <w:color w:val="auto"/>
          <w:spacing w:val="0"/>
          <w:kern w:val="21"/>
          <w:sz w:val="32"/>
          <w:szCs w:val="32"/>
        </w:rPr>
        <w:t>农村寄递物流体系建设成果，加大县乡快递共配中心建设，强化客货邮融合发展，引导寄递企业在农村地区布设智能快递柜，畅通工业品下乡</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最后一公里</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和农产品出村进城</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最初一公里</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通道。因地制宜推进特殊需求地区邮政普遍服务、末端快递配送等应用场景低空物流试点和快递无人车示范应用</w:t>
      </w:r>
      <w:r>
        <w:rPr>
          <w:rFonts w:hint="eastAsia" w:ascii="仿宋_GB2312" w:hAnsi="仿宋_GB2312" w:cs="仿宋_GB2312"/>
          <w:color w:val="auto"/>
          <w:spacing w:val="0"/>
          <w:kern w:val="21"/>
          <w:sz w:val="32"/>
          <w:szCs w:val="32"/>
          <w:lang w:eastAsia="zh-CN"/>
        </w:rPr>
        <w:t>。</w:t>
      </w:r>
    </w:p>
    <w:p w14:paraId="0C7672F6">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应急物流。</w:t>
      </w:r>
      <w:r>
        <w:rPr>
          <w:rFonts w:hint="eastAsia" w:ascii="仿宋_GB2312" w:hAnsi="仿宋_GB2312" w:cs="仿宋_GB2312"/>
          <w:color w:val="auto"/>
          <w:spacing w:val="0"/>
          <w:kern w:val="21"/>
          <w:sz w:val="32"/>
          <w:szCs w:val="32"/>
        </w:rPr>
        <w:t>坚持平急两用，加快布局应急物流基础设施，打造现代化高标准应急物流配送体系，推进保供物流、医药物资物流和应急救援物流发展。以市级信息</w:t>
      </w:r>
      <w:r>
        <w:rPr>
          <w:rFonts w:hint="eastAsia" w:ascii="仿宋_GB2312" w:hAnsi="仿宋_GB2312" w:cs="仿宋_GB2312"/>
          <w:color w:val="auto"/>
          <w:spacing w:val="0"/>
          <w:kern w:val="21"/>
          <w:sz w:val="32"/>
          <w:szCs w:val="32"/>
          <w:lang w:val="en-US" w:eastAsia="zh-CN"/>
        </w:rPr>
        <w:t>化</w:t>
      </w:r>
      <w:r>
        <w:rPr>
          <w:rFonts w:hint="eastAsia" w:ascii="仿宋_GB2312" w:hAnsi="仿宋_GB2312" w:cs="仿宋_GB2312"/>
          <w:color w:val="auto"/>
          <w:spacing w:val="0"/>
          <w:kern w:val="21"/>
          <w:sz w:val="32"/>
          <w:szCs w:val="32"/>
        </w:rPr>
        <w:t>平台为基础，布局多个基层应急物流</w:t>
      </w:r>
      <w:r>
        <w:rPr>
          <w:rFonts w:hint="eastAsia" w:ascii="仿宋_GB2312" w:hAnsi="仿宋_GB2312" w:cs="仿宋_GB2312"/>
          <w:color w:val="auto"/>
          <w:spacing w:val="0"/>
          <w:kern w:val="21"/>
          <w:sz w:val="32"/>
          <w:szCs w:val="32"/>
          <w:lang w:val="en-US" w:eastAsia="zh-CN"/>
        </w:rPr>
        <w:t>信息化</w:t>
      </w:r>
      <w:r>
        <w:rPr>
          <w:rFonts w:hint="eastAsia" w:ascii="仿宋_GB2312" w:hAnsi="仿宋_GB2312" w:cs="仿宋_GB2312"/>
          <w:color w:val="auto"/>
          <w:spacing w:val="0"/>
          <w:kern w:val="21"/>
          <w:sz w:val="32"/>
          <w:szCs w:val="32"/>
        </w:rPr>
        <w:t>节点。</w:t>
      </w:r>
    </w:p>
    <w:p w14:paraId="12481CE5">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物流新业态。</w:t>
      </w:r>
      <w:r>
        <w:rPr>
          <w:rFonts w:hint="eastAsia" w:ascii="仿宋_GB2312" w:hAnsi="仿宋_GB2312" w:cs="仿宋_GB2312"/>
          <w:color w:val="auto"/>
          <w:spacing w:val="0"/>
          <w:kern w:val="21"/>
          <w:sz w:val="32"/>
          <w:szCs w:val="32"/>
        </w:rPr>
        <w:t>加快建设智慧物流网络，推广网络货运、数字仓库、无接触配送、低空物流等高效物流新模式，推进自动分拣系统、无人仓、物流机器人、智能快件箱等技术装备应用。培育“高铁+物流”新业态，建设专业化高铁快运物流基地，发展“点对点”高铁快运班列等服务。</w:t>
      </w:r>
    </w:p>
    <w:p w14:paraId="0D69F8A7">
      <w:pPr>
        <w:pStyle w:val="2"/>
        <w:rPr>
          <w:rFonts w:hint="eastAsia" w:ascii="仿宋_GB2312" w:hAnsi="仿宋_GB2312" w:cs="仿宋_GB2312"/>
          <w:color w:val="auto"/>
          <w:spacing w:val="0"/>
          <w:kern w:val="21"/>
          <w:sz w:val="32"/>
          <w:szCs w:val="32"/>
        </w:rPr>
      </w:pPr>
    </w:p>
    <w:p w14:paraId="31D4B20C">
      <w:pPr>
        <w:rPr>
          <w:rFonts w:hint="eastAsia" w:ascii="仿宋_GB2312" w:hAnsi="仿宋_GB2312" w:cs="仿宋_GB2312"/>
          <w:color w:val="auto"/>
          <w:spacing w:val="0"/>
          <w:kern w:val="21"/>
          <w:sz w:val="32"/>
          <w:szCs w:val="32"/>
        </w:rPr>
      </w:pPr>
    </w:p>
    <w:p w14:paraId="500C7B68">
      <w:pPr>
        <w:pStyle w:val="2"/>
        <w:rPr>
          <w:rFonts w:hint="eastAsia"/>
          <w:color w:val="auto"/>
        </w:rPr>
      </w:pPr>
    </w:p>
    <w:p w14:paraId="17A19D7F">
      <w:pPr>
        <w:pStyle w:val="3"/>
        <w:keepNext w:val="0"/>
        <w:keepLines w:val="0"/>
        <w:pageBreakBefore w:val="0"/>
        <w:widowControl w:val="0"/>
        <w:kinsoku/>
        <w:wordWrap/>
        <w:overflowPunct w:val="0"/>
        <w:topLinePunct w:val="0"/>
        <w:autoSpaceDE/>
        <w:autoSpaceDN/>
        <w:bidi w:val="0"/>
        <w:adjustRightInd/>
        <w:snapToGrid/>
        <w:spacing w:before="0" w:after="0" w:afterAutospacing="0" w:line="20" w:lineRule="exact"/>
        <w:ind w:left="0"/>
        <w:textAlignment w:val="auto"/>
        <w:rPr>
          <w:rFonts w:hint="eastAsia" w:ascii="仿宋_GB2312" w:hAnsi="仿宋_GB2312" w:cs="仿宋_GB2312"/>
          <w:color w:val="auto"/>
          <w:spacing w:val="0"/>
          <w:kern w:val="21"/>
          <w:sz w:val="30"/>
          <w:szCs w:val="30"/>
        </w:rPr>
      </w:pPr>
    </w:p>
    <w:tbl>
      <w:tblPr>
        <w:tblStyle w:val="1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2"/>
      </w:tblGrid>
      <w:tr w14:paraId="4DBB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722" w:type="dxa"/>
            <w:vAlign w:val="center"/>
          </w:tcPr>
          <w:p w14:paraId="250B8F49">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专栏8 现代物流产业</w:t>
            </w:r>
            <w:r>
              <w:rPr>
                <w:rFonts w:hint="eastAsia" w:ascii="黑体" w:hAnsi="黑体" w:eastAsia="黑体" w:cs="黑体"/>
                <w:b w:val="0"/>
                <w:bCs w:val="0"/>
                <w:color w:val="auto"/>
                <w:spacing w:val="0"/>
                <w:kern w:val="21"/>
                <w:sz w:val="25"/>
                <w:szCs w:val="25"/>
                <w:highlight w:val="none"/>
                <w:u w:val="none"/>
                <w:lang w:val="en-US" w:eastAsia="zh-CN"/>
              </w:rPr>
              <w:t>重点项目</w:t>
            </w:r>
          </w:p>
        </w:tc>
      </w:tr>
      <w:tr w14:paraId="7E8E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4" w:hRule="atLeast"/>
          <w:jc w:val="center"/>
        </w:trPr>
        <w:tc>
          <w:tcPr>
            <w:tcW w:w="8722" w:type="dxa"/>
            <w:vAlign w:val="center"/>
          </w:tcPr>
          <w:p w14:paraId="7C298225">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大宗物流</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宋体" w:hAnsi="宋体" w:eastAsia="宋体" w:cs="宋体"/>
                <w:color w:val="auto"/>
                <w:spacing w:val="0"/>
                <w:kern w:val="21"/>
                <w:sz w:val="22"/>
                <w:szCs w:val="22"/>
                <w:highlight w:val="none"/>
                <w:u w:val="none"/>
              </w:rPr>
              <w:t>。重点实施浩吉铁路建华站煤炭集运站、延安新区综合物流产业园、延安</w:t>
            </w:r>
            <w:r>
              <w:rPr>
                <w:rFonts w:hint="eastAsia" w:ascii="宋体" w:hAnsi="宋体" w:eastAsia="宋体" w:cs="宋体"/>
                <w:color w:val="auto"/>
                <w:spacing w:val="0"/>
                <w:kern w:val="21"/>
                <w:sz w:val="22"/>
                <w:szCs w:val="22"/>
                <w:highlight w:val="none"/>
                <w:u w:val="none"/>
                <w:lang w:val="en-US" w:eastAsia="zh-CN"/>
              </w:rPr>
              <w:t>高新区</w:t>
            </w:r>
            <w:r>
              <w:rPr>
                <w:rFonts w:hint="eastAsia" w:ascii="宋体" w:hAnsi="宋体" w:eastAsia="宋体" w:cs="宋体"/>
                <w:color w:val="auto"/>
                <w:spacing w:val="0"/>
                <w:kern w:val="21"/>
                <w:sz w:val="22"/>
                <w:szCs w:val="22"/>
                <w:highlight w:val="none"/>
                <w:u w:val="none"/>
              </w:rPr>
              <w:t>数智粮食交易港、子长市煤炭储配基地、子长市煤炭交易中心暨物流公路港</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物通延安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信息化平台</w:t>
            </w:r>
            <w:r>
              <w:rPr>
                <w:rFonts w:hint="eastAsia" w:ascii="宋体" w:hAnsi="宋体" w:eastAsia="宋体" w:cs="宋体"/>
                <w:color w:val="auto"/>
                <w:spacing w:val="0"/>
                <w:kern w:val="21"/>
                <w:sz w:val="22"/>
                <w:szCs w:val="22"/>
                <w:highlight w:val="none"/>
                <w:u w:val="none"/>
              </w:rPr>
              <w:t>等项目。</w:t>
            </w:r>
          </w:p>
          <w:p w14:paraId="60773243">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冷链物流</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重点实施宝塔区冷链集配中心、宝塔区农产品仓储保鲜冷链物流设施、高新区</w:t>
            </w:r>
            <w:r>
              <w:rPr>
                <w:rFonts w:hint="eastAsia" w:ascii="宋体" w:hAnsi="宋体" w:eastAsia="宋体" w:cs="宋体"/>
                <w:color w:val="auto"/>
                <w:spacing w:val="0"/>
                <w:kern w:val="21"/>
                <w:sz w:val="22"/>
                <w:szCs w:val="22"/>
                <w:highlight w:val="none"/>
                <w:u w:val="none"/>
                <w:lang w:val="en-US" w:eastAsia="zh-CN"/>
              </w:rPr>
              <w:t>智慧</w:t>
            </w:r>
            <w:r>
              <w:rPr>
                <w:rFonts w:hint="eastAsia" w:ascii="宋体" w:hAnsi="宋体" w:eastAsia="宋体" w:cs="宋体"/>
                <w:color w:val="auto"/>
                <w:spacing w:val="0"/>
                <w:kern w:val="21"/>
                <w:sz w:val="22"/>
                <w:szCs w:val="22"/>
                <w:highlight w:val="none"/>
                <w:u w:val="none"/>
              </w:rPr>
              <w:t>冷链物流中心、延川县供销农产品电子商务及仓储物流冷链配送中心、吴起县农产品冷链物流园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宜川县冷链物流集配中心</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延长县供销产业园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子长市工业园区运输物流创新服务基地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富县农产品冷链物流产业园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志丹县苹果冷藏冷链体系建设</w:t>
            </w:r>
            <w:r>
              <w:rPr>
                <w:rFonts w:hint="eastAsia" w:ascii="宋体" w:hAnsi="宋体" w:eastAsia="宋体" w:cs="宋体"/>
                <w:color w:val="auto"/>
                <w:spacing w:val="0"/>
                <w:kern w:val="21"/>
                <w:sz w:val="22"/>
                <w:szCs w:val="22"/>
                <w:highlight w:val="none"/>
                <w:u w:val="none"/>
              </w:rPr>
              <w:t>等项目。</w:t>
            </w:r>
          </w:p>
          <w:p w14:paraId="4BEDEEB1">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快递物流</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重点实施延安高新区快递物流集散中心、高新区中国邮政</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电商物流中心等项目。</w:t>
            </w:r>
          </w:p>
          <w:p w14:paraId="2FCF35DD">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应急物流</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重点实施</w:t>
            </w:r>
            <w:r>
              <w:rPr>
                <w:rFonts w:hint="eastAsia" w:ascii="宋体" w:hAnsi="宋体" w:eastAsia="宋体" w:cs="宋体"/>
                <w:color w:val="auto"/>
                <w:spacing w:val="0"/>
                <w:kern w:val="21"/>
                <w:sz w:val="22"/>
                <w:szCs w:val="22"/>
                <w:highlight w:val="none"/>
                <w:u w:val="none"/>
                <w:lang w:val="en-US" w:eastAsia="zh-CN"/>
              </w:rPr>
              <w:t>延安</w:t>
            </w:r>
            <w:r>
              <w:rPr>
                <w:rFonts w:hint="eastAsia" w:ascii="宋体" w:hAnsi="宋体" w:eastAsia="宋体" w:cs="宋体"/>
                <w:color w:val="auto"/>
                <w:spacing w:val="0"/>
                <w:kern w:val="21"/>
                <w:sz w:val="22"/>
                <w:szCs w:val="22"/>
                <w:highlight w:val="none"/>
                <w:u w:val="none"/>
              </w:rPr>
              <w:t>高新区应急救灾物资储备基地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洛川粮食储备库、</w:t>
            </w:r>
            <w:r>
              <w:rPr>
                <w:rFonts w:hint="eastAsia" w:ascii="宋体" w:hAnsi="宋体" w:eastAsia="宋体" w:cs="宋体"/>
                <w:color w:val="auto"/>
                <w:spacing w:val="0"/>
                <w:kern w:val="21"/>
                <w:sz w:val="22"/>
                <w:szCs w:val="22"/>
                <w:highlight w:val="none"/>
                <w:u w:val="none"/>
              </w:rPr>
              <w:t>志丹县粮食储备库等项目。</w:t>
            </w:r>
          </w:p>
        </w:tc>
      </w:tr>
    </w:tbl>
    <w:p w14:paraId="674B33FE">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0E82E619">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第三节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现代金融</w:t>
      </w:r>
    </w:p>
    <w:p w14:paraId="15589F9E">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p>
    <w:p w14:paraId="3C0AC4C3">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统筹推动金融供给、服务质效、安全治理和生态环境的整体跃升，</w:t>
      </w:r>
      <w:r>
        <w:rPr>
          <w:rFonts w:hint="eastAsia" w:ascii="仿宋_GB2312" w:hAnsi="仿宋_GB2312" w:cs="仿宋_GB2312"/>
          <w:color w:val="auto"/>
          <w:spacing w:val="0"/>
          <w:kern w:val="21"/>
          <w:sz w:val="32"/>
          <w:szCs w:val="32"/>
          <w:lang w:val="en-US" w:eastAsia="zh-CN"/>
        </w:rPr>
        <w:t>强化金融服务转型发展功能，</w:t>
      </w:r>
      <w:r>
        <w:rPr>
          <w:rFonts w:hint="eastAsia" w:ascii="仿宋_GB2312" w:hAnsi="仿宋_GB2312" w:cs="仿宋_GB2312"/>
          <w:color w:val="auto"/>
          <w:spacing w:val="0"/>
          <w:kern w:val="21"/>
          <w:sz w:val="32"/>
          <w:szCs w:val="32"/>
        </w:rPr>
        <w:t>推动全市金融产业高质量发展。到2030年，金融业增加值达到95亿元以上，银行机构存款和贷款增速不低于全省平均水平，不良贷款率低于全省平均水平，新增沪深北交易所上市公司1家以上。</w:t>
      </w:r>
    </w:p>
    <w:p w14:paraId="6618C1A6">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优化融资结构。</w:t>
      </w:r>
      <w:r>
        <w:rPr>
          <w:rFonts w:hint="eastAsia" w:ascii="仿宋_GB2312" w:hAnsi="仿宋_GB2312" w:cs="仿宋_GB2312"/>
          <w:color w:val="auto"/>
          <w:spacing w:val="0"/>
          <w:kern w:val="21"/>
          <w:sz w:val="32"/>
          <w:szCs w:val="32"/>
        </w:rPr>
        <w:t>深化“一链一行”主办行制度，提高信贷供给与产业需求匹配度，常态化举办融资对接、项目路演等活动，开展民营经济信贷服务提升工程，加大消费领域信贷投放力度，保持房地产信贷市场平稳运行，推动信贷供给稳总量、优增量。挖掘培育上市后备资源，加大企业挂牌上市培育力度，推动综合实力强、发展前景好的优质企业进入资本市场。支持市属国有企业开展创新业务，与证券等专业运营机构合作，探索开展经营权、收费权资产证券化融资。大力培育耐心资本，积极发展产业基金，支持开展“投贷联动”，构建多元化直接融资渠道。</w:t>
      </w:r>
    </w:p>
    <w:p w14:paraId="7C96A081">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提升服务质效。</w:t>
      </w:r>
      <w:r>
        <w:rPr>
          <w:rFonts w:hint="eastAsia" w:ascii="仿宋_GB2312" w:hAnsi="仿宋_GB2312" w:cs="仿宋_GB2312"/>
          <w:color w:val="auto"/>
          <w:spacing w:val="0"/>
          <w:kern w:val="21"/>
          <w:sz w:val="32"/>
          <w:szCs w:val="32"/>
        </w:rPr>
        <w:t>优化金融“五篇大文章”服务体系，发展创投基金、科技信贷、科技保险，畅通科技产业金融循环，推动科技金融能级提升。引导金融机构加大对能源“稳控转”、制造业绿色低碳转型等金融支持力度，创新推出落地一批绿色贷款、绿色保险、绿色债券、绿色基金等金融产品，推动绿色金融提标扩面。强化民营小微企业、新型城镇化、乡村振兴、“千万工程”、特色农产品、重点群体等领域的金融支持力度，推动普惠金融固本强基。加大康养服务、医养结合、老年教育等领域和银发经济的金融支持力度，支持金融机构围绕养老金融需求提供养老存款、理财、保险、基金等个性化金融产品，推动养老金融托底增质。推进金融机构数字化转型步伐，在储蓄、信贷、支付、投资等领域创新数字化应用场景，加大金融对数字经济核心产业和传统行业数字化转型的支持力度，推动数字金融融合创新。</w:t>
      </w:r>
    </w:p>
    <w:p w14:paraId="574B62AA">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强化金融治理。</w:t>
      </w:r>
      <w:r>
        <w:rPr>
          <w:rFonts w:hint="eastAsia" w:ascii="仿宋_GB2312" w:hAnsi="仿宋_GB2312" w:cs="仿宋_GB2312"/>
          <w:color w:val="auto"/>
          <w:spacing w:val="0"/>
          <w:kern w:val="21"/>
          <w:sz w:val="32"/>
          <w:szCs w:val="32"/>
        </w:rPr>
        <w:t>压紧压实金融风险处置责任</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做实央地协同、横向协同，强化金融机构合规意识和风险意识，加强机构监管、行为监管、功能监管、穿透式监管、持续监管，推动地方金融组织减量提质，防范化解地方中小金融机构风险、房地产企业涉金融风险、地方政府融资平台金融债务风险，做好非法金融活动全链条防范和打击工作，加强金融消费者权益保护，严格落实监督问责制度，守住不发生系统性金融风险的底线。</w:t>
      </w:r>
    </w:p>
    <w:p w14:paraId="43D5D92C">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改善金融生态。</w:t>
      </w:r>
      <w:r>
        <w:rPr>
          <w:rFonts w:hint="eastAsia" w:ascii="仿宋_GB2312" w:hAnsi="仿宋_GB2312" w:cs="仿宋_GB2312"/>
          <w:color w:val="auto"/>
          <w:spacing w:val="0"/>
          <w:kern w:val="21"/>
          <w:sz w:val="32"/>
          <w:szCs w:val="32"/>
        </w:rPr>
        <w:t>强化金融与财政、产业、科技、商务、农业农村等领域政策协同，完善金融配套服务，整合发挥融资信用服务平台及金融资源作用，持续做好政策支持。招引银行、保险、证券、期货、资产管理等金融机构在延设立分支机构，鼓励风投、产投、创投和基金机构来延发展，引进资产评估、信用评级、会计、法律等金融中介服务机构，持续做大金融主体。</w:t>
      </w:r>
    </w:p>
    <w:p w14:paraId="72C67528">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34A0DD61">
      <w:pPr>
        <w:pStyle w:val="6"/>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第四节</w:t>
      </w:r>
      <w:r>
        <w:rPr>
          <w:rFonts w:hint="eastAsia" w:ascii="楷体_GB2312" w:hAnsi="楷体_GB2312" w:eastAsia="楷体_GB2312" w:cs="楷体_GB2312"/>
          <w:b w:val="0"/>
          <w:bCs w:val="0"/>
          <w:color w:val="auto"/>
          <w:spacing w:val="0"/>
          <w:kern w:val="21"/>
          <w:sz w:val="32"/>
          <w:szCs w:val="32"/>
          <w:lang w:val="en-US" w:eastAsia="zh-CN"/>
        </w:rPr>
        <w:t xml:space="preserve">  </w:t>
      </w:r>
      <w:r>
        <w:rPr>
          <w:rFonts w:hint="eastAsia" w:ascii="楷体_GB2312" w:hAnsi="楷体_GB2312" w:eastAsia="楷体_GB2312" w:cs="楷体_GB2312"/>
          <w:b w:val="0"/>
          <w:bCs w:val="0"/>
          <w:color w:val="auto"/>
          <w:spacing w:val="0"/>
          <w:kern w:val="21"/>
          <w:sz w:val="32"/>
          <w:szCs w:val="32"/>
        </w:rPr>
        <w:t>推动服务业优质高效发展</w:t>
      </w:r>
    </w:p>
    <w:p w14:paraId="779C8334">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楷体_GB2312" w:hAnsi="楷体_GB2312" w:eastAsia="楷体_GB2312" w:cs="楷体_GB2312"/>
          <w:b w:val="0"/>
          <w:bCs w:val="0"/>
          <w:color w:val="auto"/>
          <w:spacing w:val="0"/>
          <w:kern w:val="21"/>
          <w:sz w:val="32"/>
          <w:szCs w:val="32"/>
        </w:rPr>
      </w:pPr>
    </w:p>
    <w:p w14:paraId="4CE43B41">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推进生产性服务业上规模增效益。</w:t>
      </w:r>
      <w:r>
        <w:rPr>
          <w:rFonts w:hint="eastAsia" w:ascii="仿宋_GB2312" w:hAnsi="仿宋_GB2312" w:eastAsia="仿宋_GB2312" w:cs="仿宋_GB2312"/>
          <w:b w:val="0"/>
          <w:bCs w:val="0"/>
          <w:color w:val="auto"/>
          <w:spacing w:val="0"/>
          <w:kern w:val="21"/>
          <w:sz w:val="32"/>
          <w:szCs w:val="32"/>
        </w:rPr>
        <w:t>提高现代服务业与先进制造业、现代农业融合发展水平，推进服务业数智化。</w:t>
      </w:r>
      <w:r>
        <w:rPr>
          <w:rFonts w:hint="eastAsia" w:ascii="仿宋_GB2312" w:hAnsi="仿宋_GB2312" w:cs="仿宋_GB2312"/>
          <w:color w:val="auto"/>
          <w:spacing w:val="0"/>
          <w:kern w:val="21"/>
          <w:sz w:val="32"/>
          <w:szCs w:val="32"/>
        </w:rPr>
        <w:t>围绕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7+25</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highlight w:val="none"/>
          <w:lang w:val="en-US" w:eastAsia="zh-CN"/>
        </w:rPr>
        <w:t>产业链群</w:t>
      </w:r>
      <w:r>
        <w:rPr>
          <w:rFonts w:hint="eastAsia" w:ascii="仿宋_GB2312" w:hAnsi="仿宋_GB2312" w:cs="仿宋_GB2312"/>
          <w:color w:val="auto"/>
          <w:spacing w:val="0"/>
          <w:kern w:val="21"/>
          <w:sz w:val="32"/>
          <w:szCs w:val="32"/>
          <w:highlight w:val="none"/>
        </w:rPr>
        <w:t>，</w:t>
      </w:r>
      <w:r>
        <w:rPr>
          <w:rFonts w:hint="eastAsia" w:ascii="仿宋_GB2312" w:hAnsi="仿宋_GB2312" w:eastAsia="仿宋_GB2312" w:cs="仿宋_GB2312"/>
          <w:b w:val="0"/>
          <w:bCs w:val="0"/>
          <w:color w:val="auto"/>
          <w:spacing w:val="0"/>
          <w:kern w:val="21"/>
          <w:sz w:val="32"/>
          <w:szCs w:val="32"/>
          <w:highlight w:val="none"/>
          <w:lang w:val="en-US" w:eastAsia="zh-CN"/>
        </w:rPr>
        <w:t>壮大设备维护、科技服务、农事服务等生产性服务业</w:t>
      </w:r>
      <w:r>
        <w:rPr>
          <w:rFonts w:hint="eastAsia" w:ascii="仿宋_GB2312" w:hAnsi="仿宋_GB2312" w:cs="仿宋_GB2312"/>
          <w:b w:val="0"/>
          <w:bCs w:val="0"/>
          <w:color w:val="auto"/>
          <w:spacing w:val="0"/>
          <w:kern w:val="21"/>
          <w:sz w:val="32"/>
          <w:szCs w:val="32"/>
          <w:highlight w:val="none"/>
          <w:lang w:val="en-US" w:eastAsia="zh-CN"/>
        </w:rPr>
        <w:t>。</w:t>
      </w:r>
      <w:r>
        <w:rPr>
          <w:rFonts w:hint="eastAsia" w:ascii="仿宋_GB2312" w:hAnsi="仿宋_GB2312" w:cs="仿宋_GB2312"/>
          <w:color w:val="auto"/>
          <w:spacing w:val="0"/>
          <w:kern w:val="21"/>
          <w:sz w:val="32"/>
          <w:szCs w:val="32"/>
          <w:highlight w:val="none"/>
        </w:rPr>
        <w:t>鼓励制造业企业向研发设计、软件信息、检验检测、市场营销、售后服务等产业链两端延伸，</w:t>
      </w:r>
      <w:r>
        <w:rPr>
          <w:rFonts w:hint="eastAsia" w:ascii="仿宋_GB2312" w:hAnsi="仿宋_GB2312" w:cs="仿宋_GB2312"/>
          <w:color w:val="auto"/>
          <w:spacing w:val="0"/>
          <w:kern w:val="21"/>
          <w:sz w:val="32"/>
          <w:szCs w:val="32"/>
          <w:highlight w:val="none"/>
          <w:lang w:val="en-US" w:eastAsia="zh-CN"/>
        </w:rPr>
        <w:t>培育</w:t>
      </w:r>
      <w:r>
        <w:rPr>
          <w:rFonts w:hint="eastAsia" w:ascii="仿宋_GB2312" w:hAnsi="仿宋_GB2312" w:cs="仿宋_GB2312"/>
          <w:color w:val="auto"/>
          <w:spacing w:val="0"/>
          <w:kern w:val="21"/>
          <w:sz w:val="32"/>
          <w:szCs w:val="32"/>
          <w:highlight w:val="none"/>
        </w:rPr>
        <w:t>一批生产性服务业融合应用场</w:t>
      </w:r>
      <w:r>
        <w:rPr>
          <w:rFonts w:hint="eastAsia" w:ascii="仿宋_GB2312" w:hAnsi="仿宋_GB2312" w:cs="仿宋_GB2312"/>
          <w:color w:val="auto"/>
          <w:spacing w:val="0"/>
          <w:kern w:val="21"/>
          <w:sz w:val="32"/>
          <w:szCs w:val="32"/>
        </w:rPr>
        <w:t>景，实现“制造服务化、服务制造化”。发展存储与管理软件、大数据分析挖掘等软件服务业。引导会计、审计、咨询、评估、代理、担保</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会展等商务服务业加速聚集，打造现代化的商务服务业新体系。加强服务标准和质量品牌建设。培育壮大教育培训产业，发挥延安职业技术学院、职业技能培训机构等作用，加强安全应急、职业技能、新就业形态从业者培训。</w:t>
      </w:r>
    </w:p>
    <w:p w14:paraId="424312A0">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推进生活性服务业补短板上水平。</w:t>
      </w:r>
      <w:r>
        <w:rPr>
          <w:rFonts w:hint="eastAsia" w:ascii="仿宋_GB2312" w:hAnsi="仿宋_GB2312" w:eastAsia="仿宋_GB2312" w:cs="仿宋_GB2312"/>
          <w:b w:val="0"/>
          <w:bCs/>
          <w:color w:val="auto"/>
          <w:spacing w:val="0"/>
          <w:kern w:val="21"/>
          <w:sz w:val="32"/>
          <w:szCs w:val="32"/>
        </w:rPr>
        <w:t>大力发展首发经济、夜间经济、会展经济、演艺经济、冰雪经济、赛事经济</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color w:val="auto"/>
          <w:spacing w:val="0"/>
          <w:kern w:val="21"/>
          <w:sz w:val="32"/>
          <w:szCs w:val="32"/>
        </w:rPr>
        <w:t>以</w:t>
      </w:r>
      <w:r>
        <w:rPr>
          <w:rFonts w:hint="eastAsia" w:ascii="仿宋_GB2312" w:hAnsi="仿宋_GB2312" w:cs="仿宋_GB2312"/>
          <w:color w:val="auto"/>
          <w:spacing w:val="0"/>
          <w:kern w:val="21"/>
          <w:sz w:val="32"/>
          <w:szCs w:val="32"/>
          <w:lang w:val="en-US" w:eastAsia="zh-CN"/>
        </w:rPr>
        <w:t>新区</w:t>
      </w:r>
      <w:r>
        <w:rPr>
          <w:rFonts w:hint="eastAsia" w:ascii="仿宋_GB2312" w:hAnsi="仿宋_GB2312" w:cs="仿宋_GB2312"/>
          <w:color w:val="auto"/>
          <w:spacing w:val="0"/>
          <w:kern w:val="21"/>
          <w:sz w:val="32"/>
          <w:szCs w:val="32"/>
        </w:rPr>
        <w:t>大都荟等大型商业综合体为载体，吸引国内外品牌的首店、旗舰店等落户延安，持续培育“首店+商圈”高端消费空间。</w:t>
      </w:r>
      <w:r>
        <w:rPr>
          <w:rFonts w:hint="eastAsia" w:ascii="仿宋_GB2312" w:hAnsi="仿宋_GB2312" w:cs="仿宋_GB2312"/>
          <w:color w:val="auto"/>
          <w:spacing w:val="0"/>
          <w:kern w:val="21"/>
          <w:sz w:val="32"/>
          <w:szCs w:val="32"/>
          <w:highlight w:val="none"/>
        </w:rPr>
        <w:t>优化提升金延安、二道街、延安1938等消费场景</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rPr>
        <w:t>建设一批商贸中心、特色商业街区、集贸市场、农村新型便民商店</w:t>
      </w:r>
      <w:r>
        <w:rPr>
          <w:rFonts w:hint="eastAsia" w:ascii="仿宋_GB2312" w:hAnsi="仿宋_GB2312" w:cs="仿宋_GB2312"/>
          <w:color w:val="auto"/>
          <w:spacing w:val="0"/>
          <w:kern w:val="21"/>
          <w:sz w:val="32"/>
          <w:szCs w:val="32"/>
        </w:rPr>
        <w:t>，培育多层级消费中心，加快步行街、重点商圈、大型零售企业数字化转型，推进“一刻钟便民生活圈”建设。培育延安特色小吃产业集群，打造一批</w:t>
      </w:r>
      <w:r>
        <w:rPr>
          <w:rFonts w:hint="eastAsia" w:ascii="仿宋_GB2312" w:hAnsi="仿宋_GB2312" w:eastAsia="仿宋_GB2312" w:cs="仿宋_GB2312"/>
          <w:b w:val="0"/>
          <w:bCs/>
          <w:color w:val="auto"/>
          <w:spacing w:val="0"/>
          <w:kern w:val="21"/>
          <w:sz w:val="32"/>
          <w:szCs w:val="32"/>
        </w:rPr>
        <w:t>延安美食品牌</w:t>
      </w:r>
      <w:r>
        <w:rPr>
          <w:rFonts w:hint="eastAsia" w:ascii="仿宋_GB2312" w:hAnsi="仿宋_GB2312" w:cs="仿宋_GB2312"/>
          <w:color w:val="auto"/>
          <w:spacing w:val="0"/>
          <w:kern w:val="21"/>
          <w:sz w:val="32"/>
          <w:szCs w:val="32"/>
          <w:lang w:val="en-US" w:eastAsia="zh-CN"/>
        </w:rPr>
        <w:t>和</w:t>
      </w:r>
      <w:r>
        <w:rPr>
          <w:rFonts w:hint="eastAsia" w:ascii="仿宋_GB2312" w:hAnsi="仿宋_GB2312" w:cs="仿宋_GB2312"/>
          <w:color w:val="auto"/>
          <w:spacing w:val="0"/>
          <w:kern w:val="21"/>
          <w:sz w:val="32"/>
          <w:szCs w:val="32"/>
        </w:rPr>
        <w:t>美食名镇名村。推动住宿业标准化、连锁化、品牌化发展。发展直播电商、即时零售、共享经济等新业态。依托西延高铁，推出面向西安都市圈的个性化特色化旅游和消费服务产品。推动“家政+物业”“家政+社区综合服务”等业态融合发展，提升家政消费市场供给能力和便捷化水平。围绕“一老一小”服务需求，拓展和规范社区日间照料中心服务功能，优化老年助餐、养老照护、老年文体等服务供给，提升婴幼儿照护服务机构服务水平，支持社会力量参与托育服务。积极发展银发经济</w:t>
      </w:r>
      <w:r>
        <w:rPr>
          <w:rFonts w:hint="eastAsia" w:ascii="仿宋_GB2312" w:hAnsi="仿宋_GB2312" w:cs="仿宋_GB2312"/>
          <w:color w:val="auto"/>
          <w:spacing w:val="0"/>
          <w:kern w:val="21"/>
          <w:sz w:val="32"/>
          <w:szCs w:val="32"/>
          <w:lang w:eastAsia="zh-CN"/>
        </w:rPr>
        <w:t>，支</w:t>
      </w:r>
      <w:r>
        <w:rPr>
          <w:rFonts w:hint="eastAsia" w:ascii="仿宋_GB2312" w:hAnsi="仿宋_GB2312" w:cs="仿宋_GB2312"/>
          <w:color w:val="auto"/>
          <w:spacing w:val="-6"/>
          <w:kern w:val="21"/>
          <w:sz w:val="32"/>
          <w:szCs w:val="32"/>
          <w:lang w:eastAsia="zh-CN"/>
        </w:rPr>
        <w:t>持延安高新</w:t>
      </w:r>
      <w:r>
        <w:rPr>
          <w:rFonts w:hint="eastAsia" w:ascii="仿宋_GB2312" w:hAnsi="仿宋_GB2312" w:cs="仿宋_GB2312"/>
          <w:color w:val="auto"/>
          <w:spacing w:val="-6"/>
          <w:kern w:val="21"/>
          <w:sz w:val="32"/>
          <w:szCs w:val="32"/>
          <w:lang w:val="en-US" w:eastAsia="zh-CN"/>
        </w:rPr>
        <w:t>区</w:t>
      </w:r>
      <w:r>
        <w:rPr>
          <w:rFonts w:hint="eastAsia" w:ascii="仿宋_GB2312" w:hAnsi="仿宋_GB2312" w:cs="仿宋_GB2312"/>
          <w:color w:val="auto"/>
          <w:spacing w:val="-6"/>
          <w:kern w:val="21"/>
          <w:sz w:val="32"/>
          <w:szCs w:val="32"/>
          <w:lang w:eastAsia="zh-CN"/>
        </w:rPr>
        <w:t>东区建设“银发+”医养产业化和特色中医康养基地</w:t>
      </w:r>
      <w:r>
        <w:rPr>
          <w:rFonts w:hint="eastAsia" w:ascii="仿宋_GB2312" w:hAnsi="仿宋_GB2312" w:cs="仿宋_GB2312"/>
          <w:color w:val="auto"/>
          <w:spacing w:val="0"/>
          <w:kern w:val="21"/>
          <w:sz w:val="32"/>
          <w:szCs w:val="32"/>
          <w:lang w:eastAsia="zh-CN"/>
        </w:rPr>
        <w:t>。</w:t>
      </w:r>
    </w:p>
    <w:p w14:paraId="14A98503">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ascii="仿宋_GB2312" w:hAnsi="仿宋_GB2312"/>
          <w:color w:val="auto"/>
          <w:spacing w:val="0"/>
          <w:kern w:val="21"/>
          <w:sz w:val="32"/>
          <w:szCs w:val="32"/>
        </w:rPr>
      </w:pPr>
      <w:bookmarkStart w:id="31" w:name="_Toc3778"/>
      <w:bookmarkStart w:id="32" w:name="_Toc2771"/>
      <w:bookmarkStart w:id="33" w:name="_Toc21147"/>
    </w:p>
    <w:p w14:paraId="060BAEF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第九章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持续发力“新赛道”做好战略性新兴产业和未来产业</w:t>
      </w:r>
      <w:bookmarkEnd w:id="31"/>
      <w:bookmarkEnd w:id="32"/>
      <w:bookmarkEnd w:id="33"/>
    </w:p>
    <w:p w14:paraId="1E0AA9B6">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仿宋_GB2312" w:hAnsi="仿宋_GB2312" w:eastAsia="仿宋_GB2312" w:cs="仿宋_GB2312"/>
          <w:color w:val="auto"/>
          <w:spacing w:val="0"/>
          <w:kern w:val="21"/>
          <w:sz w:val="32"/>
          <w:szCs w:val="32"/>
        </w:rPr>
      </w:pPr>
    </w:p>
    <w:p w14:paraId="1A28A2B5">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eastAsia="仿宋_GB2312" w:cs="仿宋_GB2312"/>
          <w:color w:val="auto"/>
          <w:spacing w:val="0"/>
          <w:kern w:val="21"/>
          <w:sz w:val="32"/>
          <w:szCs w:val="32"/>
        </w:rPr>
        <w:t>围绕</w:t>
      </w:r>
      <w:r>
        <w:rPr>
          <w:rFonts w:hint="eastAsia" w:ascii="仿宋_GB2312" w:hAnsi="仿宋_GB2312" w:cs="仿宋_GB2312"/>
          <w:color w:val="auto"/>
          <w:spacing w:val="0"/>
          <w:kern w:val="21"/>
          <w:sz w:val="32"/>
          <w:szCs w:val="32"/>
          <w:lang w:val="en-US" w:eastAsia="zh-CN"/>
        </w:rPr>
        <w:t>数字经济、低空经济、</w:t>
      </w:r>
      <w:r>
        <w:rPr>
          <w:rFonts w:hint="eastAsia" w:ascii="仿宋_GB2312" w:hAnsi="仿宋_GB2312" w:eastAsia="仿宋_GB2312" w:cs="仿宋_GB2312"/>
          <w:color w:val="auto"/>
          <w:spacing w:val="0"/>
          <w:kern w:val="21"/>
          <w:sz w:val="32"/>
          <w:szCs w:val="32"/>
        </w:rPr>
        <w:t>节能环保、</w:t>
      </w:r>
      <w:r>
        <w:rPr>
          <w:rFonts w:hint="eastAsia" w:ascii="仿宋_GB2312" w:hAnsi="仿宋_GB2312" w:cs="仿宋_GB2312"/>
          <w:color w:val="auto"/>
          <w:spacing w:val="0"/>
          <w:kern w:val="21"/>
          <w:sz w:val="32"/>
          <w:szCs w:val="32"/>
          <w:lang w:val="en-US" w:eastAsia="zh-CN"/>
        </w:rPr>
        <w:t>人工智能</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color w:val="auto"/>
          <w:spacing w:val="0"/>
          <w:kern w:val="21"/>
          <w:sz w:val="32"/>
          <w:szCs w:val="32"/>
        </w:rPr>
        <w:t>新材料、新型装备</w:t>
      </w:r>
      <w:r>
        <w:rPr>
          <w:rFonts w:hint="eastAsia" w:ascii="仿宋_GB2312" w:hAnsi="仿宋_GB2312" w:cs="仿宋_GB2312"/>
          <w:color w:val="auto"/>
          <w:spacing w:val="0"/>
          <w:kern w:val="21"/>
          <w:sz w:val="32"/>
          <w:szCs w:val="32"/>
        </w:rPr>
        <w:t>等新兴</w:t>
      </w:r>
      <w:r>
        <w:rPr>
          <w:rFonts w:hint="eastAsia" w:ascii="仿宋_GB2312" w:hAnsi="仿宋_GB2312" w:eastAsia="仿宋_GB2312" w:cs="仿宋_GB2312"/>
          <w:color w:val="auto"/>
          <w:spacing w:val="0"/>
          <w:kern w:val="21"/>
          <w:sz w:val="32"/>
          <w:szCs w:val="32"/>
        </w:rPr>
        <w:t>领域</w:t>
      </w:r>
      <w:r>
        <w:rPr>
          <w:rFonts w:hint="eastAsia" w:ascii="仿宋_GB2312" w:hAnsi="仿宋_GB2312" w:cs="仿宋_GB2312"/>
          <w:color w:val="auto"/>
          <w:spacing w:val="0"/>
          <w:kern w:val="21"/>
          <w:sz w:val="32"/>
          <w:szCs w:val="32"/>
        </w:rPr>
        <w:t>，前瞻谋划未来产业，</w:t>
      </w:r>
      <w:r>
        <w:rPr>
          <w:rFonts w:hint="eastAsia" w:ascii="仿宋_GB2312" w:hAnsi="仿宋_GB2312" w:cs="仿宋_GB2312"/>
          <w:color w:val="auto"/>
          <w:spacing w:val="0"/>
          <w:kern w:val="21"/>
          <w:sz w:val="32"/>
          <w:szCs w:val="32"/>
          <w:lang w:val="en-US" w:eastAsia="zh-CN"/>
        </w:rPr>
        <w:t>推动战略性新兴产业和未来产业破冰起航，</w:t>
      </w:r>
      <w:r>
        <w:rPr>
          <w:rFonts w:hint="eastAsia" w:ascii="仿宋_GB2312" w:hAnsi="仿宋_GB2312" w:cs="仿宋_GB2312"/>
          <w:color w:val="auto"/>
          <w:spacing w:val="0"/>
          <w:kern w:val="21"/>
          <w:sz w:val="32"/>
          <w:szCs w:val="32"/>
        </w:rPr>
        <w:t>加快培育引领未来发展的新支柱、新赛道。</w:t>
      </w:r>
    </w:p>
    <w:p w14:paraId="7B1A3B21">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default" w:ascii="仿宋_GB2312" w:hAnsi="仿宋_GB2312" w:eastAsia="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数字经济。</w:t>
      </w:r>
      <w:r>
        <w:rPr>
          <w:rFonts w:hint="eastAsia" w:ascii="仿宋_GB2312" w:hAnsi="仿宋_GB2312" w:eastAsia="仿宋_GB2312" w:cs="仿宋_GB2312"/>
          <w:b w:val="0"/>
          <w:bCs/>
          <w:color w:val="auto"/>
          <w:spacing w:val="0"/>
          <w:kern w:val="21"/>
          <w:sz w:val="32"/>
          <w:szCs w:val="32"/>
        </w:rPr>
        <w:t>按照数字延安“12365”总体布局，围绕“7+25”产业链群，深入推进“一新四化”。壮大数字产业化规模，重点聚焦计算机、智能终端、物联网、电子元器件等设备制造领域，引进数字产业制造业优质企业，积极发展软件和信息服务、电子信息制造</w:t>
      </w:r>
      <w:r>
        <w:rPr>
          <w:rFonts w:hint="eastAsia" w:ascii="仿宋_GB2312" w:hAnsi="仿宋_GB2312" w:cs="仿宋_GB2312"/>
          <w:b w:val="0"/>
          <w:bCs/>
          <w:color w:val="auto"/>
          <w:spacing w:val="0"/>
          <w:kern w:val="21"/>
          <w:sz w:val="32"/>
          <w:szCs w:val="32"/>
          <w:lang w:eastAsia="zh-CN"/>
        </w:rPr>
        <w:t>、数据标注、数据反馈评判</w:t>
      </w:r>
      <w:r>
        <w:rPr>
          <w:rFonts w:hint="eastAsia" w:ascii="仿宋_GB2312" w:hAnsi="仿宋_GB2312" w:eastAsia="仿宋_GB2312" w:cs="仿宋_GB2312"/>
          <w:b w:val="0"/>
          <w:bCs/>
          <w:color w:val="auto"/>
          <w:spacing w:val="0"/>
          <w:kern w:val="21"/>
          <w:sz w:val="32"/>
          <w:szCs w:val="32"/>
        </w:rPr>
        <w:t>等产业。加快产业数字化发展，推动“数据要素×”行动，促进数字经济和实体经济深度融合，加快省级产业数字化转型示范区建设。加强5G、大数据、物联网、AI等在工业领域远程生产控制、人员行为管理和设备运行等方面深度应用，建设一批智慧矿山、智慧工厂、数字化车间。在农业领域建设一批智慧果园、智慧农场、智慧大棚等。打造全市数字一体化智慧物流体系。加快数字博物馆、数智景区等建设，打造智慧文旅大数据平台。加速产业物联网应用，联合延安大学建设“延安市物联网产业中试基地”。提升治理数字化效能，推动城市全域数字化转型，推进一件事全链条改革，抓好高效流转一件事、高效办成一件事、高效处置一件事。打造数字延安“12365”总门户平台、12345诉求受理“总客服”平台和“i延安”城市服务“总入口”平台、城市全域数字化转型五级融合服务平台。推动城市管理、综合执法、交通运行、应急处置等各类系统耦合集成、数据互通与业务联动。激活数据价值化潜能，探索建立公共数据资源授权运营机制，重点推动医疗、文旅、基金、征信等领域的数据资源开发利用。推动企业数据、个人数据资源开发利用，鼓励企业探索数据资产化管理路径，引育一批数商和第三方专业服务机构。到2030年，累计落地转型数字化项目200个以上，培育数字经济重点企业超100家，典型应用场景100个以上。</w:t>
      </w:r>
    </w:p>
    <w:p w14:paraId="0BF1A922">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rPr>
        <w:t>低空经济。</w:t>
      </w:r>
      <w:r>
        <w:rPr>
          <w:rFonts w:hint="eastAsia" w:ascii="仿宋_GB2312" w:hAnsi="仿宋_GB2312" w:eastAsia="仿宋_GB2312" w:cs="仿宋_GB2312"/>
          <w:b w:val="0"/>
          <w:bCs w:val="0"/>
          <w:color w:val="auto"/>
          <w:spacing w:val="0"/>
          <w:kern w:val="21"/>
          <w:sz w:val="32"/>
          <w:szCs w:val="32"/>
          <w:highlight w:val="none"/>
        </w:rPr>
        <w:t>加强低空领域基础设施建设，</w:t>
      </w:r>
      <w:r>
        <w:rPr>
          <w:rFonts w:hint="eastAsia" w:ascii="仿宋_GB2312" w:hAnsi="仿宋_GB2312" w:cs="仿宋_GB2312"/>
          <w:strike w:val="0"/>
          <w:color w:val="auto"/>
          <w:spacing w:val="0"/>
          <w:kern w:val="21"/>
          <w:sz w:val="32"/>
          <w:szCs w:val="32"/>
          <w:highlight w:val="none"/>
        </w:rPr>
        <w:t>依托延安南泥湾机场、黄陵通用机场，</w:t>
      </w:r>
      <w:r>
        <w:rPr>
          <w:rFonts w:hint="eastAsia" w:ascii="仿宋_GB2312" w:hAnsi="仿宋_GB2312" w:eastAsia="仿宋_GB2312" w:cs="仿宋_GB2312"/>
          <w:b w:val="0"/>
          <w:bCs w:val="0"/>
          <w:color w:val="auto"/>
          <w:spacing w:val="0"/>
          <w:kern w:val="21"/>
          <w:sz w:val="32"/>
          <w:szCs w:val="32"/>
          <w:highlight w:val="none"/>
        </w:rPr>
        <w:t>配套布局分布式起降点，构建“机</w:t>
      </w:r>
      <w:r>
        <w:rPr>
          <w:rFonts w:hint="eastAsia" w:ascii="仿宋_GB2312" w:hAnsi="仿宋_GB2312" w:eastAsia="仿宋_GB2312" w:cs="仿宋_GB2312"/>
          <w:b w:val="0"/>
          <w:bCs w:val="0"/>
          <w:color w:val="auto"/>
          <w:spacing w:val="0"/>
          <w:kern w:val="21"/>
          <w:sz w:val="32"/>
          <w:szCs w:val="32"/>
        </w:rPr>
        <w:t>场群+起降点+智联系统”低空一体化基础设施网络。</w:t>
      </w:r>
      <w:r>
        <w:rPr>
          <w:rFonts w:hint="eastAsia" w:ascii="仿宋_GB2312" w:hAnsi="仿宋_GB2312" w:cs="仿宋_GB2312"/>
          <w:color w:val="auto"/>
          <w:spacing w:val="0"/>
          <w:kern w:val="21"/>
          <w:sz w:val="32"/>
          <w:szCs w:val="32"/>
        </w:rPr>
        <w:t>因地制宜打造多元低空应用场景。围绕能源、水利、林场、交通等领域，发展巡检业态。围绕苹果等特色农产品，开展无人机播种、施肥、病虫害防治等植保服务。围绕特色农产品生鲜运输、生产生活作业、医疗物资精准投送等领域，发展“低空+物流”融合业态。围绕自然灾害救援、应急物资等场景，开展专业化低空救援服务。拓展“低空+文旅”融合业态，以“低空瞰延安”为主题打造立体化文旅体验体系。依托延安高新区、安塞高新区等重点园区，围绕无人机整机组装、核心零部件制造、核心元器件研发，培育发展工业无人机重点产业链。</w:t>
      </w:r>
    </w:p>
    <w:p w14:paraId="0752D71C">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val="en-US" w:eastAsia="zh-CN"/>
        </w:rPr>
        <w:t>节能</w:t>
      </w:r>
      <w:r>
        <w:rPr>
          <w:rFonts w:hint="eastAsia" w:ascii="楷体_GB2312" w:hAnsi="楷体_GB2312" w:eastAsia="楷体_GB2312" w:cs="楷体_GB2312"/>
          <w:b w:val="0"/>
          <w:bCs w:val="0"/>
          <w:color w:val="auto"/>
          <w:spacing w:val="0"/>
          <w:kern w:val="21"/>
          <w:sz w:val="32"/>
          <w:szCs w:val="32"/>
        </w:rPr>
        <w:t>环保。</w:t>
      </w:r>
      <w:r>
        <w:rPr>
          <w:rFonts w:hint="eastAsia" w:ascii="仿宋_GB2312" w:hAnsi="仿宋_GB2312" w:cs="仿宋_GB2312"/>
          <w:color w:val="auto"/>
          <w:spacing w:val="0"/>
          <w:kern w:val="21"/>
          <w:sz w:val="32"/>
          <w:szCs w:val="32"/>
        </w:rPr>
        <w:t>推动煤电清洁高效发展，高效利用煤电固体废弃物，发展化学清洁环保材料、绿色建材等。提高石油化工资源循环利用效率，重点发展油污泥、催化剂、废机油等工业废弃物综合处置。加快布局新能源废弃物循环利用。积极拓展再生金属、废旧塑料、农林废弃物资源化利用路径，构建“减量化、再利用、资源化”全流程循环体系。培育提升再制造产业链。</w:t>
      </w:r>
    </w:p>
    <w:p w14:paraId="4C826485">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人工智能。</w:t>
      </w:r>
      <w:r>
        <w:rPr>
          <w:rFonts w:hint="eastAsia" w:ascii="仿宋_GB2312" w:hAnsi="仿宋_GB2312" w:eastAsia="仿宋_GB2312" w:cs="仿宋_GB2312"/>
          <w:b w:val="0"/>
          <w:bCs/>
          <w:color w:val="auto"/>
          <w:spacing w:val="0"/>
          <w:kern w:val="21"/>
          <w:sz w:val="32"/>
          <w:szCs w:val="32"/>
        </w:rPr>
        <w:t>深入实施“人工智能+”行动，</w:t>
      </w:r>
      <w:r>
        <w:rPr>
          <w:rFonts w:hint="eastAsia" w:ascii="仿宋_GB2312" w:hAnsi="仿宋_GB2312" w:cs="仿宋_GB2312"/>
          <w:bCs/>
          <w:color w:val="auto"/>
          <w:spacing w:val="0"/>
          <w:kern w:val="21"/>
          <w:sz w:val="32"/>
          <w:szCs w:val="32"/>
        </w:rPr>
        <w:t>促进人工智能全方位赋能千行百业</w:t>
      </w:r>
      <w:r>
        <w:rPr>
          <w:rFonts w:hint="eastAsia" w:ascii="仿宋_GB2312" w:hAnsi="仿宋_GB2312" w:eastAsia="仿宋_GB2312" w:cs="仿宋_GB2312"/>
          <w:b w:val="0"/>
          <w:bCs/>
          <w:color w:val="auto"/>
          <w:spacing w:val="0"/>
          <w:kern w:val="21"/>
          <w:sz w:val="32"/>
          <w:szCs w:val="32"/>
        </w:rPr>
        <w:t>。</w:t>
      </w:r>
      <w:r>
        <w:rPr>
          <w:rFonts w:hint="eastAsia" w:ascii="仿宋_GB2312" w:hAnsi="仿宋_GB2312" w:cs="仿宋_GB2312"/>
          <w:color w:val="auto"/>
          <w:spacing w:val="0"/>
          <w:kern w:val="21"/>
          <w:sz w:val="32"/>
          <w:szCs w:val="32"/>
        </w:rPr>
        <w:t>鼓励开发针对能源智能开采、农业精准种植、红色文旅智慧服务的专属AI模型，打造人工智能与大数据创新应用标杆场景</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进人工智能+能源化工，谋划建设智慧能源管理系统，推动市级能源数据收集治理共享，支持建立数据集、训练模型和打造智能体。推进人工智能+装备制造，推动人工智能技术、大模型在研发设计、生产制造、检验检测、营销服务、供应链管理等全环节创新应用，打造一批人工智能创新产品和解决方案。推进人工智能+农业，建好苹果全产业链数智服务平台，推广运用植保无人机、农业机器人等智能农机装备。推进人工智能+商贸服务，打造人工智能赋能电子商务、消费提质、物流配送等应用场景，推动智能终端“万物智联”。推进人工智能+文化旅游，推动人工智能在景区智能化、文旅个性化服务等方面的应用。大力推进人工智能在政务服务、社会治理、民生保障、现代金融、生态建设等领域典型应用场景落地</w:t>
      </w:r>
      <w:r>
        <w:rPr>
          <w:rFonts w:hint="eastAsia" w:ascii="仿宋_GB2312" w:hAnsi="仿宋_GB2312" w:cs="仿宋_GB2312"/>
          <w:color w:val="auto"/>
          <w:spacing w:val="0"/>
          <w:kern w:val="21"/>
          <w:sz w:val="32"/>
          <w:szCs w:val="32"/>
          <w:lang w:eastAsia="zh-CN"/>
        </w:rPr>
        <w:t>。</w:t>
      </w:r>
    </w:p>
    <w:p w14:paraId="44CF4627">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谋划布局未来产业。</w:t>
      </w:r>
      <w:r>
        <w:rPr>
          <w:rFonts w:hint="eastAsia" w:ascii="仿宋_GB2312" w:hAnsi="仿宋_GB2312" w:cs="仿宋_GB2312"/>
          <w:color w:val="auto"/>
          <w:spacing w:val="0"/>
          <w:kern w:val="21"/>
          <w:sz w:val="32"/>
          <w:szCs w:val="32"/>
        </w:rPr>
        <w:t>重点面向未来信息、未来制造、未来能源、未来材料和未来健康等发展方向，加强产学研用协作，建立技术预见、赛道筛选、产业孵化、投入增长、风险分担机制，</w:t>
      </w:r>
      <w:r>
        <w:rPr>
          <w:rFonts w:hint="eastAsia" w:ascii="仿宋_GB2312" w:hAnsi="仿宋_GB2312" w:cs="仿宋_GB2312"/>
          <w:color w:val="auto"/>
          <w:spacing w:val="0"/>
          <w:kern w:val="21"/>
          <w:sz w:val="32"/>
          <w:szCs w:val="32"/>
          <w:lang w:val="en-US" w:eastAsia="zh-CN"/>
        </w:rPr>
        <w:t>适时适度</w:t>
      </w:r>
      <w:r>
        <w:rPr>
          <w:rFonts w:hint="eastAsia" w:ascii="仿宋_GB2312" w:hAnsi="仿宋_GB2312" w:cs="仿宋_GB2312"/>
          <w:color w:val="auto"/>
          <w:spacing w:val="0"/>
          <w:kern w:val="21"/>
          <w:sz w:val="32"/>
          <w:szCs w:val="32"/>
        </w:rPr>
        <w:t>培育发展未来产业。</w:t>
      </w:r>
    </w:p>
    <w:p w14:paraId="5037BDC4">
      <w:pPr>
        <w:pStyle w:val="2"/>
        <w:rPr>
          <w:rFonts w:hint="eastAsia"/>
          <w:color w:val="auto"/>
        </w:rPr>
      </w:pPr>
    </w:p>
    <w:p w14:paraId="211AC492">
      <w:pPr>
        <w:pStyle w:val="2"/>
        <w:keepNext w:val="0"/>
        <w:keepLines w:val="0"/>
        <w:pageBreakBefore w:val="0"/>
        <w:widowControl w:val="0"/>
        <w:kinsoku/>
        <w:wordWrap/>
        <w:overflowPunct w:val="0"/>
        <w:topLinePunct w:val="0"/>
        <w:autoSpaceDE/>
        <w:autoSpaceDN/>
        <w:bidi w:val="0"/>
        <w:adjustRightInd/>
        <w:snapToGrid/>
        <w:spacing w:before="0" w:after="0" w:afterAutospacing="0" w:line="200" w:lineRule="exact"/>
        <w:ind w:left="0"/>
        <w:textAlignment w:val="auto"/>
        <w:rPr>
          <w:rFonts w:hint="eastAsia"/>
          <w:color w:val="auto"/>
          <w:spacing w:val="0"/>
          <w:kern w:val="21"/>
          <w:sz w:val="20"/>
          <w:szCs w:val="22"/>
        </w:rPr>
      </w:pPr>
    </w:p>
    <w:tbl>
      <w:tblPr>
        <w:tblStyle w:val="16"/>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1"/>
      </w:tblGrid>
      <w:tr w14:paraId="1687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571" w:type="dxa"/>
            <w:vAlign w:val="center"/>
          </w:tcPr>
          <w:p w14:paraId="7CCA9324">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9</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val="en-US" w:eastAsia="zh-CN"/>
              </w:rPr>
              <w:t>数字经济</w:t>
            </w:r>
            <w:r>
              <w:rPr>
                <w:rFonts w:hint="eastAsia" w:ascii="黑体" w:hAnsi="黑体" w:eastAsia="黑体" w:cs="黑体"/>
                <w:b w:val="0"/>
                <w:bCs w:val="0"/>
                <w:color w:val="auto"/>
                <w:spacing w:val="0"/>
                <w:kern w:val="21"/>
                <w:sz w:val="25"/>
                <w:szCs w:val="25"/>
                <w:highlight w:val="none"/>
                <w:u w:val="none"/>
              </w:rPr>
              <w:t>重点项目</w:t>
            </w:r>
          </w:p>
        </w:tc>
      </w:tr>
      <w:tr w14:paraId="0C4D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3" w:hRule="atLeast"/>
          <w:jc w:val="center"/>
        </w:trPr>
        <w:tc>
          <w:tcPr>
            <w:tcW w:w="8571" w:type="dxa"/>
            <w:vAlign w:val="center"/>
          </w:tcPr>
          <w:p w14:paraId="06CE8D00">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产业数字化产业链。</w:t>
            </w:r>
            <w:r>
              <w:rPr>
                <w:rFonts w:hint="eastAsia" w:ascii="宋体" w:hAnsi="宋体" w:eastAsia="宋体" w:cs="宋体"/>
                <w:color w:val="auto"/>
                <w:spacing w:val="0"/>
                <w:kern w:val="21"/>
                <w:sz w:val="22"/>
                <w:szCs w:val="22"/>
                <w:highlight w:val="none"/>
                <w:u w:val="none"/>
              </w:rPr>
              <w:t>重点实施中小企业数字化转型、文旅产业大脑、延安市红色云谷、延安市AI+新型工业互联网平台建设、延安苹果全产业链数智赋能综合服务平台建设与应用示范、延安市数智银发经济工程、智慧果园/大棚、延安高新区能源科技产业大脑等</w:t>
            </w:r>
            <w:r>
              <w:rPr>
                <w:rFonts w:hint="eastAsia" w:ascii="宋体" w:hAnsi="宋体" w:eastAsia="宋体" w:cs="宋体"/>
                <w:color w:val="auto"/>
                <w:spacing w:val="0"/>
                <w:kern w:val="21"/>
                <w:sz w:val="22"/>
                <w:szCs w:val="22"/>
                <w:highlight w:val="none"/>
                <w:u w:val="none"/>
                <w:lang w:val="en-US" w:eastAsia="zh-CN"/>
              </w:rPr>
              <w:t>项目</w:t>
            </w:r>
            <w:r>
              <w:rPr>
                <w:rFonts w:hint="eastAsia" w:ascii="宋体" w:hAnsi="宋体" w:eastAsia="宋体" w:cs="宋体"/>
                <w:color w:val="auto"/>
                <w:spacing w:val="0"/>
                <w:kern w:val="21"/>
                <w:sz w:val="22"/>
                <w:szCs w:val="22"/>
                <w:highlight w:val="none"/>
                <w:u w:val="none"/>
              </w:rPr>
              <w:t>。</w:t>
            </w:r>
          </w:p>
          <w:p w14:paraId="2A8D1124">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数字产业化产业链</w:t>
            </w:r>
            <w:r>
              <w:rPr>
                <w:rFonts w:hint="eastAsia" w:ascii="宋体" w:hAnsi="宋体" w:eastAsia="宋体" w:cs="宋体"/>
                <w:color w:val="auto"/>
                <w:spacing w:val="0"/>
                <w:kern w:val="21"/>
                <w:sz w:val="22"/>
                <w:szCs w:val="22"/>
                <w:highlight w:val="none"/>
                <w:u w:val="none"/>
              </w:rPr>
              <w:t>。重点实施延安市全域数字化转型融合服务平台暨一体化智能化政务数据中枢平台、延安市人工智能融合应用工程、延安市数据标注与大模型产业基地、延安高新区油气产业工业互联网平台建设等项目</w:t>
            </w:r>
            <w:r>
              <w:rPr>
                <w:rFonts w:hint="eastAsia" w:ascii="宋体" w:hAnsi="宋体" w:eastAsia="宋体" w:cs="宋体"/>
                <w:color w:val="auto"/>
                <w:spacing w:val="0"/>
                <w:kern w:val="21"/>
                <w:sz w:val="22"/>
                <w:szCs w:val="22"/>
                <w:highlight w:val="none"/>
                <w:u w:val="none"/>
                <w:lang w:eastAsia="zh-CN"/>
              </w:rPr>
              <w:t>。</w:t>
            </w:r>
          </w:p>
          <w:p w14:paraId="01CC0480">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仿宋_GB2312" w:hAnsi="仿宋_GB2312" w:eastAsia="仿宋_GB2312" w:cs="仿宋_GB2312"/>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治理数字化产业链。</w:t>
            </w:r>
            <w:r>
              <w:rPr>
                <w:rFonts w:hint="eastAsia" w:ascii="宋体" w:hAnsi="宋体" w:eastAsia="宋体" w:cs="宋体"/>
                <w:color w:val="auto"/>
                <w:spacing w:val="0"/>
                <w:kern w:val="21"/>
                <w:sz w:val="22"/>
                <w:szCs w:val="22"/>
                <w:highlight w:val="none"/>
                <w:u w:val="none"/>
              </w:rPr>
              <w:t>重点实施数字乡村建设、加油站智慧监管信息化</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延安高新区智慧</w:t>
            </w:r>
            <w:r>
              <w:rPr>
                <w:rFonts w:hint="eastAsia" w:ascii="宋体" w:hAnsi="宋体" w:eastAsia="宋体" w:cs="宋体"/>
                <w:color w:val="auto"/>
                <w:spacing w:val="0"/>
                <w:kern w:val="21"/>
                <w:sz w:val="22"/>
                <w:szCs w:val="22"/>
                <w:highlight w:val="none"/>
                <w:u w:val="none"/>
                <w:lang w:val="en-US" w:eastAsia="zh-CN"/>
              </w:rPr>
              <w:t>新质产业</w:t>
            </w:r>
            <w:r>
              <w:rPr>
                <w:rFonts w:hint="eastAsia" w:ascii="宋体" w:hAnsi="宋体" w:eastAsia="宋体" w:cs="宋体"/>
                <w:color w:val="auto"/>
                <w:spacing w:val="0"/>
                <w:kern w:val="21"/>
                <w:sz w:val="22"/>
                <w:szCs w:val="22"/>
                <w:highlight w:val="none"/>
                <w:u w:val="none"/>
              </w:rPr>
              <w:t>园区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延安市应急指挥中心二期等项目</w:t>
            </w:r>
            <w:r>
              <w:rPr>
                <w:rFonts w:hint="eastAsia" w:ascii="宋体" w:hAnsi="宋体" w:eastAsia="宋体" w:cs="宋体"/>
                <w:color w:val="auto"/>
                <w:spacing w:val="0"/>
                <w:kern w:val="21"/>
                <w:sz w:val="22"/>
                <w:szCs w:val="22"/>
                <w:highlight w:val="none"/>
                <w:u w:val="none"/>
                <w:lang w:eastAsia="zh-CN"/>
              </w:rPr>
              <w:t>。</w:t>
            </w:r>
          </w:p>
        </w:tc>
      </w:tr>
    </w:tbl>
    <w:p w14:paraId="13E5A710">
      <w:pPr>
        <w:keepNext w:val="0"/>
        <w:keepLines w:val="0"/>
        <w:pageBreakBefore w:val="0"/>
        <w:widowControl w:val="0"/>
        <w:kinsoku/>
        <w:wordWrap/>
        <w:overflowPunct w:val="0"/>
        <w:topLinePunct w:val="0"/>
        <w:autoSpaceDE/>
        <w:autoSpaceDN/>
        <w:bidi w:val="0"/>
        <w:adjustRightInd/>
        <w:snapToGrid/>
        <w:spacing w:afterAutospacing="0" w:line="240" w:lineRule="exact"/>
        <w:ind w:left="0" w:firstLine="0" w:firstLineChars="0"/>
        <w:textAlignment w:val="auto"/>
        <w:rPr>
          <w:rFonts w:hint="eastAsia" w:ascii="仿宋_GB2312" w:hAnsi="仿宋_GB2312" w:cs="仿宋_GB2312"/>
          <w:color w:val="auto"/>
          <w:spacing w:val="0"/>
          <w:kern w:val="21"/>
          <w:sz w:val="22"/>
          <w:szCs w:val="22"/>
        </w:rPr>
      </w:pPr>
    </w:p>
    <w:tbl>
      <w:tblPr>
        <w:tblStyle w:val="16"/>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1"/>
      </w:tblGrid>
      <w:tr w14:paraId="6B89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571" w:type="dxa"/>
            <w:vAlign w:val="center"/>
          </w:tcPr>
          <w:p w14:paraId="1C475CC8">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10</w:t>
            </w:r>
            <w:r>
              <w:rPr>
                <w:rFonts w:hint="eastAsia" w:ascii="黑体" w:hAnsi="黑体" w:eastAsia="黑体" w:cs="黑体"/>
                <w:b w:val="0"/>
                <w:bCs w:val="0"/>
                <w:color w:val="auto"/>
                <w:spacing w:val="0"/>
                <w:kern w:val="21"/>
                <w:sz w:val="25"/>
                <w:szCs w:val="25"/>
                <w:highlight w:val="none"/>
                <w:u w:val="none"/>
              </w:rPr>
              <w:t xml:space="preserve"> 低空经济重点项目</w:t>
            </w:r>
          </w:p>
        </w:tc>
      </w:tr>
      <w:tr w14:paraId="01DB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8571" w:type="dxa"/>
            <w:vAlign w:val="center"/>
          </w:tcPr>
          <w:p w14:paraId="0335F25E">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低空装备制造。</w:t>
            </w:r>
            <w:r>
              <w:rPr>
                <w:rFonts w:hint="eastAsia" w:ascii="宋体" w:hAnsi="宋体" w:eastAsia="宋体" w:cs="宋体"/>
                <w:color w:val="auto"/>
                <w:spacing w:val="0"/>
                <w:kern w:val="21"/>
                <w:sz w:val="22"/>
                <w:szCs w:val="22"/>
                <w:highlight w:val="none"/>
                <w:u w:val="none"/>
              </w:rPr>
              <w:t>重点实施安塞区eVTOL飞行器生产制造、</w:t>
            </w:r>
            <w:r>
              <w:rPr>
                <w:rFonts w:hint="eastAsia" w:ascii="宋体" w:hAnsi="宋体" w:eastAsia="宋体" w:cs="宋体"/>
                <w:color w:val="auto"/>
                <w:spacing w:val="0"/>
                <w:kern w:val="21"/>
                <w:sz w:val="22"/>
                <w:szCs w:val="22"/>
                <w:highlight w:val="none"/>
                <w:u w:val="none"/>
                <w:lang w:val="en-US" w:eastAsia="zh-CN"/>
              </w:rPr>
              <w:t>延安高新区标准化民用无人机产业基地</w:t>
            </w:r>
            <w:r>
              <w:rPr>
                <w:rFonts w:hint="eastAsia" w:ascii="宋体" w:hAnsi="宋体" w:eastAsia="宋体" w:cs="宋体"/>
                <w:color w:val="auto"/>
                <w:spacing w:val="0"/>
                <w:kern w:val="21"/>
                <w:sz w:val="22"/>
                <w:szCs w:val="22"/>
                <w:highlight w:val="none"/>
                <w:u w:val="none"/>
              </w:rPr>
              <w:t>等项目。</w:t>
            </w:r>
          </w:p>
          <w:p w14:paraId="38BE86F4">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低空基础设施。</w:t>
            </w:r>
            <w:r>
              <w:rPr>
                <w:rFonts w:hint="eastAsia" w:ascii="宋体" w:hAnsi="宋体" w:eastAsia="宋体" w:cs="宋体"/>
                <w:color w:val="auto"/>
                <w:spacing w:val="0"/>
                <w:kern w:val="21"/>
                <w:sz w:val="22"/>
                <w:szCs w:val="22"/>
                <w:highlight w:val="none"/>
                <w:u w:val="none"/>
                <w:lang w:val="en-US" w:eastAsia="zh-CN"/>
              </w:rPr>
              <w:t>重点推动</w:t>
            </w:r>
            <w:r>
              <w:rPr>
                <w:rFonts w:hint="eastAsia" w:ascii="宋体" w:hAnsi="宋体" w:eastAsia="宋体" w:cs="宋体"/>
                <w:color w:val="auto"/>
                <w:spacing w:val="0"/>
                <w:kern w:val="21"/>
                <w:sz w:val="22"/>
                <w:szCs w:val="22"/>
                <w:highlight w:val="none"/>
                <w:u w:val="none"/>
              </w:rPr>
              <w:t>延安新区低空经济基础设施及场景应用示范基地、</w:t>
            </w:r>
            <w:r>
              <w:rPr>
                <w:rFonts w:hint="eastAsia" w:ascii="宋体" w:hAnsi="宋体" w:eastAsia="宋体" w:cs="宋体"/>
                <w:color w:val="auto"/>
                <w:spacing w:val="0"/>
                <w:kern w:val="21"/>
                <w:sz w:val="22"/>
                <w:szCs w:val="22"/>
                <w:highlight w:val="none"/>
                <w:u w:val="none"/>
                <w:lang w:val="en-US" w:eastAsia="zh-CN"/>
              </w:rPr>
              <w:t>宝塔区低空政务服务基础设施建设、</w:t>
            </w:r>
            <w:r>
              <w:rPr>
                <w:rFonts w:hint="eastAsia" w:ascii="宋体" w:hAnsi="宋体" w:eastAsia="宋体" w:cs="宋体"/>
                <w:color w:val="auto"/>
                <w:spacing w:val="0"/>
                <w:kern w:val="21"/>
                <w:sz w:val="22"/>
                <w:szCs w:val="22"/>
                <w:highlight w:val="none"/>
                <w:u w:val="none"/>
              </w:rPr>
              <w:t>宝塔区低空垂直起降综合保障基地建设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一期</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等项目。</w:t>
            </w:r>
          </w:p>
          <w:p w14:paraId="294A749D">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default" w:ascii="楷体_GB2312" w:hAnsi="楷体_GB2312" w:eastAsia="楷体_GB2312" w:cs="楷体_GB2312"/>
                <w:b w:val="0"/>
                <w:bCs w:val="0"/>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低空应用场景。</w:t>
            </w:r>
            <w:r>
              <w:rPr>
                <w:rFonts w:hint="eastAsia" w:ascii="宋体" w:hAnsi="宋体" w:eastAsia="宋体" w:cs="宋体"/>
                <w:color w:val="auto"/>
                <w:spacing w:val="0"/>
                <w:kern w:val="21"/>
                <w:sz w:val="22"/>
                <w:szCs w:val="22"/>
                <w:highlight w:val="none"/>
                <w:u w:val="none"/>
              </w:rPr>
              <w:t>重点实施果园无人机喷药</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低空农业植保、乾坤湾等景区直升飞机旅游、安塞区无人机培训基地等项目。</w:t>
            </w:r>
          </w:p>
        </w:tc>
      </w:tr>
    </w:tbl>
    <w:p w14:paraId="67524DB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firstLineChars="0"/>
        <w:textAlignment w:val="auto"/>
        <w:rPr>
          <w:rFonts w:hint="eastAsia"/>
          <w:color w:val="auto"/>
          <w:spacing w:val="0"/>
          <w:kern w:val="21"/>
          <w:sz w:val="32"/>
          <w:szCs w:val="32"/>
          <w:lang w:val="en-US" w:eastAsia="zh-CN"/>
        </w:rPr>
      </w:pPr>
      <w:bookmarkStart w:id="34" w:name="_Toc13426"/>
      <w:bookmarkStart w:id="35" w:name="_Toc11307"/>
    </w:p>
    <w:p w14:paraId="02E84293">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firstLineChars="0"/>
        <w:textAlignment w:val="auto"/>
        <w:rPr>
          <w:rFonts w:hint="eastAsia"/>
          <w:color w:val="auto"/>
          <w:spacing w:val="0"/>
          <w:kern w:val="21"/>
          <w:sz w:val="32"/>
          <w:szCs w:val="32"/>
        </w:rPr>
      </w:pPr>
      <w:r>
        <w:rPr>
          <w:rFonts w:hint="eastAsia"/>
          <w:color w:val="auto"/>
          <w:spacing w:val="0"/>
          <w:kern w:val="21"/>
          <w:sz w:val="32"/>
          <w:szCs w:val="32"/>
          <w:lang w:val="en-US" w:eastAsia="zh-CN"/>
        </w:rPr>
        <w:t xml:space="preserve">第十章  </w:t>
      </w:r>
      <w:r>
        <w:rPr>
          <w:rFonts w:hint="eastAsia"/>
          <w:color w:val="auto"/>
          <w:spacing w:val="0"/>
          <w:kern w:val="21"/>
          <w:sz w:val="32"/>
          <w:szCs w:val="32"/>
        </w:rPr>
        <w:t>持续发力新质产业园区建设</w:t>
      </w:r>
      <w:bookmarkEnd w:id="34"/>
      <w:bookmarkEnd w:id="35"/>
    </w:p>
    <w:p w14:paraId="18CE6AD5">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楷体_GB2312" w:hAnsi="楷体_GB2312" w:eastAsia="楷体_GB2312" w:cs="楷体_GB2312"/>
          <w:b w:val="0"/>
          <w:bCs w:val="0"/>
          <w:color w:val="auto"/>
          <w:spacing w:val="0"/>
          <w:kern w:val="21"/>
          <w:sz w:val="32"/>
          <w:szCs w:val="32"/>
          <w:lang w:val="en-US" w:eastAsia="zh-CN"/>
        </w:rPr>
      </w:pPr>
    </w:p>
    <w:p w14:paraId="5B66DF1D">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推动产业园区高质量发展。</w:t>
      </w:r>
      <w:r>
        <w:rPr>
          <w:rFonts w:hint="eastAsia" w:ascii="仿宋_GB2312" w:hAnsi="仿宋_GB2312" w:eastAsia="仿宋_GB2312" w:cs="仿宋_GB2312"/>
          <w:b w:val="0"/>
          <w:bCs/>
          <w:color w:val="auto"/>
          <w:spacing w:val="0"/>
          <w:kern w:val="21"/>
          <w:sz w:val="32"/>
          <w:szCs w:val="32"/>
        </w:rPr>
        <w:t>按照项目集中布局、产业集群发展、资源集约利用、功能集合构建、政策集成支持，打造产业升级示范区、科技创新先行区、改革开放引领区、绿色发展先导区、吸纳就业核心区“五集五区”新质工业园区建设要求，调整优化开发区（工业园区）定位和布局，加快打造制造业链群式发展的新型空间载体</w:t>
      </w:r>
      <w:r>
        <w:rPr>
          <w:rFonts w:hint="eastAsia" w:ascii="仿宋_GB2312" w:hAnsi="仿宋_GB2312" w:cs="仿宋_GB2312"/>
          <w:b w:val="0"/>
          <w:bCs/>
          <w:color w:val="auto"/>
          <w:spacing w:val="0"/>
          <w:kern w:val="21"/>
          <w:sz w:val="32"/>
          <w:szCs w:val="32"/>
          <w:lang w:val="en-US" w:eastAsia="zh-CN"/>
        </w:rPr>
        <w:t>。谋划打造一批精细化工新材料、能源装备制造、新型装备制造等专业性示范园区，沿洛川富县规划建设新质产业园区，为产业集聚和转型升级奠定基础，积极承接无锡精细化工产业转移。</w:t>
      </w:r>
      <w:r>
        <w:rPr>
          <w:rFonts w:hint="eastAsia" w:ascii="仿宋_GB2312" w:hAnsi="仿宋_GB2312" w:eastAsia="仿宋_GB2312" w:cs="仿宋_GB2312"/>
          <w:b w:val="0"/>
          <w:bCs/>
          <w:color w:val="auto"/>
          <w:spacing w:val="0"/>
          <w:kern w:val="21"/>
          <w:sz w:val="32"/>
          <w:szCs w:val="32"/>
        </w:rPr>
        <w:t>提升服务业集聚区、农业产业园区集聚功能和承载能力</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打造一批省级服务业集聚区，</w:t>
      </w:r>
      <w:r>
        <w:rPr>
          <w:rFonts w:hint="eastAsia" w:ascii="仿宋_GB2312" w:hAnsi="仿宋_GB2312" w:cs="仿宋_GB2312"/>
          <w:b w:val="0"/>
          <w:bCs/>
          <w:color w:val="auto"/>
          <w:spacing w:val="0"/>
          <w:kern w:val="21"/>
          <w:sz w:val="32"/>
          <w:szCs w:val="32"/>
          <w:lang w:eastAsia="zh-CN"/>
        </w:rPr>
        <w:t>推进现代农业产业园提档升级，深化“一县一园”布局，新创建一批产值超十亿、五十亿级的集聚园区。</w:t>
      </w:r>
      <w:r>
        <w:rPr>
          <w:rFonts w:hint="eastAsia" w:ascii="仿宋_GB2312" w:hAnsi="仿宋_GB2312" w:eastAsia="仿宋_GB2312" w:cs="仿宋_GB2312"/>
          <w:b w:val="0"/>
          <w:bCs/>
          <w:color w:val="auto"/>
          <w:spacing w:val="0"/>
          <w:kern w:val="21"/>
          <w:sz w:val="32"/>
          <w:szCs w:val="32"/>
        </w:rPr>
        <w:t>推动延安高新区</w:t>
      </w:r>
      <w:r>
        <w:rPr>
          <w:rFonts w:hint="eastAsia" w:ascii="仿宋_GB2312" w:hAnsi="仿宋_GB2312" w:cs="仿宋_GB2312"/>
          <w:b w:val="0"/>
          <w:bCs/>
          <w:color w:val="auto"/>
          <w:spacing w:val="0"/>
          <w:kern w:val="21"/>
          <w:sz w:val="32"/>
          <w:szCs w:val="32"/>
          <w:lang w:val="en-US" w:eastAsia="zh-CN"/>
        </w:rPr>
        <w:t>晋级</w:t>
      </w:r>
      <w:r>
        <w:rPr>
          <w:rFonts w:hint="eastAsia" w:ascii="仿宋_GB2312" w:hAnsi="仿宋_GB2312" w:eastAsia="仿宋_GB2312" w:cs="仿宋_GB2312"/>
          <w:b w:val="0"/>
          <w:bCs/>
          <w:color w:val="auto"/>
          <w:spacing w:val="0"/>
          <w:kern w:val="21"/>
          <w:sz w:val="32"/>
          <w:szCs w:val="32"/>
        </w:rPr>
        <w:t>国家级高新区，力争创建更多省级高新区、</w:t>
      </w:r>
      <w:r>
        <w:rPr>
          <w:rFonts w:hint="eastAsia" w:ascii="仿宋_GB2312" w:hAnsi="仿宋_GB2312" w:cs="仿宋_GB2312"/>
          <w:b w:val="0"/>
          <w:bCs/>
          <w:color w:val="auto"/>
          <w:spacing w:val="0"/>
          <w:kern w:val="21"/>
          <w:sz w:val="32"/>
          <w:szCs w:val="32"/>
          <w:lang w:val="en-US" w:eastAsia="zh-CN"/>
        </w:rPr>
        <w:t>经开</w:t>
      </w:r>
      <w:r>
        <w:rPr>
          <w:rFonts w:hint="eastAsia" w:ascii="仿宋_GB2312" w:hAnsi="仿宋_GB2312" w:eastAsia="仿宋_GB2312" w:cs="仿宋_GB2312"/>
          <w:b w:val="0"/>
          <w:bCs/>
          <w:color w:val="auto"/>
          <w:spacing w:val="0"/>
          <w:kern w:val="21"/>
          <w:sz w:val="32"/>
          <w:szCs w:val="32"/>
        </w:rPr>
        <w:t>区</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支持</w:t>
      </w:r>
      <w:r>
        <w:rPr>
          <w:rFonts w:hint="eastAsia" w:ascii="仿宋_GB2312" w:hAnsi="仿宋_GB2312" w:eastAsia="仿宋_GB2312" w:cs="仿宋_GB2312"/>
          <w:b w:val="0"/>
          <w:bCs/>
          <w:color w:val="auto"/>
          <w:spacing w:val="0"/>
          <w:kern w:val="21"/>
          <w:sz w:val="32"/>
          <w:szCs w:val="32"/>
        </w:rPr>
        <w:t>新区</w:t>
      </w:r>
      <w:r>
        <w:rPr>
          <w:rFonts w:hint="eastAsia" w:ascii="仿宋_GB2312" w:hAnsi="仿宋_GB2312" w:cs="仿宋_GB2312"/>
          <w:b w:val="0"/>
          <w:bCs/>
          <w:color w:val="auto"/>
          <w:spacing w:val="0"/>
          <w:kern w:val="21"/>
          <w:sz w:val="32"/>
          <w:szCs w:val="32"/>
          <w:lang w:val="en-US" w:eastAsia="zh-CN"/>
        </w:rPr>
        <w:t>建设</w:t>
      </w:r>
      <w:r>
        <w:rPr>
          <w:rFonts w:hint="eastAsia" w:ascii="仿宋_GB2312" w:hAnsi="仿宋_GB2312" w:eastAsia="仿宋_GB2312" w:cs="仿宋_GB2312"/>
          <w:b w:val="0"/>
          <w:bCs/>
          <w:color w:val="auto"/>
          <w:spacing w:val="0"/>
          <w:kern w:val="21"/>
          <w:sz w:val="32"/>
          <w:szCs w:val="32"/>
        </w:rPr>
        <w:t>新经济产业园</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明确现有开发区（工业园区）功能定位和产业发展重点，</w:t>
      </w:r>
      <w:r>
        <w:rPr>
          <w:rFonts w:hint="eastAsia" w:ascii="仿宋_GB2312" w:hAnsi="仿宋_GB2312"/>
          <w:color w:val="auto"/>
          <w:spacing w:val="0"/>
          <w:kern w:val="21"/>
          <w:sz w:val="32"/>
          <w:szCs w:val="32"/>
        </w:rPr>
        <w:t>发挥优势、错位发展，做大做强主导产业、特色产业</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提升</w:t>
      </w:r>
      <w:r>
        <w:rPr>
          <w:rFonts w:hint="eastAsia" w:ascii="仿宋_GB2312" w:hAnsi="仿宋_GB2312"/>
          <w:color w:val="auto"/>
          <w:spacing w:val="0"/>
          <w:kern w:val="21"/>
          <w:sz w:val="32"/>
          <w:szCs w:val="32"/>
          <w:lang w:val="en-US" w:eastAsia="zh-CN"/>
        </w:rPr>
        <w:t>产业园区</w:t>
      </w:r>
      <w:r>
        <w:rPr>
          <w:rFonts w:hint="eastAsia" w:ascii="仿宋_GB2312" w:hAnsi="仿宋_GB2312"/>
          <w:color w:val="auto"/>
          <w:spacing w:val="0"/>
          <w:kern w:val="21"/>
          <w:sz w:val="32"/>
          <w:szCs w:val="32"/>
        </w:rPr>
        <w:t>产城融合水平</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实现以产促城、以城兴产</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“十五五”期间，</w:t>
      </w:r>
      <w:r>
        <w:rPr>
          <w:rFonts w:hint="eastAsia" w:ascii="仿宋_GB2312" w:hAnsi="仿宋_GB2312"/>
          <w:color w:val="auto"/>
          <w:spacing w:val="0"/>
          <w:kern w:val="21"/>
          <w:sz w:val="32"/>
          <w:szCs w:val="32"/>
          <w:lang w:val="en-US" w:eastAsia="zh-CN"/>
        </w:rPr>
        <w:t>开发区（</w:t>
      </w:r>
      <w:r>
        <w:rPr>
          <w:rFonts w:hint="eastAsia" w:ascii="仿宋_GB2312" w:hAnsi="仿宋_GB2312"/>
          <w:color w:val="auto"/>
          <w:spacing w:val="0"/>
          <w:kern w:val="21"/>
          <w:sz w:val="32"/>
          <w:szCs w:val="32"/>
        </w:rPr>
        <w:t>工业园区</w:t>
      </w:r>
      <w:r>
        <w:rPr>
          <w:rFonts w:hint="eastAsia" w:ascii="仿宋_GB2312" w:hAnsi="仿宋_GB2312"/>
          <w:color w:val="auto"/>
          <w:spacing w:val="0"/>
          <w:kern w:val="21"/>
          <w:sz w:val="32"/>
          <w:szCs w:val="32"/>
          <w:lang w:val="en-US" w:eastAsia="zh-CN"/>
        </w:rPr>
        <w:t>）</w:t>
      </w:r>
      <w:r>
        <w:rPr>
          <w:rFonts w:hint="eastAsia" w:ascii="仿宋_GB2312" w:hAnsi="仿宋_GB2312"/>
          <w:color w:val="auto"/>
          <w:spacing w:val="0"/>
          <w:kern w:val="21"/>
          <w:sz w:val="32"/>
          <w:szCs w:val="32"/>
        </w:rPr>
        <w:t>产值年均增长</w:t>
      </w:r>
      <w:r>
        <w:rPr>
          <w:rFonts w:hint="eastAsia" w:ascii="仿宋_GB2312" w:hAnsi="仿宋_GB2312"/>
          <w:color w:val="auto"/>
          <w:spacing w:val="0"/>
          <w:kern w:val="21"/>
          <w:sz w:val="32"/>
          <w:szCs w:val="32"/>
          <w:lang w:val="en-US" w:eastAsia="zh-CN"/>
        </w:rPr>
        <w:t>6</w:t>
      </w:r>
      <w:r>
        <w:rPr>
          <w:rFonts w:hint="eastAsia" w:ascii="仿宋_GB2312" w:hAnsi="仿宋_GB2312"/>
          <w:color w:val="auto"/>
          <w:spacing w:val="0"/>
          <w:kern w:val="21"/>
          <w:sz w:val="32"/>
          <w:szCs w:val="32"/>
        </w:rPr>
        <w:t>%以上。</w:t>
      </w:r>
    </w:p>
    <w:p w14:paraId="0431CB08">
      <w:pPr>
        <w:pStyle w:val="19"/>
        <w:keepNext w:val="0"/>
        <w:keepLines w:val="0"/>
        <w:pageBreakBefore w:val="0"/>
        <w:widowControl w:val="0"/>
        <w:kinsoku/>
        <w:wordWrap/>
        <w:overflowPunct w:val="0"/>
        <w:topLinePunct w:val="0"/>
        <w:autoSpaceDE/>
        <w:autoSpaceDN/>
        <w:bidi w:val="0"/>
        <w:adjustRightInd/>
        <w:snapToGrid/>
        <w:spacing w:afterAutospacing="0" w:line="570" w:lineRule="exact"/>
        <w:ind w:left="0" w:firstLine="643"/>
        <w:textAlignment w:val="auto"/>
        <w:rPr>
          <w:rFonts w:hint="eastAsia" w:ascii="仿宋_GB2312" w:hAnsi="仿宋_GB2312" w:eastAsia="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深化</w:t>
      </w:r>
      <w:r>
        <w:rPr>
          <w:rFonts w:hint="eastAsia" w:ascii="楷体_GB2312" w:hAnsi="楷体_GB2312" w:eastAsia="楷体_GB2312" w:cs="楷体_GB2312"/>
          <w:b w:val="0"/>
          <w:bCs w:val="0"/>
          <w:color w:val="auto"/>
          <w:spacing w:val="0"/>
          <w:kern w:val="21"/>
          <w:sz w:val="32"/>
          <w:szCs w:val="32"/>
        </w:rPr>
        <w:t>开发区（工业园区）管理</w:t>
      </w:r>
      <w:r>
        <w:rPr>
          <w:rFonts w:hint="eastAsia" w:ascii="楷体_GB2312" w:hAnsi="楷体_GB2312" w:eastAsia="楷体_GB2312" w:cs="楷体_GB2312"/>
          <w:b w:val="0"/>
          <w:bCs w:val="0"/>
          <w:color w:val="auto"/>
          <w:spacing w:val="0"/>
          <w:kern w:val="21"/>
          <w:sz w:val="32"/>
          <w:szCs w:val="32"/>
          <w:lang w:val="en-US" w:eastAsia="zh-CN"/>
        </w:rPr>
        <w:t>体制</w:t>
      </w:r>
      <w:r>
        <w:rPr>
          <w:rFonts w:hint="eastAsia" w:ascii="楷体_GB2312" w:hAnsi="楷体_GB2312" w:eastAsia="楷体_GB2312" w:cs="楷体_GB2312"/>
          <w:b w:val="0"/>
          <w:bCs w:val="0"/>
          <w:color w:val="auto"/>
          <w:spacing w:val="0"/>
          <w:kern w:val="21"/>
          <w:sz w:val="32"/>
          <w:szCs w:val="32"/>
        </w:rPr>
        <w:t>改革</w:t>
      </w:r>
      <w:r>
        <w:rPr>
          <w:rFonts w:hint="eastAsia" w:ascii="楷体_GB2312" w:hAnsi="楷体_GB2312" w:eastAsia="楷体_GB2312" w:cs="楷体_GB2312"/>
          <w:b w:val="0"/>
          <w:bCs w:val="0"/>
          <w:color w:val="auto"/>
          <w:spacing w:val="0"/>
          <w:kern w:val="21"/>
          <w:sz w:val="32"/>
          <w:szCs w:val="32"/>
          <w:lang w:eastAsia="zh-CN"/>
        </w:rPr>
        <w:t>。</w:t>
      </w:r>
      <w:r>
        <w:rPr>
          <w:rFonts w:hint="eastAsia" w:ascii="仿宋_GB2312" w:hAnsi="仿宋_GB2312" w:eastAsia="仿宋_GB2312"/>
          <w:color w:val="auto"/>
          <w:spacing w:val="0"/>
          <w:kern w:val="21"/>
          <w:sz w:val="32"/>
          <w:szCs w:val="32"/>
        </w:rPr>
        <w:t>完善开发区（工业园区）发展规划体系，按照“一县一区、一区多园”的原则，推动开发区整合提升，鼓励发展较好、符合条件的开发区（工业园区）创建省级、国家级开发区。</w:t>
      </w:r>
      <w:r>
        <w:rPr>
          <w:rFonts w:hint="eastAsia" w:ascii="仿宋_GB2312" w:hAnsi="仿宋_GB2312" w:eastAsia="仿宋_GB2312" w:cs="仿宋_GB2312"/>
          <w:b w:val="0"/>
          <w:bCs/>
          <w:color w:val="auto"/>
          <w:spacing w:val="0"/>
          <w:kern w:val="21"/>
          <w:sz w:val="32"/>
          <w:szCs w:val="32"/>
        </w:rPr>
        <w:t>推广“管委会+公司”运营模式</w:t>
      </w:r>
      <w:r>
        <w:rPr>
          <w:rFonts w:hint="eastAsia" w:ascii="仿宋_GB2312" w:hAnsi="仿宋_GB2312" w:eastAsia="仿宋_GB2312"/>
          <w:color w:val="auto"/>
          <w:spacing w:val="0"/>
          <w:kern w:val="21"/>
          <w:sz w:val="32"/>
          <w:szCs w:val="32"/>
        </w:rPr>
        <w:t>，支持引进专业化运营商，开展政企合作，提升开发区</w:t>
      </w:r>
      <w:r>
        <w:rPr>
          <w:rFonts w:hint="eastAsia" w:ascii="仿宋_GB2312" w:hAnsi="仿宋_GB2312" w:eastAsia="仿宋_GB2312" w:cs="仿宋_GB2312"/>
          <w:b w:val="0"/>
          <w:bCs/>
          <w:color w:val="auto"/>
          <w:spacing w:val="0"/>
          <w:kern w:val="21"/>
          <w:sz w:val="32"/>
          <w:szCs w:val="32"/>
        </w:rPr>
        <w:t>（工业园区）</w:t>
      </w:r>
      <w:r>
        <w:rPr>
          <w:rFonts w:hint="eastAsia" w:ascii="仿宋_GB2312" w:hAnsi="仿宋_GB2312" w:eastAsia="仿宋_GB2312"/>
          <w:color w:val="auto"/>
          <w:spacing w:val="0"/>
          <w:kern w:val="21"/>
          <w:sz w:val="32"/>
          <w:szCs w:val="32"/>
        </w:rPr>
        <w:t>专业化、市场化管理水平。</w:t>
      </w:r>
      <w:r>
        <w:rPr>
          <w:rFonts w:hint="eastAsia" w:ascii="仿宋_GB2312" w:hAnsi="仿宋_GB2312" w:eastAsia="仿宋_GB2312" w:cs="仿宋_GB2312"/>
          <w:b w:val="0"/>
          <w:bCs/>
          <w:color w:val="auto"/>
          <w:spacing w:val="0"/>
          <w:kern w:val="21"/>
          <w:sz w:val="32"/>
          <w:szCs w:val="32"/>
        </w:rPr>
        <w:t>建立开发区（工业园区）产业转移利益共享机制，</w:t>
      </w:r>
      <w:r>
        <w:rPr>
          <w:rFonts w:hint="eastAsia" w:ascii="仿宋_GB2312" w:hAnsi="仿宋_GB2312" w:eastAsia="仿宋_GB2312"/>
          <w:color w:val="auto"/>
          <w:spacing w:val="0"/>
          <w:kern w:val="21"/>
          <w:sz w:val="32"/>
          <w:szCs w:val="32"/>
        </w:rPr>
        <w:t>持续深化开发区（工业园区）审批制度改革，依法合规建立授权行政审批事项清单，建立园区管委会和企业评议政府职能部门机制，优化服务提高审批效率。改革开发区（工业园区）用人机制，推进园区领导干部全市流通、交叉任职。</w:t>
      </w:r>
      <w:r>
        <w:rPr>
          <w:rFonts w:hint="eastAsia" w:ascii="仿宋_GB2312" w:hAnsi="仿宋_GB2312" w:eastAsia="仿宋_GB2312"/>
          <w:color w:val="auto"/>
          <w:spacing w:val="0"/>
          <w:kern w:val="21"/>
          <w:sz w:val="32"/>
          <w:szCs w:val="32"/>
          <w:lang w:val="en-US" w:eastAsia="zh-CN"/>
        </w:rPr>
        <w:t>推广共建协作、飞地经济等模式，</w:t>
      </w:r>
      <w:r>
        <w:rPr>
          <w:rFonts w:hint="eastAsia" w:ascii="仿宋_GB2312" w:hAnsi="仿宋_GB2312" w:eastAsia="仿宋_GB2312"/>
          <w:color w:val="auto"/>
          <w:spacing w:val="0"/>
          <w:kern w:val="21"/>
          <w:sz w:val="32"/>
          <w:szCs w:val="32"/>
        </w:rPr>
        <w:t>建立园区交流合作机制，推动园区间、企业间交流互动、资源广泛链接和高效共享。建立支持开发区（工业园区）高质量发展接续政策，持续开展星级园区复核认定。实行要素优先保障制度，统筹全市土地、能耗、环保、资金要素集中保障、优先支持开发区（工业园区）重大产业项目。</w:t>
      </w:r>
    </w:p>
    <w:p w14:paraId="149BB8F9">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olor w:val="auto"/>
          <w:spacing w:val="0"/>
          <w:kern w:val="21"/>
          <w:sz w:val="30"/>
          <w:szCs w:val="30"/>
          <w:highlight w:val="none"/>
          <w:lang w:val="en-US" w:eastAsia="zh-CN"/>
        </w:rPr>
      </w:pPr>
      <w:r>
        <w:rPr>
          <w:rFonts w:hint="eastAsia" w:ascii="仿宋_GB2312" w:hAnsi="仿宋_GB2312"/>
          <w:color w:val="auto"/>
          <w:spacing w:val="0"/>
          <w:kern w:val="21"/>
          <w:sz w:val="30"/>
          <w:szCs w:val="30"/>
          <w:highlight w:val="none"/>
          <w:lang w:val="en-US" w:eastAsia="zh-CN"/>
        </w:rPr>
        <w:br w:type="page"/>
      </w:r>
    </w:p>
    <w:p w14:paraId="1F8B9CEA">
      <w:pPr>
        <w:pStyle w:val="10"/>
        <w:keepNext w:val="0"/>
        <w:keepLines w:val="0"/>
        <w:pageBreakBefore w:val="0"/>
        <w:widowControl w:val="0"/>
        <w:kinsoku/>
        <w:wordWrap/>
        <w:overflowPunct w:val="0"/>
        <w:topLinePunct w:val="0"/>
        <w:autoSpaceDE/>
        <w:autoSpaceDN/>
        <w:bidi w:val="0"/>
        <w:spacing w:afterAutospacing="0" w:line="580" w:lineRule="exact"/>
        <w:ind w:left="0"/>
        <w:textAlignment w:val="auto"/>
        <w:rPr>
          <w:rFonts w:hint="eastAsia" w:ascii="仿宋_GB2312" w:hAnsi="仿宋_GB2312" w:cs="黑体"/>
          <w:color w:val="auto"/>
          <w:spacing w:val="0"/>
          <w:kern w:val="21"/>
          <w:sz w:val="30"/>
          <w:szCs w:val="30"/>
          <w:highlight w:val="none"/>
          <w:lang w:val="en-US" w:eastAsia="zh-CN"/>
        </w:rPr>
      </w:pPr>
      <w:r>
        <w:rPr>
          <w:rFonts w:hint="eastAsia" w:ascii="仿宋_GB2312" w:hAnsi="仿宋_GB2312"/>
          <w:color w:val="auto"/>
          <w:spacing w:val="0"/>
          <w:kern w:val="21"/>
          <w:sz w:val="30"/>
          <w:szCs w:val="30"/>
          <w:highlight w:val="none"/>
          <w:lang w:val="en-US" w:eastAsia="zh-CN"/>
        </w:rPr>
        <w:t xml:space="preserve">表2 </w:t>
      </w:r>
      <w:r>
        <w:rPr>
          <w:rFonts w:hint="eastAsia" w:ascii="仿宋_GB2312" w:hAnsi="仿宋_GB2312" w:eastAsia="黑体" w:cs="黑体"/>
          <w:color w:val="auto"/>
          <w:spacing w:val="0"/>
          <w:kern w:val="21"/>
          <w:sz w:val="30"/>
          <w:szCs w:val="30"/>
          <w:highlight w:val="none"/>
          <w:lang w:val="en-US" w:eastAsia="zh-CN"/>
        </w:rPr>
        <w:t>延安市开发区（工业园区）产业发展</w:t>
      </w:r>
      <w:r>
        <w:rPr>
          <w:rFonts w:hint="eastAsia" w:ascii="仿宋_GB2312" w:hAnsi="仿宋_GB2312" w:cs="黑体"/>
          <w:color w:val="auto"/>
          <w:spacing w:val="0"/>
          <w:kern w:val="21"/>
          <w:sz w:val="30"/>
          <w:szCs w:val="30"/>
          <w:highlight w:val="none"/>
          <w:lang w:val="en-US" w:eastAsia="zh-CN"/>
        </w:rPr>
        <w:t>重点</w:t>
      </w:r>
    </w:p>
    <w:tbl>
      <w:tblPr>
        <w:tblStyle w:val="17"/>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622"/>
        <w:gridCol w:w="2175"/>
        <w:gridCol w:w="2249"/>
      </w:tblGrid>
      <w:tr w14:paraId="59D0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dxa"/>
            <w:vAlign w:val="center"/>
          </w:tcPr>
          <w:p w14:paraId="0C44BA75">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eastAsia="黑体" w:cs="Times New Roman"/>
                <w:color w:val="auto"/>
                <w:spacing w:val="0"/>
                <w:kern w:val="21"/>
                <w:sz w:val="24"/>
                <w:szCs w:val="24"/>
              </w:rPr>
              <w:t>序号</w:t>
            </w:r>
          </w:p>
        </w:tc>
        <w:tc>
          <w:tcPr>
            <w:tcW w:w="3622" w:type="dxa"/>
            <w:vAlign w:val="center"/>
          </w:tcPr>
          <w:p w14:paraId="7990ACE4">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eastAsia="黑体" w:cs="Times New Roman"/>
                <w:color w:val="auto"/>
                <w:spacing w:val="0"/>
                <w:kern w:val="21"/>
                <w:sz w:val="24"/>
                <w:szCs w:val="24"/>
              </w:rPr>
              <w:t>园区名称</w:t>
            </w:r>
          </w:p>
        </w:tc>
        <w:tc>
          <w:tcPr>
            <w:tcW w:w="2175" w:type="dxa"/>
            <w:vAlign w:val="center"/>
          </w:tcPr>
          <w:p w14:paraId="02D3B9AD">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eastAsia="黑体" w:cs="Times New Roman"/>
                <w:color w:val="auto"/>
                <w:spacing w:val="0"/>
                <w:kern w:val="21"/>
                <w:sz w:val="24"/>
                <w:szCs w:val="24"/>
              </w:rPr>
              <w:t>主导产业</w:t>
            </w:r>
          </w:p>
        </w:tc>
        <w:tc>
          <w:tcPr>
            <w:tcW w:w="2249" w:type="dxa"/>
            <w:vAlign w:val="center"/>
          </w:tcPr>
          <w:p w14:paraId="6F265D14">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eastAsia="黑体" w:cs="Times New Roman"/>
                <w:color w:val="auto"/>
                <w:spacing w:val="0"/>
                <w:kern w:val="21"/>
                <w:sz w:val="24"/>
                <w:szCs w:val="24"/>
              </w:rPr>
              <w:t>特色产业</w:t>
            </w:r>
          </w:p>
        </w:tc>
      </w:tr>
      <w:tr w14:paraId="0D5A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A3693E1">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lang w:val="en-US" w:eastAsia="zh-CN"/>
              </w:rPr>
              <w:t>1</w:t>
            </w:r>
          </w:p>
        </w:tc>
        <w:tc>
          <w:tcPr>
            <w:tcW w:w="3622" w:type="dxa"/>
            <w:vAlign w:val="center"/>
          </w:tcPr>
          <w:p w14:paraId="252BEFDD">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延安高新技术产业开发区</w:t>
            </w:r>
          </w:p>
        </w:tc>
        <w:tc>
          <w:tcPr>
            <w:tcW w:w="2175" w:type="dxa"/>
            <w:vAlign w:val="center"/>
          </w:tcPr>
          <w:p w14:paraId="5F53F12A">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能源科技</w:t>
            </w:r>
          </w:p>
        </w:tc>
        <w:tc>
          <w:tcPr>
            <w:tcW w:w="2249" w:type="dxa"/>
            <w:vAlign w:val="center"/>
          </w:tcPr>
          <w:p w14:paraId="2C564854">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应急与</w:t>
            </w:r>
            <w:r>
              <w:rPr>
                <w:rFonts w:hint="default" w:ascii="Times New Roman" w:hAnsi="Times New Roman" w:cs="Times New Roman"/>
                <w:color w:val="auto"/>
                <w:spacing w:val="0"/>
                <w:kern w:val="21"/>
                <w:sz w:val="24"/>
                <w:szCs w:val="24"/>
              </w:rPr>
              <w:t>物流</w:t>
            </w:r>
          </w:p>
        </w:tc>
      </w:tr>
      <w:tr w14:paraId="6E47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2BD3BD3B">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2</w:t>
            </w:r>
          </w:p>
        </w:tc>
        <w:tc>
          <w:tcPr>
            <w:tcW w:w="3622" w:type="dxa"/>
            <w:vAlign w:val="center"/>
          </w:tcPr>
          <w:p w14:paraId="0EECDCDC">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安塞高新技术产业开发区</w:t>
            </w:r>
          </w:p>
        </w:tc>
        <w:tc>
          <w:tcPr>
            <w:tcW w:w="2175" w:type="dxa"/>
            <w:vAlign w:val="center"/>
          </w:tcPr>
          <w:p w14:paraId="2873C4C0">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能源装备制造</w:t>
            </w:r>
          </w:p>
        </w:tc>
        <w:tc>
          <w:tcPr>
            <w:tcW w:w="2249" w:type="dxa"/>
            <w:vAlign w:val="center"/>
          </w:tcPr>
          <w:p w14:paraId="227E259B">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特色食药</w:t>
            </w:r>
          </w:p>
        </w:tc>
      </w:tr>
      <w:tr w14:paraId="466D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3DCD6231">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3</w:t>
            </w:r>
          </w:p>
        </w:tc>
        <w:tc>
          <w:tcPr>
            <w:tcW w:w="3622" w:type="dxa"/>
            <w:vAlign w:val="center"/>
          </w:tcPr>
          <w:p w14:paraId="0EBA659B">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黄陵高新技术产业开发区</w:t>
            </w:r>
          </w:p>
        </w:tc>
        <w:tc>
          <w:tcPr>
            <w:tcW w:w="2175" w:type="dxa"/>
            <w:vAlign w:val="center"/>
          </w:tcPr>
          <w:p w14:paraId="6A9632B8">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能源电力及新材料</w:t>
            </w:r>
          </w:p>
        </w:tc>
        <w:tc>
          <w:tcPr>
            <w:tcW w:w="2249" w:type="dxa"/>
            <w:vAlign w:val="center"/>
          </w:tcPr>
          <w:p w14:paraId="0858D77F">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特色食药</w:t>
            </w:r>
          </w:p>
        </w:tc>
      </w:tr>
      <w:tr w14:paraId="4F51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1580538E">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4</w:t>
            </w:r>
          </w:p>
        </w:tc>
        <w:tc>
          <w:tcPr>
            <w:tcW w:w="3622" w:type="dxa"/>
            <w:vAlign w:val="center"/>
          </w:tcPr>
          <w:p w14:paraId="023D00A5">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宝塔区综合产业园区</w:t>
            </w:r>
          </w:p>
        </w:tc>
        <w:tc>
          <w:tcPr>
            <w:tcW w:w="2175" w:type="dxa"/>
            <w:vAlign w:val="center"/>
          </w:tcPr>
          <w:p w14:paraId="10D11772">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能源化工</w:t>
            </w:r>
          </w:p>
        </w:tc>
        <w:tc>
          <w:tcPr>
            <w:tcW w:w="2249" w:type="dxa"/>
            <w:vAlign w:val="center"/>
          </w:tcPr>
          <w:p w14:paraId="4ACA0734">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新材料</w:t>
            </w:r>
          </w:p>
        </w:tc>
      </w:tr>
      <w:tr w14:paraId="2A69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4CEC89B3">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5</w:t>
            </w:r>
          </w:p>
        </w:tc>
        <w:tc>
          <w:tcPr>
            <w:tcW w:w="3622" w:type="dxa"/>
            <w:vAlign w:val="center"/>
          </w:tcPr>
          <w:p w14:paraId="156EF11D">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吴起县工业园区</w:t>
            </w:r>
          </w:p>
        </w:tc>
        <w:tc>
          <w:tcPr>
            <w:tcW w:w="2175" w:type="dxa"/>
            <w:vAlign w:val="center"/>
          </w:tcPr>
          <w:p w14:paraId="4582D0F1">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天然气综合利用与油服产业</w:t>
            </w:r>
          </w:p>
        </w:tc>
        <w:tc>
          <w:tcPr>
            <w:tcW w:w="2249" w:type="dxa"/>
            <w:vAlign w:val="center"/>
          </w:tcPr>
          <w:p w14:paraId="4A062CFB">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rPr>
              <w:t>农</w:t>
            </w:r>
            <w:r>
              <w:rPr>
                <w:rFonts w:hint="eastAsia" w:ascii="Times New Roman" w:hAnsi="Times New Roman" w:cs="Times New Roman"/>
                <w:color w:val="auto"/>
                <w:spacing w:val="0"/>
                <w:kern w:val="21"/>
                <w:sz w:val="24"/>
                <w:szCs w:val="24"/>
              </w:rPr>
              <w:t>特</w:t>
            </w:r>
            <w:r>
              <w:rPr>
                <w:rFonts w:hint="default" w:ascii="Times New Roman" w:hAnsi="Times New Roman" w:cs="Times New Roman"/>
                <w:color w:val="auto"/>
                <w:spacing w:val="0"/>
                <w:kern w:val="21"/>
                <w:sz w:val="24"/>
                <w:szCs w:val="24"/>
              </w:rPr>
              <w:t>产品精深加工</w:t>
            </w:r>
          </w:p>
        </w:tc>
      </w:tr>
      <w:tr w14:paraId="518F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54D85EFA">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6</w:t>
            </w:r>
          </w:p>
        </w:tc>
        <w:tc>
          <w:tcPr>
            <w:tcW w:w="3622" w:type="dxa"/>
            <w:vAlign w:val="center"/>
          </w:tcPr>
          <w:p w14:paraId="6C31F652">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志丹县工业园区</w:t>
            </w:r>
          </w:p>
        </w:tc>
        <w:tc>
          <w:tcPr>
            <w:tcW w:w="2175" w:type="dxa"/>
            <w:vAlign w:val="center"/>
          </w:tcPr>
          <w:p w14:paraId="2D148FC9">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天然气综合利用</w:t>
            </w:r>
          </w:p>
        </w:tc>
        <w:tc>
          <w:tcPr>
            <w:tcW w:w="2249" w:type="dxa"/>
            <w:vAlign w:val="center"/>
          </w:tcPr>
          <w:p w14:paraId="3D2FDBE8">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rPr>
              <w:t>农</w:t>
            </w:r>
            <w:r>
              <w:rPr>
                <w:rFonts w:hint="eastAsia" w:ascii="Times New Roman" w:hAnsi="Times New Roman" w:cs="Times New Roman"/>
                <w:color w:val="auto"/>
                <w:spacing w:val="0"/>
                <w:kern w:val="21"/>
                <w:sz w:val="24"/>
                <w:szCs w:val="24"/>
              </w:rPr>
              <w:t>特</w:t>
            </w:r>
            <w:r>
              <w:rPr>
                <w:rFonts w:hint="default" w:ascii="Times New Roman" w:hAnsi="Times New Roman" w:cs="Times New Roman"/>
                <w:color w:val="auto"/>
                <w:spacing w:val="0"/>
                <w:kern w:val="21"/>
                <w:sz w:val="24"/>
                <w:szCs w:val="24"/>
              </w:rPr>
              <w:t>产品精深加工</w:t>
            </w:r>
          </w:p>
        </w:tc>
      </w:tr>
      <w:tr w14:paraId="48C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1BFBDAB7">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7</w:t>
            </w:r>
          </w:p>
        </w:tc>
        <w:tc>
          <w:tcPr>
            <w:tcW w:w="3622" w:type="dxa"/>
            <w:vAlign w:val="center"/>
          </w:tcPr>
          <w:p w14:paraId="45E14681">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子长市工业园区</w:t>
            </w:r>
          </w:p>
        </w:tc>
        <w:tc>
          <w:tcPr>
            <w:tcW w:w="2175" w:type="dxa"/>
            <w:vAlign w:val="center"/>
          </w:tcPr>
          <w:p w14:paraId="5AFE3BEA">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煤炭资源综合利用</w:t>
            </w:r>
          </w:p>
        </w:tc>
        <w:tc>
          <w:tcPr>
            <w:tcW w:w="2249" w:type="dxa"/>
            <w:vAlign w:val="center"/>
          </w:tcPr>
          <w:p w14:paraId="35FA5D3B">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农特产品加工</w:t>
            </w:r>
          </w:p>
        </w:tc>
      </w:tr>
      <w:tr w14:paraId="7473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30F6E779">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8</w:t>
            </w:r>
          </w:p>
        </w:tc>
        <w:tc>
          <w:tcPr>
            <w:tcW w:w="3622" w:type="dxa"/>
            <w:vAlign w:val="center"/>
          </w:tcPr>
          <w:p w14:paraId="2A4F5C4D">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延长县工业园区</w:t>
            </w:r>
          </w:p>
        </w:tc>
        <w:tc>
          <w:tcPr>
            <w:tcW w:w="2175" w:type="dxa"/>
            <w:vAlign w:val="center"/>
          </w:tcPr>
          <w:p w14:paraId="0F49E377">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伴生气综合利用</w:t>
            </w:r>
          </w:p>
        </w:tc>
        <w:tc>
          <w:tcPr>
            <w:tcW w:w="2249" w:type="dxa"/>
            <w:vAlign w:val="center"/>
          </w:tcPr>
          <w:p w14:paraId="7C471202">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农</w:t>
            </w:r>
            <w:r>
              <w:rPr>
                <w:rFonts w:hint="eastAsia" w:ascii="Times New Roman" w:hAnsi="Times New Roman" w:cs="Times New Roman"/>
                <w:color w:val="auto"/>
                <w:spacing w:val="0"/>
                <w:kern w:val="21"/>
                <w:sz w:val="24"/>
                <w:szCs w:val="24"/>
              </w:rPr>
              <w:t>特</w:t>
            </w:r>
            <w:r>
              <w:rPr>
                <w:rFonts w:hint="default" w:ascii="Times New Roman" w:hAnsi="Times New Roman" w:cs="Times New Roman"/>
                <w:color w:val="auto"/>
                <w:spacing w:val="0"/>
                <w:kern w:val="21"/>
                <w:sz w:val="24"/>
                <w:szCs w:val="24"/>
              </w:rPr>
              <w:t>产品精深加工</w:t>
            </w:r>
          </w:p>
        </w:tc>
      </w:tr>
      <w:tr w14:paraId="413B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2EB53EB0">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9</w:t>
            </w:r>
          </w:p>
        </w:tc>
        <w:tc>
          <w:tcPr>
            <w:tcW w:w="3622" w:type="dxa"/>
            <w:vAlign w:val="center"/>
          </w:tcPr>
          <w:p w14:paraId="46FA82D1">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陕西延川经济技术开发区</w:t>
            </w:r>
          </w:p>
        </w:tc>
        <w:tc>
          <w:tcPr>
            <w:tcW w:w="2175" w:type="dxa"/>
            <w:vAlign w:val="center"/>
          </w:tcPr>
          <w:p w14:paraId="72295596">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能源化工</w:t>
            </w:r>
          </w:p>
        </w:tc>
        <w:tc>
          <w:tcPr>
            <w:tcW w:w="2249" w:type="dxa"/>
            <w:vAlign w:val="center"/>
          </w:tcPr>
          <w:p w14:paraId="62C85698">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农特产品精深加工</w:t>
            </w:r>
          </w:p>
        </w:tc>
      </w:tr>
      <w:tr w14:paraId="5405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3EEE364A">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10</w:t>
            </w:r>
          </w:p>
        </w:tc>
        <w:tc>
          <w:tcPr>
            <w:tcW w:w="3622" w:type="dxa"/>
            <w:vAlign w:val="center"/>
          </w:tcPr>
          <w:p w14:paraId="63AD6640">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甘泉县工业园区</w:t>
            </w:r>
          </w:p>
        </w:tc>
        <w:tc>
          <w:tcPr>
            <w:tcW w:w="2175" w:type="dxa"/>
            <w:vAlign w:val="center"/>
          </w:tcPr>
          <w:p w14:paraId="67779B14">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食品加工</w:t>
            </w:r>
          </w:p>
        </w:tc>
        <w:tc>
          <w:tcPr>
            <w:tcW w:w="2249" w:type="dxa"/>
            <w:vAlign w:val="center"/>
          </w:tcPr>
          <w:p w14:paraId="0A34FBDD">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现代物流</w:t>
            </w:r>
          </w:p>
        </w:tc>
      </w:tr>
      <w:tr w14:paraId="6B8A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CF217F5">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11</w:t>
            </w:r>
          </w:p>
        </w:tc>
        <w:tc>
          <w:tcPr>
            <w:tcW w:w="3622" w:type="dxa"/>
            <w:vAlign w:val="center"/>
          </w:tcPr>
          <w:p w14:paraId="24CC666D">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陕西富县经济技术开发区</w:t>
            </w:r>
          </w:p>
        </w:tc>
        <w:tc>
          <w:tcPr>
            <w:tcW w:w="2175" w:type="dxa"/>
            <w:vAlign w:val="center"/>
          </w:tcPr>
          <w:p w14:paraId="2A85847B">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煤油气综合利用</w:t>
            </w:r>
          </w:p>
        </w:tc>
        <w:tc>
          <w:tcPr>
            <w:tcW w:w="2249" w:type="dxa"/>
            <w:vAlign w:val="center"/>
          </w:tcPr>
          <w:p w14:paraId="1E6BCCBC">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农特产品加工</w:t>
            </w:r>
          </w:p>
        </w:tc>
      </w:tr>
      <w:tr w14:paraId="19C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1F78AB4">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12</w:t>
            </w:r>
          </w:p>
        </w:tc>
        <w:tc>
          <w:tcPr>
            <w:tcW w:w="3622" w:type="dxa"/>
            <w:vAlign w:val="center"/>
          </w:tcPr>
          <w:p w14:paraId="3910D38B">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洛川</w:t>
            </w:r>
            <w:r>
              <w:rPr>
                <w:rFonts w:hint="eastAsia" w:ascii="Times New Roman" w:hAnsi="Times New Roman" w:cs="Times New Roman"/>
                <w:color w:val="auto"/>
                <w:spacing w:val="0"/>
                <w:kern w:val="21"/>
                <w:sz w:val="24"/>
                <w:szCs w:val="24"/>
                <w:lang w:val="en-US" w:eastAsia="zh-CN"/>
              </w:rPr>
              <w:t>县</w:t>
            </w:r>
            <w:r>
              <w:rPr>
                <w:rFonts w:hint="default" w:ascii="Times New Roman" w:hAnsi="Times New Roman" w:cs="Times New Roman"/>
                <w:color w:val="auto"/>
                <w:spacing w:val="0"/>
                <w:kern w:val="21"/>
                <w:sz w:val="24"/>
                <w:szCs w:val="24"/>
                <w:lang w:val="en-US" w:eastAsia="zh-CN"/>
              </w:rPr>
              <w:t>工业园区</w:t>
            </w:r>
          </w:p>
        </w:tc>
        <w:tc>
          <w:tcPr>
            <w:tcW w:w="2175" w:type="dxa"/>
            <w:vAlign w:val="center"/>
          </w:tcPr>
          <w:p w14:paraId="0D771E3C">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石油化工</w:t>
            </w:r>
          </w:p>
        </w:tc>
        <w:tc>
          <w:tcPr>
            <w:tcW w:w="2249" w:type="dxa"/>
            <w:vAlign w:val="center"/>
          </w:tcPr>
          <w:p w14:paraId="438866EE">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eastAsia="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lang w:eastAsia="zh-CN"/>
              </w:rPr>
              <w:t>—</w:t>
            </w:r>
          </w:p>
        </w:tc>
      </w:tr>
      <w:tr w14:paraId="4913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2C96D99">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13</w:t>
            </w:r>
          </w:p>
        </w:tc>
        <w:tc>
          <w:tcPr>
            <w:tcW w:w="3622" w:type="dxa"/>
            <w:vAlign w:val="center"/>
          </w:tcPr>
          <w:p w14:paraId="1BE8BFBC">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洛川苹果现代产业园区</w:t>
            </w:r>
          </w:p>
        </w:tc>
        <w:tc>
          <w:tcPr>
            <w:tcW w:w="2175" w:type="dxa"/>
            <w:vAlign w:val="center"/>
          </w:tcPr>
          <w:p w14:paraId="03867ABC">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苹果加工产业</w:t>
            </w:r>
          </w:p>
        </w:tc>
        <w:tc>
          <w:tcPr>
            <w:tcW w:w="2249" w:type="dxa"/>
            <w:vAlign w:val="center"/>
          </w:tcPr>
          <w:p w14:paraId="3FD838E5">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果业</w:t>
            </w:r>
            <w:r>
              <w:rPr>
                <w:rFonts w:hint="default" w:ascii="Times New Roman" w:hAnsi="Times New Roman" w:cs="Times New Roman"/>
                <w:color w:val="auto"/>
                <w:spacing w:val="0"/>
                <w:kern w:val="21"/>
                <w:sz w:val="24"/>
                <w:szCs w:val="24"/>
              </w:rPr>
              <w:t>配套产业</w:t>
            </w:r>
          </w:p>
        </w:tc>
      </w:tr>
      <w:tr w14:paraId="69F0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4C25B1DF">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14</w:t>
            </w:r>
          </w:p>
        </w:tc>
        <w:tc>
          <w:tcPr>
            <w:tcW w:w="3622" w:type="dxa"/>
            <w:vAlign w:val="center"/>
          </w:tcPr>
          <w:p w14:paraId="47118EB6">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default" w:ascii="Times New Roman" w:hAnsi="Times New Roman" w:cs="Times New Roman"/>
                <w:color w:val="auto"/>
                <w:spacing w:val="0"/>
                <w:kern w:val="21"/>
                <w:sz w:val="24"/>
                <w:szCs w:val="24"/>
                <w:lang w:val="en-US" w:eastAsia="zh-CN"/>
              </w:rPr>
              <w:t>宜川县工业园区</w:t>
            </w:r>
          </w:p>
        </w:tc>
        <w:tc>
          <w:tcPr>
            <w:tcW w:w="2175" w:type="dxa"/>
            <w:vAlign w:val="center"/>
          </w:tcPr>
          <w:p w14:paraId="08F066E4">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能源</w:t>
            </w:r>
            <w:r>
              <w:rPr>
                <w:rFonts w:hint="default" w:ascii="Times New Roman" w:hAnsi="Times New Roman" w:cs="Times New Roman"/>
                <w:color w:val="auto"/>
                <w:spacing w:val="0"/>
                <w:kern w:val="21"/>
                <w:sz w:val="24"/>
                <w:szCs w:val="24"/>
              </w:rPr>
              <w:t>综合利用</w:t>
            </w:r>
          </w:p>
        </w:tc>
        <w:tc>
          <w:tcPr>
            <w:tcW w:w="2249" w:type="dxa"/>
            <w:vAlign w:val="center"/>
          </w:tcPr>
          <w:p w14:paraId="1DC0B0D4">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eastAsia" w:ascii="Times New Roman" w:hAnsi="Times New Roman" w:cs="Times New Roman"/>
                <w:color w:val="auto"/>
                <w:spacing w:val="0"/>
                <w:kern w:val="21"/>
                <w:sz w:val="24"/>
                <w:szCs w:val="24"/>
              </w:rPr>
              <w:t>特色食药</w:t>
            </w:r>
          </w:p>
        </w:tc>
      </w:tr>
      <w:tr w14:paraId="4104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6DAA6250">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default"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lang w:val="en-US" w:eastAsia="zh-CN"/>
              </w:rPr>
              <w:t>15</w:t>
            </w:r>
          </w:p>
        </w:tc>
        <w:tc>
          <w:tcPr>
            <w:tcW w:w="3622" w:type="dxa"/>
            <w:vAlign w:val="center"/>
          </w:tcPr>
          <w:p w14:paraId="28F21C6B">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Times New Roman" w:hAnsi="Times New Roman" w:cs="Times New Roman"/>
                <w:color w:val="auto"/>
                <w:spacing w:val="0"/>
                <w:kern w:val="21"/>
                <w:sz w:val="24"/>
                <w:szCs w:val="24"/>
                <w:lang w:val="en-US" w:eastAsia="zh-CN"/>
              </w:rPr>
            </w:pPr>
            <w:r>
              <w:rPr>
                <w:rFonts w:hint="eastAsia" w:ascii="Times New Roman" w:hAnsi="Times New Roman" w:cs="Times New Roman"/>
                <w:color w:val="auto"/>
                <w:spacing w:val="0"/>
                <w:kern w:val="21"/>
                <w:sz w:val="24"/>
                <w:szCs w:val="24"/>
              </w:rPr>
              <w:t>黄龙工业园区</w:t>
            </w:r>
          </w:p>
        </w:tc>
        <w:tc>
          <w:tcPr>
            <w:tcW w:w="2175" w:type="dxa"/>
            <w:vAlign w:val="center"/>
          </w:tcPr>
          <w:p w14:paraId="17E7A7E2">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特色食药</w:t>
            </w:r>
          </w:p>
        </w:tc>
        <w:tc>
          <w:tcPr>
            <w:tcW w:w="2249" w:type="dxa"/>
            <w:vAlign w:val="center"/>
          </w:tcPr>
          <w:p w14:paraId="413F11BC">
            <w:pPr>
              <w:keepNext w:val="0"/>
              <w:keepLines w:val="0"/>
              <w:pageBreakBefore w:val="0"/>
              <w:widowControl w:val="0"/>
              <w:kinsoku/>
              <w:wordWrap/>
              <w:overflowPunct w:val="0"/>
              <w:topLinePunct w:val="0"/>
              <w:autoSpaceDE/>
              <w:autoSpaceDN/>
              <w:bidi w:val="0"/>
              <w:adjustRightInd/>
              <w:snapToGrid/>
              <w:spacing w:afterAutospacing="0" w:line="400" w:lineRule="exact"/>
              <w:ind w:left="0" w:leftChars="0" w:firstLine="0" w:firstLineChars="0"/>
              <w:jc w:val="center"/>
              <w:textAlignment w:val="auto"/>
              <w:rPr>
                <w:rFonts w:hint="eastAsia" w:ascii="仿宋_GB2312" w:hAnsi="仿宋_GB2312" w:cs="黑体"/>
                <w:color w:val="auto"/>
                <w:spacing w:val="0"/>
                <w:kern w:val="21"/>
                <w:sz w:val="24"/>
                <w:szCs w:val="24"/>
                <w:highlight w:val="none"/>
                <w:vertAlign w:val="baseline"/>
                <w:lang w:val="en-US" w:eastAsia="zh-CN"/>
              </w:rPr>
            </w:pPr>
            <w:r>
              <w:rPr>
                <w:rFonts w:hint="default" w:ascii="Times New Roman" w:hAnsi="Times New Roman" w:cs="Times New Roman"/>
                <w:color w:val="auto"/>
                <w:spacing w:val="0"/>
                <w:kern w:val="21"/>
                <w:sz w:val="24"/>
                <w:szCs w:val="24"/>
              </w:rPr>
              <w:t>新能源</w:t>
            </w:r>
            <w:r>
              <w:rPr>
                <w:rFonts w:hint="eastAsia" w:ascii="Times New Roman" w:hAnsi="Times New Roman" w:cs="Times New Roman"/>
                <w:color w:val="auto"/>
                <w:spacing w:val="0"/>
                <w:kern w:val="21"/>
                <w:sz w:val="24"/>
                <w:szCs w:val="24"/>
              </w:rPr>
              <w:t>装备制造</w:t>
            </w:r>
          </w:p>
        </w:tc>
      </w:tr>
    </w:tbl>
    <w:p w14:paraId="6913BEF3">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0"/>
          <w:szCs w:val="30"/>
        </w:rPr>
      </w:pPr>
      <w:bookmarkStart w:id="36" w:name="_Toc10030"/>
      <w:bookmarkStart w:id="37" w:name="_Toc2210"/>
      <w:bookmarkStart w:id="38" w:name="_Toc2391"/>
    </w:p>
    <w:p w14:paraId="44B3F178">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0"/>
          <w:szCs w:val="30"/>
        </w:rPr>
      </w:pPr>
    </w:p>
    <w:p w14:paraId="18C6A0AD">
      <w:pPr>
        <w:keepNext w:val="0"/>
        <w:keepLines w:val="0"/>
        <w:pageBreakBefore w:val="0"/>
        <w:widowControl w:val="0"/>
        <w:kinsoku/>
        <w:wordWrap/>
        <w:overflowPunct w:val="0"/>
        <w:topLinePunct w:val="0"/>
        <w:autoSpaceDE/>
        <w:autoSpaceDN/>
        <w:bidi w:val="0"/>
        <w:spacing w:afterAutospacing="0"/>
        <w:ind w:left="0"/>
        <w:textAlignment w:val="auto"/>
        <w:rPr>
          <w:rFonts w:hint="eastAsia"/>
          <w:color w:val="auto"/>
          <w:spacing w:val="0"/>
          <w:kern w:val="21"/>
          <w:sz w:val="36"/>
          <w:szCs w:val="36"/>
        </w:rPr>
      </w:pPr>
      <w:r>
        <w:rPr>
          <w:rFonts w:hint="eastAsia"/>
          <w:color w:val="auto"/>
          <w:spacing w:val="0"/>
          <w:kern w:val="21"/>
          <w:sz w:val="36"/>
          <w:szCs w:val="36"/>
        </w:rPr>
        <w:br w:type="page"/>
      </w:r>
    </w:p>
    <w:p w14:paraId="347B43DD">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color w:val="auto"/>
          <w:spacing w:val="0"/>
          <w:kern w:val="21"/>
        </w:rPr>
      </w:pPr>
    </w:p>
    <w:p w14:paraId="286D26CE">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6"/>
          <w:szCs w:val="36"/>
        </w:rPr>
      </w:pPr>
      <w:r>
        <w:rPr>
          <w:rFonts w:hint="eastAsia"/>
          <w:color w:val="auto"/>
          <w:spacing w:val="0"/>
          <w:kern w:val="21"/>
          <w:sz w:val="36"/>
          <w:szCs w:val="36"/>
        </w:rPr>
        <w:t>第三篇</w:t>
      </w:r>
      <w:r>
        <w:rPr>
          <w:rFonts w:hint="eastAsia"/>
          <w:color w:val="auto"/>
          <w:spacing w:val="0"/>
          <w:kern w:val="21"/>
          <w:sz w:val="36"/>
          <w:szCs w:val="36"/>
          <w:lang w:val="en-US" w:eastAsia="zh-CN"/>
        </w:rPr>
        <w:t xml:space="preserve">  </w:t>
      </w:r>
      <w:r>
        <w:rPr>
          <w:rFonts w:hint="eastAsia"/>
          <w:color w:val="auto"/>
          <w:spacing w:val="0"/>
          <w:kern w:val="21"/>
          <w:sz w:val="36"/>
          <w:szCs w:val="36"/>
        </w:rPr>
        <w:t>提升科技创新水平 因地制宜培育</w:t>
      </w:r>
    </w:p>
    <w:p w14:paraId="63C09D20">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6"/>
          <w:szCs w:val="36"/>
        </w:rPr>
      </w:pPr>
      <w:r>
        <w:rPr>
          <w:rFonts w:hint="eastAsia"/>
          <w:color w:val="auto"/>
          <w:spacing w:val="0"/>
          <w:kern w:val="21"/>
          <w:sz w:val="36"/>
          <w:szCs w:val="36"/>
        </w:rPr>
        <w:t>和发展新质生产力</w:t>
      </w:r>
      <w:bookmarkEnd w:id="36"/>
      <w:bookmarkEnd w:id="37"/>
      <w:bookmarkEnd w:id="38"/>
    </w:p>
    <w:p w14:paraId="349C0DEE">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仿宋_GB2312" w:hAnsi="仿宋_GB2312" w:eastAsia="仿宋_GB2312" w:cs="仿宋_GB2312"/>
          <w:b w:val="0"/>
          <w:bCs/>
          <w:color w:val="auto"/>
          <w:spacing w:val="0"/>
          <w:kern w:val="21"/>
          <w:sz w:val="30"/>
          <w:szCs w:val="30"/>
        </w:rPr>
      </w:pPr>
    </w:p>
    <w:p w14:paraId="0ED31619">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rPr>
        <w:t>抓住新一轮科技革命和产业变革历史机遇，优化创新生态，畅通教育科技人才和科技产业金融两个循环，推动科技创新和产业创新融合发展，在培育和发展新质生产力上见效成势，加快形成高质量发展的新生动力。</w:t>
      </w:r>
    </w:p>
    <w:p w14:paraId="064554B1">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2"/>
          <w:szCs w:val="32"/>
        </w:rPr>
      </w:pPr>
      <w:bookmarkStart w:id="39" w:name="_Toc7168"/>
      <w:bookmarkStart w:id="40" w:name="_Toc11352"/>
      <w:bookmarkStart w:id="41" w:name="_Toc20121"/>
      <w:bookmarkStart w:id="42" w:name="_Toc3964"/>
    </w:p>
    <w:p w14:paraId="77550F3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一</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强化企业科技创新主体地位</w:t>
      </w:r>
      <w:bookmarkEnd w:id="39"/>
      <w:bookmarkEnd w:id="40"/>
      <w:bookmarkEnd w:id="41"/>
    </w:p>
    <w:p w14:paraId="5D239AFC">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楷体_GB2312" w:hAnsi="楷体_GB2312" w:eastAsia="楷体_GB2312" w:cs="楷体_GB2312"/>
          <w:b w:val="0"/>
          <w:bCs w:val="0"/>
          <w:color w:val="auto"/>
          <w:spacing w:val="0"/>
          <w:kern w:val="21"/>
          <w:sz w:val="32"/>
          <w:szCs w:val="32"/>
        </w:rPr>
      </w:pPr>
    </w:p>
    <w:p w14:paraId="277210EE">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梯度培育创新型企业。</w:t>
      </w:r>
      <w:r>
        <w:rPr>
          <w:rFonts w:hint="eastAsia" w:ascii="仿宋_GB2312" w:hAnsi="仿宋_GB2312" w:cs="Times New Roman"/>
          <w:color w:val="auto"/>
          <w:spacing w:val="0"/>
          <w:kern w:val="21"/>
          <w:sz w:val="32"/>
          <w:szCs w:val="32"/>
          <w:lang w:val="en-US" w:eastAsia="zh-CN"/>
        </w:rPr>
        <w:t>完善科技型企业扶持政策体系，健全科技型企业梯度培育机制，开展“培育—认定—提升”全周期管理，建立科技型企业梯度培育库，实施科技型企业“登高、升规、晋位、上市”四个工程，围绕“7+25”产业链群，培育一批科技型中小企业、高新技术企业、创新型中小企业、“专精特新”中小企业和“小巨人”企业、制造业单项冠军企业、隐形冠军企业。依托各县（市、区）工业园区、延安高新区、新区及各类孵化器，发挥要素集聚和产业发展优势，孵化一批科技型企业。聚焦石油、煤炭、新能源等资源和市场优势，招引落地一批科技型企业。鼓励外地企业和国有企业联商合资，新成立一批科技型企业。发挥科技成果转化“三项改革”作用，鼓励高校科研人员带项目、带成果领办创办一批科技型企业。健全科技金融服务机制，为科技型企业提供一站式融资服务，鼓励金融机构开发适合科技型中小企业特点的金融产品和服务。到2030年，全市高新技术企业达到600家以上，科技型中小企业达到1800家以上</w:t>
      </w:r>
      <w:r>
        <w:rPr>
          <w:rFonts w:hint="eastAsia" w:ascii="仿宋_GB2312" w:hAnsi="仿宋_GB2312" w:cs="仿宋_GB2312"/>
          <w:color w:val="auto"/>
          <w:spacing w:val="0"/>
          <w:kern w:val="21"/>
          <w:sz w:val="32"/>
          <w:szCs w:val="32"/>
        </w:rPr>
        <w:t>。</w:t>
      </w:r>
    </w:p>
    <w:p w14:paraId="34BB9147">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增强企业科技研发能力。</w:t>
      </w:r>
      <w:r>
        <w:rPr>
          <w:rFonts w:hint="eastAsia" w:ascii="仿宋_GB2312" w:hAnsi="仿宋_GB2312" w:cs="Times New Roman"/>
          <w:color w:val="auto"/>
          <w:spacing w:val="0"/>
          <w:kern w:val="21"/>
          <w:sz w:val="32"/>
          <w:szCs w:val="32"/>
        </w:rPr>
        <w:t>引导企业围绕市场需求和长远发展，建立研发机构，健全组织技术研发、产品创新、科技成果转化机制。强化企业科技创新主体地位，支持有能力的民营企业牵头承担重大技术攻关任务，推动创新资源向企业集聚。鼓励科技领军企业、“链主”企业根据国家战略需要和行业发展趋势，开展关键共性技术创新，积极承担国家和省市重大科技项目。加大政府采购自主创新产品力度。鼓励企业加大研发投入，强化关键核心技术攻关和成果转化，前瞻布局相关基础研究，提升自主创新能力。实施大中小企业融通创新计划，鼓励龙头企业联合产业链上下游企业开展共性技术攻关，推动重点领域关键共性和前沿</w:t>
      </w:r>
      <w:r>
        <w:rPr>
          <w:rFonts w:hint="eastAsia" w:ascii="仿宋_GB2312" w:hAnsi="仿宋_GB2312" w:cs="Times New Roman"/>
          <w:color w:val="auto"/>
          <w:spacing w:val="-6"/>
          <w:kern w:val="21"/>
          <w:sz w:val="32"/>
          <w:szCs w:val="32"/>
        </w:rPr>
        <w:t>引领技术攻关实现新突破。引导企业设立研发准备金制度，稳定研发投入。鼓励企业与高校、科研机构共建研发机构，共享研发资源</w:t>
      </w:r>
      <w:r>
        <w:rPr>
          <w:rFonts w:hint="eastAsia" w:ascii="仿宋_GB2312" w:hAnsi="仿宋_GB2312" w:cs="Times New Roman"/>
          <w:color w:val="auto"/>
          <w:spacing w:val="0"/>
          <w:kern w:val="21"/>
          <w:sz w:val="32"/>
          <w:szCs w:val="32"/>
        </w:rPr>
        <w:t>。</w:t>
      </w:r>
    </w:p>
    <w:p w14:paraId="42955D6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2"/>
          <w:szCs w:val="32"/>
        </w:rPr>
      </w:pPr>
      <w:bookmarkStart w:id="43" w:name="_Toc6254"/>
      <w:bookmarkStart w:id="44" w:name="_Toc26135"/>
    </w:p>
    <w:p w14:paraId="337F00F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二</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打造高标准创新平台</w:t>
      </w:r>
      <w:bookmarkEnd w:id="42"/>
      <w:bookmarkEnd w:id="43"/>
      <w:bookmarkEnd w:id="44"/>
    </w:p>
    <w:p w14:paraId="1298CA02">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楷体_GB2312" w:hAnsi="楷体_GB2312" w:eastAsia="楷体_GB2312" w:cs="楷体_GB2312"/>
          <w:b w:val="0"/>
          <w:bCs w:val="0"/>
          <w:color w:val="auto"/>
          <w:spacing w:val="0"/>
          <w:kern w:val="21"/>
          <w:sz w:val="32"/>
          <w:szCs w:val="32"/>
        </w:rPr>
      </w:pPr>
    </w:p>
    <w:p w14:paraId="16850F9A">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建设高能级研发平台。</w:t>
      </w:r>
      <w:r>
        <w:rPr>
          <w:rFonts w:hint="eastAsia" w:ascii="仿宋_GB2312" w:hAnsi="仿宋_GB2312" w:eastAsia="仿宋_GB2312" w:cs="仿宋_GB2312"/>
          <w:b w:val="0"/>
          <w:bCs/>
          <w:color w:val="auto"/>
          <w:spacing w:val="0"/>
          <w:kern w:val="21"/>
          <w:sz w:val="32"/>
          <w:szCs w:val="32"/>
        </w:rPr>
        <w:t>加强秦创原（延安）创新促进中心建设，主动融入全省“一总多区”协同创新格局和西安区域科技创新中心、综合性科学中心建设，健全“政产学研金介云”创新服务体系，提升创新策源引领能力。聚焦产业发展需求，支持龙头企业联合高校及科研机构组建重点实验室、工程技术研究中心、产业技术研究院等基础研发平台，探索建设一批市级产业创新聚集区。支持黄陵县建设省级苹果全程机械化中试基地、延长油田建设省级重点实验室。建设文化旅游创意研发平台，开展旅游产品创新设计、智慧旅游技术应用等。加强对科技创新平台的管理和投入，“十五五”期间，各类创新平台达到600个以上，培育</w:t>
      </w:r>
      <w:r>
        <w:rPr>
          <w:rFonts w:hint="eastAsia" w:ascii="仿宋_GB2312" w:hAnsi="仿宋_GB2312" w:eastAsia="仿宋_GB2312" w:cs="仿宋_GB2312"/>
          <w:b w:val="0"/>
          <w:bCs/>
          <w:color w:val="auto"/>
          <w:spacing w:val="6"/>
          <w:kern w:val="21"/>
          <w:sz w:val="32"/>
          <w:szCs w:val="32"/>
        </w:rPr>
        <w:t>4个以上省级企业技术中心，3个以上省级中小企业创新研发中心</w:t>
      </w:r>
      <w:r>
        <w:rPr>
          <w:rFonts w:hint="eastAsia" w:ascii="仿宋_GB2312" w:hAnsi="仿宋_GB2312" w:cs="仿宋_GB2312"/>
          <w:color w:val="auto"/>
          <w:spacing w:val="6"/>
          <w:kern w:val="21"/>
          <w:sz w:val="32"/>
          <w:szCs w:val="32"/>
        </w:rPr>
        <w:t>。</w:t>
      </w:r>
    </w:p>
    <w:p w14:paraId="6CEFCEC4">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建设高水平场景应用平台。</w:t>
      </w:r>
      <w:r>
        <w:rPr>
          <w:rFonts w:hint="eastAsia" w:ascii="仿宋_GB2312" w:hAnsi="仿宋_GB2312" w:cs="仿宋_GB2312"/>
          <w:color w:val="auto"/>
          <w:spacing w:val="0"/>
          <w:kern w:val="21"/>
          <w:sz w:val="32"/>
          <w:szCs w:val="32"/>
        </w:rPr>
        <w:t>聚焦油气田装备“智能化升级、全链条配套”方向，精准对接延长石油等龙头企业及作业单位的实际需求。重点推进智能钻井设备、开采自动化控制系统等关键产品的持续迭代与创新，打造集研发、生产、测试、应用于一体的油气田智能装备应用场景平台。结合洛川国家级苹果产业集群和全国首个苹果全程机械化试验站等优势载体，以推动苹果全产业链智慧化升级为目标，聚焦优果率提升、化肥农药减量增效、智能植保与精准灌溉等关键技术方向，建设覆盖产前、产中、产后全流程的智慧果园一体化服务应用场景平台。围绕革命旧址，构建厘米级高精度实景三维空间数字基座，建设集历史教育、文化体验、科技展示于一体的革命旧址数字孪生应用场景平台。</w:t>
      </w:r>
    </w:p>
    <w:p w14:paraId="708D3063">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建设高标准孵化培育平台。</w:t>
      </w:r>
      <w:r>
        <w:rPr>
          <w:rFonts w:hint="eastAsia" w:ascii="仿宋_GB2312" w:hAnsi="仿宋_GB2312" w:cs="仿宋_GB2312"/>
          <w:color w:val="auto"/>
          <w:spacing w:val="0"/>
          <w:kern w:val="21"/>
          <w:sz w:val="32"/>
          <w:szCs w:val="32"/>
        </w:rPr>
        <w:t>深入推进秦创原延安能源科技高能级科创孵化器建设，为企业提供全生命周期孵化</w:t>
      </w:r>
      <w:r>
        <w:rPr>
          <w:rFonts w:hint="eastAsia" w:ascii="仿宋_GB2312" w:hAnsi="仿宋_GB2312" w:cs="仿宋_GB2312"/>
          <w:color w:val="auto"/>
          <w:spacing w:val="0"/>
          <w:kern w:val="21"/>
          <w:sz w:val="32"/>
          <w:szCs w:val="32"/>
          <w:lang w:val="en-US" w:eastAsia="zh-CN"/>
        </w:rPr>
        <w:t>服务</w:t>
      </w:r>
      <w:r>
        <w:rPr>
          <w:rFonts w:hint="eastAsia" w:ascii="仿宋_GB2312" w:hAnsi="仿宋_GB2312" w:cs="仿宋_GB2312"/>
          <w:color w:val="auto"/>
          <w:spacing w:val="0"/>
          <w:kern w:val="21"/>
          <w:sz w:val="32"/>
          <w:szCs w:val="32"/>
        </w:rPr>
        <w:t>。依托秦创原创新驱动平台建设，</w:t>
      </w:r>
      <w:r>
        <w:rPr>
          <w:rFonts w:hint="eastAsia" w:ascii="仿宋_GB2312" w:hAnsi="仿宋_GB2312" w:cs="仿宋_GB2312"/>
          <w:color w:val="auto"/>
          <w:spacing w:val="0"/>
          <w:kern w:val="21"/>
          <w:sz w:val="32"/>
          <w:szCs w:val="32"/>
          <w:lang w:val="en-US" w:eastAsia="zh-CN"/>
        </w:rPr>
        <w:t>提升</w:t>
      </w:r>
      <w:r>
        <w:rPr>
          <w:rFonts w:hint="eastAsia" w:ascii="仿宋_GB2312" w:hAnsi="仿宋_GB2312" w:cs="仿宋_GB2312"/>
          <w:color w:val="auto"/>
          <w:spacing w:val="0"/>
          <w:kern w:val="21"/>
          <w:sz w:val="32"/>
          <w:szCs w:val="32"/>
        </w:rPr>
        <w:t>各县（市、区）工业园区孵化器孵化能力</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优化初创企业办公场地、设备共享、技术咨询、融资对接等一站式服务功能。支持链主企业联合市内外高校院所和产业链上下游企业建设共性技术研发平台、制造业创新中心、中试基地等，集群式孵化科创企业。</w:t>
      </w:r>
    </w:p>
    <w:p w14:paraId="1F5B4947">
      <w:pPr>
        <w:keepNext w:val="0"/>
        <w:keepLines w:val="0"/>
        <w:pageBreakBefore w:val="0"/>
        <w:widowControl w:val="0"/>
        <w:kinsoku/>
        <w:wordWrap/>
        <w:overflowPunct w:val="0"/>
        <w:topLinePunct w:val="0"/>
        <w:autoSpaceDE/>
        <w:autoSpaceDN/>
        <w:bidi w:val="0"/>
        <w:adjustRightInd/>
        <w:snapToGrid/>
        <w:spacing w:afterAutospacing="0" w:line="60" w:lineRule="exact"/>
        <w:ind w:left="0"/>
        <w:textAlignment w:val="auto"/>
        <w:rPr>
          <w:rFonts w:hint="eastAsia" w:ascii="仿宋_GB2312" w:hAnsi="仿宋_GB2312" w:cs="仿宋_GB2312"/>
          <w:color w:val="auto"/>
          <w:spacing w:val="0"/>
          <w:kern w:val="21"/>
          <w:sz w:val="30"/>
          <w:szCs w:val="30"/>
        </w:rPr>
      </w:pPr>
    </w:p>
    <w:tbl>
      <w:tblPr>
        <w:tblStyle w:val="16"/>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0"/>
      </w:tblGrid>
      <w:tr w14:paraId="150E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60" w:type="dxa"/>
            <w:vAlign w:val="center"/>
          </w:tcPr>
          <w:p w14:paraId="549776B7">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1</w:t>
            </w:r>
            <w:r>
              <w:rPr>
                <w:rFonts w:hint="eastAsia" w:ascii="黑体" w:hAnsi="黑体" w:eastAsia="黑体" w:cs="黑体"/>
                <w:b w:val="0"/>
                <w:bCs w:val="0"/>
                <w:color w:val="auto"/>
                <w:spacing w:val="0"/>
                <w:kern w:val="21"/>
                <w:sz w:val="25"/>
                <w:szCs w:val="25"/>
                <w:highlight w:val="none"/>
                <w:u w:val="none"/>
              </w:rPr>
              <w:t xml:space="preserve"> 科技创新平台重点项目</w:t>
            </w:r>
          </w:p>
        </w:tc>
      </w:tr>
      <w:tr w14:paraId="4728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8360" w:type="dxa"/>
            <w:vAlign w:val="center"/>
          </w:tcPr>
          <w:p w14:paraId="524F002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ascii="Times New Roman" w:hAnsi="Times New Roman" w:cs="Times New Roman"/>
                <w:color w:val="auto"/>
                <w:spacing w:val="0"/>
                <w:kern w:val="21"/>
                <w:sz w:val="30"/>
                <w:szCs w:val="30"/>
                <w:highlight w:val="none"/>
                <w:u w:val="none"/>
              </w:rPr>
            </w:pPr>
            <w:r>
              <w:rPr>
                <w:rFonts w:hint="eastAsia" w:ascii="宋体" w:hAnsi="宋体" w:eastAsia="宋体" w:cs="宋体"/>
                <w:color w:val="auto"/>
                <w:spacing w:val="0"/>
                <w:kern w:val="21"/>
                <w:sz w:val="22"/>
                <w:szCs w:val="22"/>
                <w:highlight w:val="none"/>
                <w:u w:val="none"/>
              </w:rPr>
              <w:t>重点实施陕西省难动用致密油气藏勘探开发重点实验室、陕西省苹果全程机械化中试基地、能源化工材料协同创新平台、医理医工融合创新平台、特色食品产业交叉研究中心、延安高新区应急装备测试验证及产业化公共服务平台、延安高新区省级高端油井管及绿色制造创新中心、延安高新区东区未来科技城科创孵化器综合体、吴起县能源产业中小企业孵化服务基地等项目。</w:t>
            </w:r>
          </w:p>
        </w:tc>
      </w:tr>
    </w:tbl>
    <w:p w14:paraId="024198D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bookmarkStart w:id="45" w:name="_Toc31021"/>
      <w:bookmarkStart w:id="46" w:name="_Toc7776"/>
      <w:bookmarkStart w:id="47" w:name="_Toc26741"/>
    </w:p>
    <w:p w14:paraId="65BEAA2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三</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健全科技成果转化机制</w:t>
      </w:r>
      <w:bookmarkEnd w:id="45"/>
      <w:bookmarkEnd w:id="46"/>
    </w:p>
    <w:bookmarkEnd w:id="47"/>
    <w:p w14:paraId="33F32501">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楷体_GB2312" w:hAnsi="楷体_GB2312" w:eastAsia="楷体_GB2312" w:cs="楷体_GB2312"/>
          <w:b w:val="0"/>
          <w:bCs w:val="0"/>
          <w:color w:val="auto"/>
          <w:spacing w:val="0"/>
          <w:kern w:val="21"/>
          <w:sz w:val="32"/>
          <w:szCs w:val="32"/>
        </w:rPr>
      </w:pPr>
    </w:p>
    <w:p w14:paraId="4CE00D4E">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eastAsia="仿宋_GB2312" w:cs="仿宋_GB2312"/>
          <w:b w:val="0"/>
          <w:bCs w:val="0"/>
          <w:color w:val="auto"/>
          <w:spacing w:val="0"/>
          <w:kern w:val="21"/>
          <w:sz w:val="32"/>
          <w:szCs w:val="32"/>
          <w:u w:val="none"/>
        </w:rPr>
      </w:pPr>
      <w:r>
        <w:rPr>
          <w:rFonts w:hint="eastAsia" w:ascii="楷体_GB2312" w:hAnsi="楷体_GB2312" w:eastAsia="楷体_GB2312" w:cs="楷体_GB2312"/>
          <w:b w:val="0"/>
          <w:bCs w:val="0"/>
          <w:color w:val="auto"/>
          <w:spacing w:val="0"/>
          <w:kern w:val="21"/>
          <w:sz w:val="32"/>
          <w:szCs w:val="32"/>
        </w:rPr>
        <w:t>构建高效能创新体系。</w:t>
      </w:r>
      <w:r>
        <w:rPr>
          <w:rFonts w:hint="eastAsia" w:ascii="仿宋_GB2312" w:hAnsi="仿宋_GB2312" w:eastAsia="仿宋_GB2312" w:cs="仿宋_GB2312"/>
          <w:b w:val="0"/>
          <w:bCs/>
          <w:color w:val="auto"/>
          <w:spacing w:val="0"/>
          <w:kern w:val="21"/>
          <w:sz w:val="32"/>
          <w:szCs w:val="32"/>
        </w:rPr>
        <w:t>深化科技成果转化“三项改革”和科技项目管理改革，持续优化“先使用后付费”等科技成果转化方式，探索推行“以演代评”“先投后股”“权益让渡”等举措</w:t>
      </w:r>
      <w:r>
        <w:rPr>
          <w:rFonts w:hint="eastAsia" w:ascii="仿宋_GB2312" w:hAnsi="仿宋_GB2312" w:eastAsia="仿宋_GB2312" w:cs="仿宋_GB2312"/>
          <w:b w:val="0"/>
          <w:bCs/>
          <w:color w:val="auto"/>
          <w:spacing w:val="0"/>
          <w:kern w:val="21"/>
          <w:sz w:val="32"/>
          <w:szCs w:val="32"/>
          <w:lang w:eastAsia="zh-CN"/>
        </w:rPr>
        <w:t>。</w:t>
      </w:r>
      <w:r>
        <w:rPr>
          <w:rFonts w:hint="eastAsia" w:ascii="仿宋_GB2312" w:hAnsi="仿宋_GB2312" w:cs="仿宋_GB2312"/>
          <w:color w:val="auto"/>
          <w:spacing w:val="0"/>
          <w:kern w:val="21"/>
          <w:sz w:val="32"/>
          <w:szCs w:val="32"/>
        </w:rPr>
        <w:t>加强创新资源统筹和力量组织，推动科技创新和产业创新融合发展。分类实施政府主导的有组织创新、高校院所主导的原始创新、企业为主体的集成创新，形成共促关键核心技术攻关工作格局。改进科技计划管理，推行科技项目“负面清单+包干制”“揭榜制”等组织形式，赋予科研人员更大技术路线决定权、经费支配权和资源调配权。围绕产业链关键共性技术需求，引领高校、科研院所与企业组建创新联合体，推动资源共享、风险共担、成果共享。</w:t>
      </w:r>
      <w:r>
        <w:rPr>
          <w:rFonts w:hint="eastAsia" w:ascii="仿宋_GB2312" w:hAnsi="仿宋_GB2312" w:eastAsia="仿宋_GB2312" w:cs="仿宋_GB2312"/>
          <w:b w:val="0"/>
          <w:bCs w:val="0"/>
          <w:color w:val="auto"/>
          <w:spacing w:val="0"/>
          <w:kern w:val="21"/>
          <w:sz w:val="32"/>
          <w:szCs w:val="32"/>
          <w:u w:val="none"/>
        </w:rPr>
        <w:t>用好陕西省苹果产业共性技术研发平台、延安大学科技园</w:t>
      </w:r>
      <w:r>
        <w:rPr>
          <w:rFonts w:hint="eastAsia" w:ascii="仿宋_GB2312" w:hAnsi="仿宋_GB2312" w:cs="仿宋_GB2312"/>
          <w:b w:val="0"/>
          <w:bCs w:val="0"/>
          <w:color w:val="auto"/>
          <w:spacing w:val="0"/>
          <w:kern w:val="21"/>
          <w:sz w:val="32"/>
          <w:szCs w:val="32"/>
          <w:u w:val="none"/>
          <w:lang w:eastAsia="zh-CN"/>
        </w:rPr>
        <w:t>等平台载体，</w:t>
      </w:r>
      <w:r>
        <w:rPr>
          <w:rFonts w:hint="eastAsia" w:ascii="仿宋_GB2312" w:hAnsi="仿宋_GB2312" w:eastAsia="仿宋_GB2312" w:cs="仿宋_GB2312"/>
          <w:b w:val="0"/>
          <w:bCs w:val="0"/>
          <w:color w:val="auto"/>
          <w:spacing w:val="0"/>
          <w:kern w:val="21"/>
          <w:sz w:val="32"/>
          <w:szCs w:val="32"/>
          <w:u w:val="none"/>
        </w:rPr>
        <w:t>建立重大科技成果转化跟踪对接机制，加大应用场景建设和开放力度。培育和引进一批专业化技术转移服务机构，提升技术评估、交易和成果转化服务水平。</w:t>
      </w:r>
    </w:p>
    <w:p w14:paraId="2FBCD9DD">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围绕产业链部署创新链。</w:t>
      </w:r>
      <w:r>
        <w:rPr>
          <w:rFonts w:hint="eastAsia" w:ascii="仿宋_GB2312" w:hAnsi="仿宋_GB2312" w:cs="仿宋_GB2312"/>
          <w:color w:val="auto"/>
          <w:spacing w:val="0"/>
          <w:kern w:val="21"/>
          <w:sz w:val="32"/>
          <w:szCs w:val="32"/>
          <w:lang w:val="en-US" w:eastAsia="zh-CN"/>
        </w:rPr>
        <w:t>支持延安大学、延安职业技术学院、延安苹果研究院等高校院所开展基础研究。聚焦“7+25”产业链群以及低空经济、储能、人工智能等新兴未来产业，常态化征集产业发展技术需求，部署市级重点产业链、园区与县域特色经济创新链等科技计划项目，组织高校院所与企业协同攻关，集中力量突破一批关键核心技术，取得一批原创性技术成果。锚定经济社会发展重大需求，积极争取中省科技项目，实施一批具有战略性、支撑性、规模性的重大科技项目和重大科技成果产业化项目。重点支持延长石油、延安能化等链主企业整合产业链上下游资源，聚焦延安陆相页岩油/致密油效益开发地质工程一体化关键技术研究、油气装备智能化关键核心技术研发、极薄煤层绿色智能开发、中深层煤岩气高效开发利用及产业示范、新型储能电池关键技术开发及产业化以及苹果新品种新砧木选育等科技需求，牵头或参与实施重大科技专项，提升产业链发展水平。“十五五”期间，全市组织实施市级科技计划项目500项以上，争取中省科技计划项目300项以上</w:t>
      </w:r>
      <w:r>
        <w:rPr>
          <w:rFonts w:hint="eastAsia" w:ascii="仿宋_GB2312" w:hAnsi="仿宋_GB2312" w:cs="仿宋_GB2312"/>
          <w:color w:val="auto"/>
          <w:spacing w:val="0"/>
          <w:kern w:val="21"/>
          <w:sz w:val="32"/>
          <w:szCs w:val="32"/>
        </w:rPr>
        <w:t>。</w:t>
      </w:r>
    </w:p>
    <w:p w14:paraId="2AA2F24A">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围绕创新链布局产业链。</w:t>
      </w:r>
      <w:r>
        <w:rPr>
          <w:rFonts w:hint="eastAsia" w:ascii="仿宋_GB2312" w:hAnsi="仿宋_GB2312" w:cs="仿宋_GB2312"/>
          <w:color w:val="auto"/>
          <w:spacing w:val="0"/>
          <w:kern w:val="21"/>
          <w:sz w:val="32"/>
          <w:szCs w:val="32"/>
        </w:rPr>
        <w:t>深化产学研合作，发挥技术转移服务机构和技术经理人作用，常态化开展进企业挖掘技术需求和进高校院所对接科技成果。加强技术经理人培养、使用、评价和激励，打造专业化、职业化的高素质技术经理人队伍，支持技术转移服务机构与高校院所、科研机构、企业建立合作关系，开展技术评估、技术交易、成果转化等服务。加强概念验证中心、中试基地建设，打通“实验室”到“生产线”最后一公里，实施科技成果转化后补助项目，促进企业自有专利成果和购买专利成果产业化。重点围绕农副产品精深加工、油气煤装备制造与再制造、煤矸石综合利用等领域加快科技成果转化应用。“十五五”</w:t>
      </w:r>
      <w:r>
        <w:rPr>
          <w:rFonts w:hint="eastAsia" w:ascii="仿宋_GB2312" w:hAnsi="仿宋_GB2312" w:cs="仿宋_GB2312"/>
          <w:color w:val="auto"/>
          <w:spacing w:val="0"/>
          <w:kern w:val="21"/>
          <w:sz w:val="32"/>
          <w:szCs w:val="32"/>
          <w:lang w:val="en-US" w:eastAsia="zh-CN"/>
        </w:rPr>
        <w:t>期间</w:t>
      </w:r>
      <w:r>
        <w:rPr>
          <w:rFonts w:hint="eastAsia" w:ascii="仿宋_GB2312" w:hAnsi="仿宋_GB2312" w:cs="仿宋_GB2312"/>
          <w:color w:val="auto"/>
          <w:spacing w:val="0"/>
          <w:kern w:val="21"/>
          <w:sz w:val="32"/>
          <w:szCs w:val="32"/>
        </w:rPr>
        <w:t>，累计促成产学研合作和成果转化1000项，落地转化企业100家以上。</w:t>
      </w:r>
    </w:p>
    <w:p w14:paraId="7714CAD9">
      <w:pPr>
        <w:pStyle w:val="2"/>
        <w:rPr>
          <w:rFonts w:hint="eastAsia" w:ascii="仿宋_GB2312" w:hAnsi="仿宋_GB2312" w:cs="仿宋_GB2312"/>
          <w:color w:val="auto"/>
          <w:spacing w:val="0"/>
          <w:kern w:val="21"/>
          <w:sz w:val="32"/>
          <w:szCs w:val="32"/>
        </w:rPr>
      </w:pPr>
    </w:p>
    <w:p w14:paraId="129B3142">
      <w:pPr>
        <w:rPr>
          <w:rFonts w:hint="eastAsia" w:ascii="仿宋_GB2312" w:hAnsi="仿宋_GB2312" w:cs="仿宋_GB2312"/>
          <w:color w:val="auto"/>
          <w:spacing w:val="0"/>
          <w:kern w:val="21"/>
          <w:sz w:val="32"/>
          <w:szCs w:val="32"/>
        </w:rPr>
      </w:pPr>
    </w:p>
    <w:p w14:paraId="34E2BD60">
      <w:pPr>
        <w:pStyle w:val="2"/>
        <w:rPr>
          <w:rFonts w:hint="eastAsia" w:ascii="仿宋_GB2312" w:hAnsi="仿宋_GB2312" w:cs="仿宋_GB2312"/>
          <w:color w:val="auto"/>
          <w:spacing w:val="0"/>
          <w:kern w:val="21"/>
          <w:sz w:val="32"/>
          <w:szCs w:val="32"/>
        </w:rPr>
      </w:pPr>
    </w:p>
    <w:p w14:paraId="6F1434EA">
      <w:pPr>
        <w:rPr>
          <w:rFonts w:hint="eastAsia" w:ascii="仿宋_GB2312" w:hAnsi="仿宋_GB2312" w:cs="仿宋_GB2312"/>
          <w:color w:val="auto"/>
          <w:spacing w:val="0"/>
          <w:kern w:val="21"/>
          <w:sz w:val="32"/>
          <w:szCs w:val="32"/>
        </w:rPr>
      </w:pPr>
    </w:p>
    <w:p w14:paraId="256D0EE2">
      <w:pPr>
        <w:pStyle w:val="2"/>
        <w:rPr>
          <w:rFonts w:hint="eastAsia"/>
          <w:color w:val="auto"/>
        </w:rPr>
      </w:pPr>
    </w:p>
    <w:p w14:paraId="242BECEB">
      <w:pPr>
        <w:pStyle w:val="3"/>
        <w:keepNext w:val="0"/>
        <w:keepLines w:val="0"/>
        <w:pageBreakBefore w:val="0"/>
        <w:widowControl w:val="0"/>
        <w:kinsoku/>
        <w:wordWrap/>
        <w:overflowPunct w:val="0"/>
        <w:topLinePunct w:val="0"/>
        <w:autoSpaceDE/>
        <w:autoSpaceDN/>
        <w:bidi w:val="0"/>
        <w:adjustRightInd/>
        <w:snapToGrid/>
        <w:spacing w:before="0" w:after="0" w:afterAutospacing="0" w:line="240" w:lineRule="exact"/>
        <w:ind w:left="0"/>
        <w:textAlignment w:val="auto"/>
        <w:rPr>
          <w:rFonts w:hint="eastAsia" w:ascii="仿宋_GB2312" w:hAnsi="仿宋_GB2312" w:cs="仿宋_GB2312"/>
          <w:color w:val="auto"/>
          <w:spacing w:val="0"/>
          <w:kern w:val="21"/>
          <w:sz w:val="18"/>
          <w:szCs w:val="18"/>
        </w:rPr>
      </w:pPr>
    </w:p>
    <w:tbl>
      <w:tblPr>
        <w:tblStyle w:val="16"/>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7"/>
      </w:tblGrid>
      <w:tr w14:paraId="4FB6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837" w:type="dxa"/>
            <w:vAlign w:val="center"/>
          </w:tcPr>
          <w:p w14:paraId="1931EAE2">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eastAsia="zh-CN"/>
              </w:rPr>
            </w:pPr>
            <w:bookmarkStart w:id="48" w:name="_Hlk206147695"/>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2</w:t>
            </w:r>
            <w:r>
              <w:rPr>
                <w:rFonts w:hint="eastAsia" w:ascii="黑体" w:hAnsi="黑体" w:eastAsia="黑体" w:cs="黑体"/>
                <w:b w:val="0"/>
                <w:bCs w:val="0"/>
                <w:color w:val="auto"/>
                <w:spacing w:val="0"/>
                <w:kern w:val="21"/>
                <w:sz w:val="25"/>
                <w:szCs w:val="25"/>
                <w:highlight w:val="none"/>
                <w:u w:val="none"/>
              </w:rPr>
              <w:t xml:space="preserve"> 重点</w:t>
            </w:r>
            <w:r>
              <w:rPr>
                <w:rFonts w:hint="eastAsia" w:ascii="黑体" w:hAnsi="黑体" w:eastAsia="黑体" w:cs="黑体"/>
                <w:b w:val="0"/>
                <w:bCs w:val="0"/>
                <w:color w:val="auto"/>
                <w:spacing w:val="0"/>
                <w:kern w:val="21"/>
                <w:sz w:val="25"/>
                <w:szCs w:val="25"/>
                <w:highlight w:val="none"/>
                <w:u w:val="none"/>
                <w:lang w:val="en-US" w:eastAsia="zh-CN"/>
              </w:rPr>
              <w:t>支持的</w:t>
            </w:r>
            <w:r>
              <w:rPr>
                <w:rFonts w:hint="eastAsia" w:ascii="黑体" w:hAnsi="黑体" w:eastAsia="黑体" w:cs="黑体"/>
                <w:b w:val="0"/>
                <w:bCs w:val="0"/>
                <w:color w:val="auto"/>
                <w:spacing w:val="0"/>
                <w:kern w:val="21"/>
                <w:sz w:val="25"/>
                <w:szCs w:val="25"/>
                <w:highlight w:val="none"/>
                <w:u w:val="none"/>
              </w:rPr>
              <w:t>产业</w:t>
            </w:r>
            <w:r>
              <w:rPr>
                <w:rFonts w:hint="eastAsia" w:ascii="黑体" w:hAnsi="黑体" w:eastAsia="黑体" w:cs="黑体"/>
                <w:b w:val="0"/>
                <w:bCs w:val="0"/>
                <w:color w:val="auto"/>
                <w:spacing w:val="0"/>
                <w:kern w:val="21"/>
                <w:sz w:val="25"/>
                <w:szCs w:val="25"/>
                <w:highlight w:val="none"/>
                <w:u w:val="none"/>
                <w:lang w:val="en-US" w:eastAsia="zh-CN"/>
              </w:rPr>
              <w:t>技术</w:t>
            </w:r>
            <w:r>
              <w:rPr>
                <w:rFonts w:hint="eastAsia" w:ascii="黑体" w:hAnsi="黑体" w:eastAsia="黑体" w:cs="黑体"/>
                <w:b w:val="0"/>
                <w:bCs w:val="0"/>
                <w:color w:val="auto"/>
                <w:spacing w:val="0"/>
                <w:kern w:val="21"/>
                <w:sz w:val="25"/>
                <w:szCs w:val="25"/>
                <w:highlight w:val="none"/>
                <w:u w:val="none"/>
              </w:rPr>
              <w:t>攻关</w:t>
            </w:r>
            <w:r>
              <w:rPr>
                <w:rFonts w:hint="eastAsia" w:ascii="黑体" w:hAnsi="黑体" w:eastAsia="黑体" w:cs="黑体"/>
                <w:b w:val="0"/>
                <w:bCs w:val="0"/>
                <w:color w:val="auto"/>
                <w:spacing w:val="0"/>
                <w:kern w:val="21"/>
                <w:sz w:val="25"/>
                <w:szCs w:val="25"/>
                <w:highlight w:val="none"/>
                <w:u w:val="none"/>
                <w:lang w:val="en-US" w:eastAsia="zh-CN"/>
              </w:rPr>
              <w:t>方向</w:t>
            </w:r>
          </w:p>
        </w:tc>
      </w:tr>
      <w:tr w14:paraId="6166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2" w:hRule="atLeast"/>
          <w:jc w:val="center"/>
        </w:trPr>
        <w:tc>
          <w:tcPr>
            <w:tcW w:w="8837" w:type="dxa"/>
          </w:tcPr>
          <w:p w14:paraId="487CA996">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“7+25”现代产业链群重点技术攻关。</w:t>
            </w:r>
            <w:r>
              <w:rPr>
                <w:rFonts w:hint="eastAsia" w:ascii="宋体" w:hAnsi="宋体" w:eastAsia="宋体" w:cs="宋体"/>
                <w:color w:val="auto"/>
                <w:spacing w:val="0"/>
                <w:kern w:val="21"/>
                <w:sz w:val="22"/>
                <w:szCs w:val="22"/>
                <w:highlight w:val="none"/>
                <w:u w:val="none"/>
              </w:rPr>
              <w:t>现代能源化工。</w:t>
            </w:r>
            <w:r>
              <w:rPr>
                <w:rFonts w:hint="eastAsia" w:ascii="宋体" w:hAnsi="宋体" w:eastAsia="宋体" w:cs="宋体"/>
                <w:color w:val="auto"/>
                <w:spacing w:val="0"/>
                <w:kern w:val="21"/>
                <w:sz w:val="22"/>
                <w:szCs w:val="22"/>
                <w:highlight w:val="none"/>
                <w:u w:val="none"/>
                <w:lang w:val="en-US" w:eastAsia="zh-CN"/>
              </w:rPr>
              <w:t>支持</w:t>
            </w:r>
            <w:r>
              <w:rPr>
                <w:rFonts w:hint="eastAsia" w:ascii="宋体" w:hAnsi="宋体" w:eastAsia="宋体" w:cs="宋体"/>
                <w:color w:val="auto"/>
                <w:spacing w:val="0"/>
                <w:kern w:val="21"/>
                <w:sz w:val="22"/>
                <w:szCs w:val="22"/>
                <w:highlight w:val="none"/>
                <w:u w:val="none"/>
              </w:rPr>
              <w:t>致密油气精细化开发、煤层气制氢固碳综合利用、极薄煤层绿色智能综采、超临界CO</w:t>
            </w:r>
            <w:r>
              <w:rPr>
                <w:rFonts w:hint="eastAsia" w:ascii="宋体" w:hAnsi="宋体" w:eastAsia="宋体" w:cs="宋体"/>
                <w:color w:val="auto"/>
                <w:spacing w:val="0"/>
                <w:kern w:val="21"/>
                <w:sz w:val="28"/>
                <w:szCs w:val="28"/>
                <w:highlight w:val="none"/>
                <w:u w:val="none"/>
                <w:vertAlign w:val="subscript"/>
              </w:rPr>
              <w:t>2</w:t>
            </w:r>
            <w:r>
              <w:rPr>
                <w:rFonts w:hint="eastAsia" w:ascii="宋体" w:hAnsi="宋体" w:eastAsia="宋体" w:cs="宋体"/>
                <w:color w:val="auto"/>
                <w:spacing w:val="0"/>
                <w:kern w:val="21"/>
                <w:sz w:val="22"/>
                <w:szCs w:val="22"/>
                <w:highlight w:val="none"/>
                <w:u w:val="none"/>
              </w:rPr>
              <w:t>（S-CO</w:t>
            </w:r>
            <w:r>
              <w:rPr>
                <w:rFonts w:hint="eastAsia" w:ascii="宋体" w:hAnsi="宋体" w:eastAsia="宋体" w:cs="宋体"/>
                <w:color w:val="auto"/>
                <w:spacing w:val="0"/>
                <w:kern w:val="21"/>
                <w:sz w:val="28"/>
                <w:szCs w:val="28"/>
                <w:highlight w:val="none"/>
                <w:u w:val="none"/>
                <w:vertAlign w:val="subscript"/>
              </w:rPr>
              <w:t>2</w:t>
            </w:r>
            <w:r>
              <w:rPr>
                <w:rFonts w:hint="eastAsia" w:ascii="宋体" w:hAnsi="宋体" w:eastAsia="宋体" w:cs="宋体"/>
                <w:color w:val="auto"/>
                <w:spacing w:val="0"/>
                <w:kern w:val="21"/>
                <w:sz w:val="22"/>
                <w:szCs w:val="22"/>
                <w:highlight w:val="none"/>
                <w:u w:val="none"/>
              </w:rPr>
              <w:t>）发电等技术的研发应用。先进装备制造及新材料。</w:t>
            </w:r>
            <w:r>
              <w:rPr>
                <w:rFonts w:hint="eastAsia" w:ascii="宋体" w:hAnsi="宋体" w:eastAsia="宋体" w:cs="宋体"/>
                <w:color w:val="auto"/>
                <w:spacing w:val="0"/>
                <w:kern w:val="21"/>
                <w:sz w:val="22"/>
                <w:szCs w:val="22"/>
                <w:highlight w:val="none"/>
                <w:u w:val="none"/>
                <w:lang w:val="en-US" w:eastAsia="zh-CN"/>
              </w:rPr>
              <w:t>支持</w:t>
            </w:r>
            <w:r>
              <w:rPr>
                <w:rFonts w:hint="eastAsia" w:ascii="宋体" w:hAnsi="宋体" w:eastAsia="宋体" w:cs="宋体"/>
                <w:color w:val="auto"/>
                <w:spacing w:val="0"/>
                <w:kern w:val="21"/>
                <w:sz w:val="22"/>
                <w:szCs w:val="22"/>
                <w:highlight w:val="none"/>
                <w:u w:val="none"/>
              </w:rPr>
              <w:t>天然气输送用一体式压缩机、煤矿掘锚一体机、新一代光伏组件、高性能分离膜材料等技术的研发应用。苹果及特色食品。开展苹果新优品种选育示范推广，加大采后贮藏保鲜、冷链物流、精深加工、综合利用、质量控制等环节科研攻关，在特色食品、中药材原料种植养殖、生产加工环节开展科技研究。现代物流。支持物流仓储智能控制、无人驾驶物流车、物联网（IoT）和智能追踪、物流区块链等技术的研发应用。现代金融。支持移动支付、区块链金融、金融数据集成、云存证等技术的研发应用。数字经济。围绕新型基础设施、数字产业化、产业数字化与数字化治理开展科研攻关，提升数字经济核心竞争力。文化旅游。运用科技手段深度挖掘红色文化资源内涵，支持红色文创开发研究、智能旅游开发、数字革命文物、数字博物馆等技术的研发应用。</w:t>
            </w:r>
          </w:p>
          <w:p w14:paraId="26D3A620">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textAlignment w:val="auto"/>
              <w:rPr>
                <w:rFonts w:hint="eastAsia" w:ascii="仿宋_GB2312" w:hAnsi="仿宋_GB2312" w:cs="仿宋_GB2312"/>
                <w:color w:val="auto"/>
                <w:spacing w:val="0"/>
                <w:kern w:val="21"/>
                <w:sz w:val="30"/>
                <w:szCs w:val="30"/>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新兴未来产业重点技术攻关。</w:t>
            </w:r>
            <w:r>
              <w:rPr>
                <w:rFonts w:hint="eastAsia" w:ascii="宋体" w:hAnsi="宋体" w:eastAsia="宋体" w:cs="宋体"/>
                <w:color w:val="auto"/>
                <w:spacing w:val="0"/>
                <w:kern w:val="21"/>
                <w:sz w:val="22"/>
                <w:szCs w:val="22"/>
                <w:highlight w:val="none"/>
                <w:u w:val="none"/>
              </w:rPr>
              <w:t>支持无人机零部件、无人机软件及系统、无人机同城配送技术、智能无人安全装备研发制造等</w:t>
            </w:r>
            <w:r>
              <w:rPr>
                <w:rFonts w:hint="eastAsia" w:ascii="宋体" w:hAnsi="宋体" w:eastAsia="宋体" w:cs="宋体"/>
                <w:color w:val="auto"/>
                <w:spacing w:val="0"/>
                <w:kern w:val="21"/>
                <w:sz w:val="22"/>
                <w:szCs w:val="22"/>
                <w:highlight w:val="none"/>
                <w:u w:val="none"/>
                <w:lang w:val="en-US" w:eastAsia="zh-CN"/>
              </w:rPr>
              <w:t>研发应用</w:t>
            </w:r>
            <w:r>
              <w:rPr>
                <w:rFonts w:hint="eastAsia" w:ascii="宋体" w:hAnsi="宋体" w:eastAsia="宋体" w:cs="宋体"/>
                <w:color w:val="auto"/>
                <w:spacing w:val="0"/>
                <w:kern w:val="21"/>
                <w:sz w:val="22"/>
                <w:szCs w:val="22"/>
                <w:highlight w:val="none"/>
                <w:u w:val="none"/>
              </w:rPr>
              <w:t>。支持储能电池集成技术、电解水制氢离子膜技术、储能电池回收拆解利用技术等研发应用。支持人工智能基础算法、视觉感知技术、自然语言处理技术、生物特征识别技术、人机交互技术、自主决策控制技术、工业机器人等研发应用。</w:t>
            </w:r>
          </w:p>
        </w:tc>
      </w:tr>
      <w:bookmarkEnd w:id="48"/>
    </w:tbl>
    <w:p w14:paraId="6A6C886E">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49" w:name="_Toc12833"/>
      <w:bookmarkStart w:id="50" w:name="_Toc14120"/>
      <w:bookmarkStart w:id="51" w:name="_Toc1003"/>
    </w:p>
    <w:p w14:paraId="61CD8357">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四</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一体推进教育科技人才发展</w:t>
      </w:r>
      <w:bookmarkEnd w:id="49"/>
      <w:bookmarkEnd w:id="50"/>
      <w:bookmarkEnd w:id="51"/>
    </w:p>
    <w:p w14:paraId="5306AF57">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楷体_GB2312" w:hAnsi="楷体_GB2312" w:eastAsia="楷体_GB2312" w:cs="楷体_GB2312"/>
          <w:b w:val="0"/>
          <w:bCs w:val="0"/>
          <w:color w:val="auto"/>
          <w:spacing w:val="0"/>
          <w:kern w:val="21"/>
          <w:sz w:val="32"/>
          <w:szCs w:val="32"/>
        </w:rPr>
      </w:pPr>
    </w:p>
    <w:p w14:paraId="6F7494EF">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完善科教协同育人机制。</w:t>
      </w:r>
      <w:r>
        <w:rPr>
          <w:rFonts w:hint="eastAsia" w:ascii="仿宋_GB2312" w:hAnsi="仿宋_GB2312" w:eastAsia="仿宋_GB2312" w:cs="仿宋_GB2312"/>
          <w:b w:val="0"/>
          <w:bCs w:val="0"/>
          <w:color w:val="auto"/>
          <w:spacing w:val="0"/>
          <w:kern w:val="21"/>
          <w:sz w:val="32"/>
          <w:szCs w:val="32"/>
        </w:rPr>
        <w:t>健全教育发展体系、科技攻关体系、企业创新体系、人才培养体系和“四链”融合体系，进一步深化教育科技人才体制机制一体改革，完善政策路径设计，畅通教育到人才成长路径、人才到科技生成路径、科技到产业转化路径，加速科技成果转化为现实生产力。支持延安大学和职业技术学院更好对接延安产业发展，以地方技术需求为导向，深化产学研合作和人才培引，建立企业出题、学校答题、联合育人机制，优化专业设置，培养一批实用型科技人才。大力实施人才强市战略、“圣地英才计划”和“创新人才攀登行动”，健全完善人才培养、使用、评价、服务、支持、激励全链条机制，激发人才创新创造活力。</w:t>
      </w:r>
      <w:r>
        <w:rPr>
          <w:rFonts w:hint="eastAsia" w:ascii="仿宋_GB2312" w:hAnsi="仿宋_GB2312" w:cs="仿宋_GB2312"/>
          <w:b w:val="0"/>
          <w:bCs w:val="0"/>
          <w:color w:val="auto"/>
          <w:spacing w:val="0"/>
          <w:kern w:val="21"/>
          <w:sz w:val="32"/>
          <w:szCs w:val="32"/>
          <w:lang w:val="en-US" w:eastAsia="zh-CN"/>
        </w:rPr>
        <w:t>到</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十五五</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末，“创新人才攀登行动”人才</w:t>
      </w:r>
      <w:r>
        <w:rPr>
          <w:rFonts w:hint="eastAsia" w:ascii="仿宋_GB2312" w:hAnsi="仿宋_GB2312" w:cs="仿宋_GB2312"/>
          <w:b w:val="0"/>
          <w:bCs w:val="0"/>
          <w:color w:val="auto"/>
          <w:spacing w:val="0"/>
          <w:kern w:val="21"/>
          <w:sz w:val="32"/>
          <w:szCs w:val="32"/>
          <w:lang w:eastAsia="zh-CN"/>
        </w:rPr>
        <w:t>达到</w:t>
      </w:r>
      <w:r>
        <w:rPr>
          <w:rFonts w:hint="eastAsia" w:ascii="仿宋_GB2312" w:hAnsi="仿宋_GB2312" w:cs="仿宋_GB2312"/>
          <w:b w:val="0"/>
          <w:bCs w:val="0"/>
          <w:color w:val="auto"/>
          <w:spacing w:val="0"/>
          <w:kern w:val="21"/>
          <w:sz w:val="32"/>
          <w:szCs w:val="32"/>
          <w:lang w:val="en-US" w:eastAsia="zh-CN"/>
        </w:rPr>
        <w:t>1</w:t>
      </w:r>
      <w:r>
        <w:rPr>
          <w:rFonts w:hint="eastAsia" w:ascii="仿宋_GB2312" w:hAnsi="仿宋_GB2312" w:eastAsia="仿宋_GB2312" w:cs="仿宋_GB2312"/>
          <w:b w:val="0"/>
          <w:bCs w:val="0"/>
          <w:color w:val="auto"/>
          <w:spacing w:val="0"/>
          <w:kern w:val="21"/>
          <w:sz w:val="32"/>
          <w:szCs w:val="32"/>
        </w:rPr>
        <w:t>80人</w:t>
      </w:r>
      <w:r>
        <w:rPr>
          <w:rFonts w:hint="eastAsia" w:ascii="仿宋_GB2312" w:hAnsi="仿宋_GB2312" w:cs="仿宋_GB2312"/>
          <w:color w:val="auto"/>
          <w:spacing w:val="0"/>
          <w:kern w:val="21"/>
          <w:sz w:val="32"/>
          <w:szCs w:val="32"/>
        </w:rPr>
        <w:t>。</w:t>
      </w:r>
    </w:p>
    <w:p w14:paraId="21FEFF75">
      <w:pPr>
        <w:keepNext w:val="0"/>
        <w:keepLines w:val="0"/>
        <w:pageBreakBefore w:val="0"/>
        <w:widowControl w:val="0"/>
        <w:kinsoku/>
        <w:wordWrap/>
        <w:overflowPunct w:val="0"/>
        <w:topLinePunct w:val="0"/>
        <w:autoSpaceDE/>
        <w:autoSpaceDN/>
        <w:bidi w:val="0"/>
        <w:adjustRightInd/>
        <w:snapToGrid/>
        <w:spacing w:afterAutospacing="0" w:line="59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创新引才用才模式。</w:t>
      </w:r>
      <w:r>
        <w:rPr>
          <w:rFonts w:hint="eastAsia" w:ascii="仿宋_GB2312" w:hAnsi="仿宋_GB2312" w:cs="仿宋_GB2312"/>
          <w:color w:val="auto"/>
          <w:spacing w:val="0"/>
          <w:kern w:val="21"/>
          <w:sz w:val="32"/>
          <w:szCs w:val="32"/>
        </w:rPr>
        <w:t>建立动态重点产业紧缺人才需求目录发布制度，推行“项目+人才”“组团式引才”“校招共用”等引才模式，引进一批产业急需紧缺的科技人才、创新创业团队和院士专家团队，培养造就一批高水平专业技术人才队伍。加强与省内外高校院所和科研机构合作，发挥现有院士专家工作站、产业链专家服务团作用，促进科技人才在高校院所、科研机构与企业间“双向流动”，探索“科技副总”“产业导师”等引才育才用才模式。健全以创新能力、实绩、贡献为导向的专业技术人才职称评审体系，深化项目评审、机构评估、人才评价、收入分配改革。传承和弘扬科学家精神、工匠精神，加强科学技术普及，厚植创新文化。</w:t>
      </w:r>
    </w:p>
    <w:p w14:paraId="0CD2F115">
      <w:pPr>
        <w:keepNext w:val="0"/>
        <w:keepLines w:val="0"/>
        <w:pageBreakBefore w:val="0"/>
        <w:widowControl w:val="0"/>
        <w:kinsoku/>
        <w:wordWrap/>
        <w:overflowPunct w:val="0"/>
        <w:topLinePunct w:val="0"/>
        <w:autoSpaceDE/>
        <w:autoSpaceDN/>
        <w:bidi w:val="0"/>
        <w:spacing w:afterAutospacing="0"/>
        <w:ind w:left="0"/>
        <w:textAlignment w:val="auto"/>
        <w:rPr>
          <w:rFonts w:hint="eastAsia"/>
          <w:color w:val="auto"/>
          <w:spacing w:val="0"/>
          <w:kern w:val="21"/>
          <w:sz w:val="30"/>
          <w:szCs w:val="30"/>
        </w:rPr>
      </w:pPr>
      <w:bookmarkStart w:id="52" w:name="_Toc19125"/>
      <w:bookmarkStart w:id="53" w:name="_Toc11812"/>
      <w:bookmarkStart w:id="54" w:name="_Toc22286"/>
      <w:r>
        <w:rPr>
          <w:rFonts w:hint="eastAsia"/>
          <w:color w:val="auto"/>
          <w:spacing w:val="0"/>
          <w:kern w:val="21"/>
          <w:sz w:val="30"/>
          <w:szCs w:val="30"/>
        </w:rPr>
        <w:br w:type="page"/>
      </w:r>
    </w:p>
    <w:p w14:paraId="17362661">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rPr>
          <w:rFonts w:hint="eastAsia"/>
          <w:color w:val="auto"/>
          <w:spacing w:val="0"/>
          <w:kern w:val="21"/>
        </w:rPr>
      </w:pPr>
    </w:p>
    <w:p w14:paraId="685CC961">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8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第四篇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加快激发内需潜力 主动融入和服务构建</w:t>
      </w:r>
    </w:p>
    <w:p w14:paraId="5322D99D">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8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新发展格局</w:t>
      </w:r>
      <w:bookmarkEnd w:id="52"/>
      <w:bookmarkEnd w:id="53"/>
      <w:bookmarkEnd w:id="54"/>
    </w:p>
    <w:p w14:paraId="465612CC">
      <w:pPr>
        <w:keepNext w:val="0"/>
        <w:keepLines w:val="0"/>
        <w:pageBreakBefore w:val="0"/>
        <w:widowControl w:val="0"/>
        <w:kinsoku/>
        <w:wordWrap/>
        <w:overflowPunct w:val="0"/>
        <w:topLinePunct w:val="0"/>
        <w:autoSpaceDE/>
        <w:autoSpaceDN/>
        <w:bidi w:val="0"/>
        <w:adjustRightInd/>
        <w:snapToGrid/>
        <w:spacing w:afterAutospacing="0" w:line="500" w:lineRule="exact"/>
        <w:ind w:left="0" w:firstLine="640"/>
        <w:textAlignment w:val="auto"/>
        <w:rPr>
          <w:rFonts w:hint="eastAsia" w:ascii="仿宋_GB2312" w:hAnsi="仿宋_GB2312" w:eastAsia="仿宋_GB2312" w:cs="仿宋_GB2312"/>
          <w:b w:val="0"/>
          <w:bCs/>
          <w:color w:val="auto"/>
          <w:spacing w:val="0"/>
          <w:kern w:val="21"/>
          <w:sz w:val="30"/>
          <w:szCs w:val="30"/>
        </w:rPr>
      </w:pPr>
    </w:p>
    <w:p w14:paraId="37F5717A">
      <w:pPr>
        <w:keepNext w:val="0"/>
        <w:keepLines w:val="0"/>
        <w:pageBreakBefore w:val="0"/>
        <w:widowControl w:val="0"/>
        <w:kinsoku/>
        <w:wordWrap/>
        <w:overflowPunct w:val="0"/>
        <w:topLinePunct w:val="0"/>
        <w:autoSpaceDE/>
        <w:autoSpaceDN/>
        <w:bidi w:val="0"/>
        <w:adjustRightInd/>
        <w:snapToGrid/>
        <w:spacing w:afterAutospacing="0" w:line="58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rPr>
        <w:t>坚持惠民生和促消费、投资于物和投资于人紧密结合，推动投资与消费相互促进、政策与项目协同增效，为稳定经济增长、畅通经济循环、构建新发展格局提供市场空间。</w:t>
      </w:r>
    </w:p>
    <w:p w14:paraId="248EE18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80" w:lineRule="exact"/>
        <w:ind w:left="0"/>
        <w:textAlignment w:val="auto"/>
        <w:rPr>
          <w:rFonts w:hint="eastAsia"/>
          <w:color w:val="auto"/>
          <w:spacing w:val="0"/>
          <w:kern w:val="21"/>
          <w:sz w:val="32"/>
          <w:szCs w:val="32"/>
        </w:rPr>
      </w:pPr>
      <w:bookmarkStart w:id="55" w:name="_Toc17813"/>
      <w:bookmarkStart w:id="56" w:name="_Toc420"/>
      <w:bookmarkStart w:id="57" w:name="_Toc10274"/>
    </w:p>
    <w:p w14:paraId="05EA9CC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80" w:lineRule="exact"/>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五</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大力提振消费</w:t>
      </w:r>
      <w:bookmarkEnd w:id="55"/>
      <w:bookmarkEnd w:id="56"/>
      <w:bookmarkEnd w:id="57"/>
    </w:p>
    <w:p w14:paraId="78968C01">
      <w:pPr>
        <w:keepNext w:val="0"/>
        <w:keepLines w:val="0"/>
        <w:pageBreakBefore w:val="0"/>
        <w:widowControl w:val="0"/>
        <w:kinsoku/>
        <w:wordWrap/>
        <w:overflowPunct w:val="0"/>
        <w:topLinePunct w:val="0"/>
        <w:autoSpaceDE/>
        <w:autoSpaceDN/>
        <w:bidi w:val="0"/>
        <w:adjustRightInd/>
        <w:snapToGrid/>
        <w:spacing w:afterAutospacing="0" w:line="580" w:lineRule="exact"/>
        <w:ind w:left="0" w:firstLine="640"/>
        <w:textAlignment w:val="auto"/>
        <w:rPr>
          <w:rFonts w:hint="eastAsia" w:ascii="楷体_GB2312" w:hAnsi="楷体_GB2312" w:eastAsia="楷体_GB2312" w:cs="楷体_GB2312"/>
          <w:b w:val="0"/>
          <w:bCs w:val="0"/>
          <w:color w:val="auto"/>
          <w:spacing w:val="0"/>
          <w:kern w:val="21"/>
          <w:sz w:val="32"/>
          <w:szCs w:val="32"/>
        </w:rPr>
      </w:pPr>
    </w:p>
    <w:p w14:paraId="502021EE">
      <w:pPr>
        <w:keepNext w:val="0"/>
        <w:keepLines w:val="0"/>
        <w:pageBreakBefore w:val="0"/>
        <w:widowControl w:val="0"/>
        <w:kinsoku/>
        <w:wordWrap/>
        <w:overflowPunct w:val="0"/>
        <w:topLinePunct w:val="0"/>
        <w:autoSpaceDE/>
        <w:autoSpaceDN/>
        <w:bidi w:val="0"/>
        <w:adjustRightInd/>
        <w:snapToGrid/>
        <w:spacing w:afterAutospacing="0" w:line="580" w:lineRule="exact"/>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推动商品消费扩容升级。</w:t>
      </w:r>
      <w:r>
        <w:rPr>
          <w:rFonts w:hint="eastAsia" w:ascii="仿宋_GB2312" w:hAnsi="仿宋_GB2312" w:cs="仿宋_GB2312"/>
          <w:color w:val="auto"/>
          <w:spacing w:val="0"/>
          <w:kern w:val="21"/>
          <w:sz w:val="32"/>
          <w:szCs w:val="32"/>
        </w:rPr>
        <w:t>实施提振消费专项行动，强化品牌引领、标准升级、新技术应用，</w:t>
      </w:r>
      <w:r>
        <w:rPr>
          <w:rFonts w:hint="eastAsia" w:ascii="仿宋_GB2312" w:hAnsi="仿宋_GB2312" w:cs="仿宋_GB2312"/>
          <w:color w:val="auto"/>
          <w:spacing w:val="0"/>
          <w:kern w:val="21"/>
          <w:sz w:val="32"/>
          <w:szCs w:val="32"/>
          <w:lang w:val="en-US" w:eastAsia="zh-CN"/>
        </w:rPr>
        <w:t>持续加大消费品以旧换新，推动汽车、家电、数码、智能产品等消费品绿色化、智能化升级，释放大宗商品消费潜力。</w:t>
      </w:r>
      <w:r>
        <w:rPr>
          <w:rFonts w:hint="eastAsia" w:ascii="仿宋_GB2312" w:hAnsi="仿宋_GB2312" w:cs="仿宋_GB2312"/>
          <w:color w:val="auto"/>
          <w:spacing w:val="0"/>
          <w:kern w:val="21"/>
          <w:sz w:val="32"/>
          <w:szCs w:val="32"/>
        </w:rPr>
        <w:t>完善汽车后市场服务，规范发展二手车交易行为，推动流通便利化。以</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购在中国</w:t>
      </w:r>
      <w:r>
        <w:rPr>
          <w:rFonts w:hint="eastAsia" w:ascii="仿宋_GB2312" w:hAnsi="仿宋_GB2312" w:cs="仿宋_GB2312"/>
          <w:color w:val="auto"/>
          <w:spacing w:val="0"/>
          <w:kern w:val="21"/>
          <w:sz w:val="32"/>
          <w:szCs w:val="32"/>
          <w:lang w:val="en-US" w:eastAsia="zh-CN"/>
        </w:rPr>
        <w:t>·</w:t>
      </w:r>
      <w:r>
        <w:rPr>
          <w:rFonts w:hint="eastAsia" w:ascii="仿宋_GB2312" w:hAnsi="仿宋_GB2312" w:cs="仿宋_GB2312"/>
          <w:color w:val="auto"/>
          <w:spacing w:val="0"/>
          <w:kern w:val="21"/>
          <w:sz w:val="32"/>
          <w:szCs w:val="32"/>
        </w:rPr>
        <w:t>陕亮生活</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为主题，举办“网上年货节”“汽车展览会”等各类促消费活动，鼓励商贸企业分时节举办购物节以及线上线下促销让利活动。</w:t>
      </w:r>
    </w:p>
    <w:p w14:paraId="51C260EC">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大力发展服务消费。</w:t>
      </w:r>
      <w:r>
        <w:rPr>
          <w:rFonts w:hint="eastAsia" w:ascii="仿宋_GB2312" w:hAnsi="仿宋_GB2312" w:eastAsia="仿宋_GB2312" w:cs="仿宋_GB2312"/>
          <w:b w:val="0"/>
          <w:bCs w:val="0"/>
          <w:color w:val="auto"/>
          <w:spacing w:val="0"/>
          <w:kern w:val="21"/>
          <w:sz w:val="32"/>
          <w:szCs w:val="32"/>
          <w:lang w:val="en-US" w:eastAsia="zh-CN"/>
        </w:rPr>
        <w:t>实施</w:t>
      </w:r>
      <w:r>
        <w:rPr>
          <w:rFonts w:hint="eastAsia" w:ascii="仿宋_GB2312" w:hAnsi="仿宋_GB2312" w:eastAsia="仿宋_GB2312" w:cs="仿宋_GB2312"/>
          <w:b w:val="0"/>
          <w:bCs w:val="0"/>
          <w:color w:val="auto"/>
          <w:spacing w:val="0"/>
          <w:kern w:val="21"/>
          <w:sz w:val="32"/>
          <w:szCs w:val="32"/>
        </w:rPr>
        <w:t>服务消费提质惠民行动</w:t>
      </w:r>
      <w:r>
        <w:rPr>
          <w:rFonts w:hint="eastAsia" w:ascii="仿宋_GB2312" w:hAnsi="仿宋_GB2312" w:eastAsia="仿宋_GB2312" w:cs="仿宋_GB2312"/>
          <w:b w:val="0"/>
          <w:bCs w:val="0"/>
          <w:color w:val="auto"/>
          <w:spacing w:val="0"/>
          <w:kern w:val="21"/>
          <w:sz w:val="32"/>
          <w:szCs w:val="32"/>
          <w:lang w:eastAsia="zh-CN"/>
        </w:rPr>
        <w:t>，</w:t>
      </w:r>
      <w:r>
        <w:rPr>
          <w:rFonts w:hint="eastAsia" w:ascii="仿宋_GB2312" w:hAnsi="仿宋_GB2312" w:cs="仿宋_GB2312"/>
          <w:color w:val="auto"/>
          <w:spacing w:val="0"/>
          <w:kern w:val="21"/>
          <w:sz w:val="32"/>
          <w:szCs w:val="32"/>
        </w:rPr>
        <w:t>扩大家政、养老、健康、体育、会展消费等多元化服务供给。支持员工制家政企业发展，推动家政进社区和品牌建设，优化家政服务信用信息平台和“家政信用查”功能。鼓励有条件的物业服务企业发展“物业服务+生活服务”模式。推进医养结合发展，鼓励开发满足多样化、个性化健康保障需求的商业健康保险产品。完善服务消费基础设施，增加人均体育</w:t>
      </w:r>
      <w:r>
        <w:rPr>
          <w:rFonts w:hint="eastAsia" w:ascii="仿宋_GB2312" w:hAnsi="仿宋_GB2312" w:cs="仿宋_GB2312"/>
          <w:color w:val="auto"/>
          <w:spacing w:val="0"/>
          <w:kern w:val="21"/>
          <w:sz w:val="32"/>
          <w:szCs w:val="32"/>
          <w:lang w:val="en-US" w:eastAsia="zh-CN"/>
        </w:rPr>
        <w:t>场地</w:t>
      </w:r>
      <w:r>
        <w:rPr>
          <w:rFonts w:hint="eastAsia" w:ascii="仿宋_GB2312" w:hAnsi="仿宋_GB2312" w:cs="仿宋_GB2312"/>
          <w:color w:val="auto"/>
          <w:spacing w:val="0"/>
          <w:kern w:val="21"/>
          <w:sz w:val="32"/>
          <w:szCs w:val="32"/>
        </w:rPr>
        <w:t>面积等，引导传统购物型商超增加休闲娱乐、文化时尚功能。加大人工智能、机器人在服务行业应用，创造更多服务消费场景。创新金融产品和服务，更多嵌入消费场景、融入消费生态，提高金融对服务消费的适配性。</w:t>
      </w:r>
    </w:p>
    <w:p w14:paraId="11BC80E2">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培育发展新型消费。</w:t>
      </w:r>
      <w:r>
        <w:rPr>
          <w:rFonts w:hint="eastAsia" w:ascii="仿宋_GB2312" w:hAnsi="仿宋_GB2312" w:eastAsia="仿宋_GB2312" w:cs="仿宋_GB2312"/>
          <w:b w:val="0"/>
          <w:bCs w:val="0"/>
          <w:color w:val="auto"/>
          <w:spacing w:val="0"/>
          <w:kern w:val="21"/>
          <w:sz w:val="32"/>
          <w:szCs w:val="32"/>
        </w:rPr>
        <w:t>加速推进新型消费渗透，积极发展绿色消费、健康消费、</w:t>
      </w:r>
      <w:r>
        <w:rPr>
          <w:rFonts w:hint="eastAsia" w:ascii="仿宋_GB2312" w:hAnsi="仿宋_GB2312" w:cs="仿宋_GB2312"/>
          <w:b w:val="0"/>
          <w:bCs w:val="0"/>
          <w:color w:val="auto"/>
          <w:spacing w:val="0"/>
          <w:kern w:val="21"/>
          <w:sz w:val="32"/>
          <w:szCs w:val="32"/>
          <w:lang w:val="en-US" w:eastAsia="zh-CN"/>
        </w:rPr>
        <w:t>情绪消费</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数字消费、“人工智能+消费</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IP+消费”等消费新业态新模式</w:t>
      </w:r>
      <w:r>
        <w:rPr>
          <w:rFonts w:hint="eastAsia" w:ascii="仿宋_GB2312" w:hAnsi="仿宋_GB2312" w:cs="仿宋_GB2312"/>
          <w:color w:val="auto"/>
          <w:spacing w:val="0"/>
          <w:kern w:val="21"/>
          <w:sz w:val="32"/>
          <w:szCs w:val="32"/>
        </w:rPr>
        <w:t>。加快线下业态数字化改造和转型升级，构建智慧商圈、智慧街区、智慧门店</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智慧零售等消费新场景，积极发展即时零售业态。促进共享经济和新个体经济发展，拓展无接触式消费体验。推动电子竞技、动漫游戏、社交电商等新兴业态稳步发展，</w:t>
      </w:r>
      <w:r>
        <w:rPr>
          <w:rFonts w:hint="eastAsia" w:ascii="仿宋_GB2312" w:hAnsi="仿宋_GB2312" w:cs="仿宋_GB2312"/>
          <w:color w:val="auto"/>
          <w:spacing w:val="0"/>
          <w:kern w:val="21"/>
          <w:sz w:val="32"/>
          <w:szCs w:val="32"/>
          <w:lang w:val="en-US" w:eastAsia="zh-CN"/>
        </w:rPr>
        <w:t>培育</w:t>
      </w:r>
      <w:r>
        <w:rPr>
          <w:rFonts w:hint="eastAsia" w:ascii="仿宋_GB2312" w:hAnsi="仿宋_GB2312" w:cs="仿宋_GB2312"/>
          <w:color w:val="auto"/>
          <w:spacing w:val="0"/>
          <w:kern w:val="21"/>
          <w:sz w:val="32"/>
          <w:szCs w:val="32"/>
        </w:rPr>
        <w:t>发展</w:t>
      </w:r>
      <w:r>
        <w:rPr>
          <w:rFonts w:hint="eastAsia" w:ascii="仿宋_GB2312" w:hAnsi="仿宋_GB2312" w:cs="仿宋_GB2312"/>
          <w:color w:val="auto"/>
          <w:spacing w:val="0"/>
          <w:kern w:val="21"/>
          <w:sz w:val="32"/>
          <w:szCs w:val="32"/>
          <w:highlight w:val="none"/>
        </w:rPr>
        <w:t>潮玩经济、“谷子经济”</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推进消费场景与品牌创新</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引导金融机构与社交电商、直播电商等开展合作，开发适应互联网特点的业务模式。</w:t>
      </w:r>
      <w:r>
        <w:rPr>
          <w:rFonts w:hint="eastAsia" w:ascii="仿宋_GB2312" w:hAnsi="仿宋_GB2312" w:cs="仿宋_GB2312"/>
          <w:color w:val="auto"/>
          <w:spacing w:val="0"/>
          <w:kern w:val="21"/>
          <w:sz w:val="32"/>
          <w:szCs w:val="32"/>
          <w:lang w:val="en-US" w:eastAsia="zh-CN"/>
        </w:rPr>
        <w:t>推进</w:t>
      </w:r>
      <w:r>
        <w:rPr>
          <w:rFonts w:hint="eastAsia" w:ascii="仿宋_GB2312" w:hAnsi="仿宋_GB2312" w:cs="仿宋_GB2312"/>
          <w:color w:val="auto"/>
          <w:spacing w:val="0"/>
          <w:kern w:val="21"/>
          <w:sz w:val="32"/>
          <w:szCs w:val="32"/>
        </w:rPr>
        <w:t>实施黄陵、洛川、富县、甘泉、</w:t>
      </w:r>
      <w:r>
        <w:rPr>
          <w:rFonts w:hint="eastAsia" w:ascii="仿宋_GB2312" w:hAnsi="仿宋_GB2312" w:cs="仿宋_GB2312"/>
          <w:color w:val="auto"/>
          <w:spacing w:val="0"/>
          <w:kern w:val="21"/>
          <w:sz w:val="32"/>
          <w:szCs w:val="32"/>
          <w:lang w:val="en-US" w:eastAsia="zh-CN"/>
        </w:rPr>
        <w:t>延川</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延安新区</w:t>
      </w:r>
      <w:r>
        <w:rPr>
          <w:rFonts w:hint="eastAsia" w:ascii="仿宋_GB2312" w:hAnsi="仿宋_GB2312" w:cs="仿宋_GB2312"/>
          <w:color w:val="auto"/>
          <w:spacing w:val="0"/>
          <w:kern w:val="21"/>
          <w:sz w:val="32"/>
          <w:szCs w:val="32"/>
          <w:lang w:val="en-US" w:eastAsia="zh-CN"/>
        </w:rPr>
        <w:t>等</w:t>
      </w:r>
      <w:r>
        <w:rPr>
          <w:rFonts w:hint="eastAsia" w:ascii="仿宋_GB2312" w:hAnsi="仿宋_GB2312" w:cs="仿宋_GB2312"/>
          <w:color w:val="auto"/>
          <w:spacing w:val="0"/>
          <w:kern w:val="21"/>
          <w:sz w:val="32"/>
          <w:szCs w:val="32"/>
        </w:rPr>
        <w:t>高铁片区综合开发建设，</w:t>
      </w:r>
      <w:r>
        <w:rPr>
          <w:rFonts w:hint="eastAsia" w:ascii="仿宋_GB2312" w:hAnsi="仿宋_GB2312" w:cs="仿宋_GB2312"/>
          <w:color w:val="auto"/>
          <w:spacing w:val="0"/>
          <w:kern w:val="21"/>
          <w:sz w:val="32"/>
          <w:szCs w:val="32"/>
          <w:lang w:val="en-US" w:eastAsia="zh-CN"/>
        </w:rPr>
        <w:t>培育高铁经济消费新场景。</w:t>
      </w:r>
    </w:p>
    <w:p w14:paraId="7F4C3071">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优化提升消费环境。</w:t>
      </w:r>
      <w:r>
        <w:rPr>
          <w:rFonts w:hint="eastAsia" w:ascii="仿宋_GB2312" w:hAnsi="仿宋_GB2312" w:cs="仿宋_GB2312"/>
          <w:color w:val="auto"/>
          <w:spacing w:val="0"/>
          <w:kern w:val="21"/>
          <w:sz w:val="32"/>
          <w:szCs w:val="32"/>
        </w:rPr>
        <w:t>健全促进消费政策体系，完善促进消费制度机制，落实带薪错峰休假。合理提高公共服务支出占财政支出比重，加大直达消费者的普惠性政策支持力度。推动服务标准化和信用体系建设。强化商业街区、商业网点等领域设施改造，打造一批带动面广、显示度高的消费新场景，加快形成更加便捷、舒适、开放的消费环境。完善城乡消费网络，</w:t>
      </w:r>
      <w:r>
        <w:rPr>
          <w:rFonts w:hint="eastAsia" w:ascii="仿宋_GB2312" w:hAnsi="仿宋_GB2312" w:eastAsia="仿宋_GB2312" w:cs="仿宋_GB2312"/>
          <w:b w:val="0"/>
          <w:bCs/>
          <w:color w:val="auto"/>
          <w:spacing w:val="0"/>
          <w:kern w:val="21"/>
          <w:sz w:val="32"/>
          <w:szCs w:val="32"/>
        </w:rPr>
        <w:t>实施特色商业街区提升工程，每个县</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市、</w:t>
      </w:r>
      <w:r>
        <w:rPr>
          <w:rFonts w:hint="eastAsia" w:ascii="仿宋_GB2312" w:hAnsi="仿宋_GB2312" w:eastAsia="仿宋_GB2312" w:cs="仿宋_GB2312"/>
          <w:b w:val="0"/>
          <w:bCs/>
          <w:color w:val="auto"/>
          <w:spacing w:val="0"/>
          <w:kern w:val="21"/>
          <w:sz w:val="32"/>
          <w:szCs w:val="32"/>
        </w:rPr>
        <w:t>区</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建设一条</w:t>
      </w:r>
      <w:r>
        <w:rPr>
          <w:rFonts w:hint="eastAsia" w:ascii="仿宋_GB2312" w:hAnsi="仿宋_GB2312" w:eastAsia="仿宋_GB2312" w:cs="仿宋_GB2312"/>
          <w:b w:val="0"/>
          <w:bCs/>
          <w:color w:val="auto"/>
          <w:spacing w:val="0"/>
          <w:kern w:val="21"/>
          <w:sz w:val="32"/>
          <w:szCs w:val="32"/>
        </w:rPr>
        <w:t>特色商业街区</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color w:val="auto"/>
          <w:spacing w:val="0"/>
          <w:kern w:val="21"/>
          <w:sz w:val="32"/>
          <w:szCs w:val="32"/>
        </w:rPr>
        <w:t>建设智慧商圈和便民生活圈，推动商贸数字化转型，提升社区消费的便利性。</w:t>
      </w:r>
      <w:r>
        <w:rPr>
          <w:rFonts w:hint="eastAsia" w:ascii="仿宋_GB2312" w:hAnsi="仿宋_GB2312" w:cs="仿宋_GB2312"/>
          <w:color w:val="auto"/>
          <w:spacing w:val="0"/>
          <w:kern w:val="21"/>
          <w:sz w:val="32"/>
          <w:szCs w:val="32"/>
          <w:highlight w:val="none"/>
        </w:rPr>
        <w:t>深入实施县域商业建设行动，</w:t>
      </w:r>
      <w:r>
        <w:rPr>
          <w:rFonts w:hint="eastAsia" w:ascii="仿宋_GB2312" w:hAnsi="仿宋_GB2312" w:cs="仿宋_GB2312"/>
          <w:color w:val="auto"/>
          <w:spacing w:val="0"/>
          <w:kern w:val="21"/>
          <w:sz w:val="32"/>
          <w:szCs w:val="32"/>
        </w:rPr>
        <w:t>支持宝塔、子长、吴起、富县、洛川推进县域商业体系建设。实施优化消费环境提升行动，健全</w:t>
      </w:r>
      <w:r>
        <w:rPr>
          <w:rFonts w:hint="eastAsia" w:ascii="仿宋_GB2312" w:hAnsi="仿宋_GB2312" w:cs="仿宋_GB2312"/>
          <w:color w:val="auto"/>
          <w:spacing w:val="-6"/>
          <w:kern w:val="21"/>
          <w:sz w:val="32"/>
          <w:szCs w:val="32"/>
        </w:rPr>
        <w:t>跨部门协同监管机制，完善多元化消费维权机制和纠纷解决机制</w:t>
      </w:r>
      <w:r>
        <w:rPr>
          <w:rFonts w:hint="eastAsia" w:ascii="仿宋_GB2312" w:hAnsi="仿宋_GB2312" w:cs="仿宋_GB2312"/>
          <w:color w:val="auto"/>
          <w:spacing w:val="0"/>
          <w:kern w:val="21"/>
          <w:sz w:val="32"/>
          <w:szCs w:val="32"/>
        </w:rPr>
        <w:t>。</w:t>
      </w:r>
    </w:p>
    <w:p w14:paraId="79457774">
      <w:pPr>
        <w:keepNext w:val="0"/>
        <w:keepLines w:val="0"/>
        <w:pageBreakBefore w:val="0"/>
        <w:widowControl w:val="0"/>
        <w:kinsoku/>
        <w:wordWrap/>
        <w:overflowPunct w:val="0"/>
        <w:topLinePunct w:val="0"/>
        <w:autoSpaceDE/>
        <w:autoSpaceDN/>
        <w:bidi w:val="0"/>
        <w:adjustRightInd/>
        <w:snapToGrid/>
        <w:spacing w:afterAutospacing="0" w:line="60" w:lineRule="exact"/>
        <w:ind w:left="0"/>
        <w:textAlignment w:val="auto"/>
        <w:rPr>
          <w:rFonts w:hint="eastAsia" w:ascii="仿宋_GB2312" w:hAnsi="仿宋_GB2312" w:cs="仿宋_GB2312"/>
          <w:color w:val="auto"/>
          <w:spacing w:val="0"/>
          <w:kern w:val="21"/>
          <w:sz w:val="30"/>
          <w:szCs w:val="30"/>
        </w:rPr>
      </w:pP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D31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522" w:type="dxa"/>
            <w:vAlign w:val="center"/>
          </w:tcPr>
          <w:p w14:paraId="04517AA9">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default"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3</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val="en-US" w:eastAsia="zh-CN"/>
              </w:rPr>
              <w:t>提振消费重点工程</w:t>
            </w:r>
          </w:p>
        </w:tc>
      </w:tr>
      <w:tr w14:paraId="42E6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5" w:hRule="atLeast"/>
          <w:jc w:val="center"/>
        </w:trPr>
        <w:tc>
          <w:tcPr>
            <w:tcW w:w="8522" w:type="dxa"/>
            <w:vAlign w:val="center"/>
          </w:tcPr>
          <w:p w14:paraId="09043F2C">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商业体系建设工程。</w:t>
            </w:r>
            <w:r>
              <w:rPr>
                <w:rFonts w:hint="eastAsia" w:ascii="宋体" w:hAnsi="宋体" w:eastAsia="宋体" w:cs="宋体"/>
                <w:color w:val="auto"/>
                <w:spacing w:val="0"/>
                <w:kern w:val="21"/>
                <w:sz w:val="22"/>
                <w:szCs w:val="22"/>
                <w:highlight w:val="none"/>
                <w:u w:val="none"/>
              </w:rPr>
              <w:t>以县域商业体系建设为抓手，</w:t>
            </w:r>
            <w:r>
              <w:rPr>
                <w:rFonts w:hint="eastAsia" w:ascii="宋体" w:hAnsi="宋体" w:eastAsia="宋体" w:cs="宋体"/>
                <w:color w:val="auto"/>
                <w:spacing w:val="0"/>
                <w:kern w:val="21"/>
                <w:sz w:val="22"/>
                <w:szCs w:val="22"/>
                <w:highlight w:val="none"/>
                <w:u w:val="none"/>
                <w:lang w:val="en-US" w:eastAsia="zh-CN"/>
              </w:rPr>
              <w:t>推进</w:t>
            </w:r>
            <w:r>
              <w:rPr>
                <w:rFonts w:hint="eastAsia" w:ascii="宋体" w:hAnsi="宋体" w:eastAsia="宋体" w:cs="宋体"/>
                <w:color w:val="auto"/>
                <w:spacing w:val="0"/>
                <w:kern w:val="21"/>
                <w:sz w:val="22"/>
                <w:szCs w:val="22"/>
                <w:highlight w:val="none"/>
                <w:u w:val="none"/>
              </w:rPr>
              <w:t>宝塔、子长、吴起、富县、洛川等重点县区改造提升乡镇、村级</w:t>
            </w:r>
            <w:r>
              <w:rPr>
                <w:rFonts w:hint="eastAsia" w:ascii="宋体" w:hAnsi="宋体" w:eastAsia="宋体" w:cs="宋体"/>
                <w:color w:val="auto"/>
                <w:spacing w:val="0"/>
                <w:kern w:val="21"/>
                <w:sz w:val="22"/>
                <w:szCs w:val="22"/>
                <w:highlight w:val="none"/>
                <w:u w:val="none"/>
                <w:lang w:val="en-US" w:eastAsia="zh-CN"/>
              </w:rPr>
              <w:t>商业</w:t>
            </w:r>
            <w:r>
              <w:rPr>
                <w:rFonts w:hint="eastAsia" w:ascii="宋体" w:hAnsi="宋体" w:eastAsia="宋体" w:cs="宋体"/>
                <w:color w:val="auto"/>
                <w:spacing w:val="0"/>
                <w:kern w:val="21"/>
                <w:sz w:val="22"/>
                <w:szCs w:val="22"/>
                <w:highlight w:val="none"/>
                <w:u w:val="none"/>
              </w:rPr>
              <w:t>便利</w:t>
            </w:r>
            <w:r>
              <w:rPr>
                <w:rFonts w:hint="eastAsia" w:ascii="宋体" w:hAnsi="宋体" w:eastAsia="宋体" w:cs="宋体"/>
                <w:color w:val="auto"/>
                <w:spacing w:val="0"/>
                <w:kern w:val="21"/>
                <w:sz w:val="22"/>
                <w:szCs w:val="22"/>
                <w:highlight w:val="none"/>
                <w:u w:val="none"/>
                <w:lang w:val="en-US" w:eastAsia="zh-CN"/>
              </w:rPr>
              <w:t>场所</w:t>
            </w:r>
            <w:r>
              <w:rPr>
                <w:rFonts w:hint="eastAsia" w:ascii="宋体" w:hAnsi="宋体" w:eastAsia="宋体" w:cs="宋体"/>
                <w:color w:val="auto"/>
                <w:spacing w:val="0"/>
                <w:kern w:val="21"/>
                <w:sz w:val="22"/>
                <w:szCs w:val="22"/>
                <w:highlight w:val="none"/>
                <w:u w:val="none"/>
              </w:rPr>
              <w:t>，织密农村流通服务网络，畅通工业品下乡、农产品进城双向渠道，充分释放农村消费潜力。</w:t>
            </w:r>
          </w:p>
          <w:p w14:paraId="71B5E9E6">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商业街区提升工程。</w:t>
            </w:r>
            <w:r>
              <w:rPr>
                <w:rFonts w:hint="eastAsia" w:ascii="宋体" w:hAnsi="宋体" w:eastAsia="宋体" w:cs="宋体"/>
                <w:color w:val="auto"/>
                <w:spacing w:val="0"/>
                <w:kern w:val="21"/>
                <w:sz w:val="22"/>
                <w:szCs w:val="22"/>
                <w:highlight w:val="none"/>
                <w:u w:val="none"/>
              </w:rPr>
              <w:t>优化主城区商业功能布局，推动核心商圈、特色街区提档升级，优化提升一刻钟便民生活圈，完善城市流通骨干网络，每个县（市、区）建设一条特色商业街区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提升消费集聚辐射能力。</w:t>
            </w:r>
          </w:p>
          <w:p w14:paraId="3255A779">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消费场景培育工程。</w:t>
            </w:r>
            <w:r>
              <w:rPr>
                <w:rFonts w:hint="eastAsia" w:ascii="宋体" w:hAnsi="宋体" w:eastAsia="宋体" w:cs="宋体"/>
                <w:color w:val="auto"/>
                <w:spacing w:val="0"/>
                <w:kern w:val="21"/>
                <w:sz w:val="22"/>
                <w:szCs w:val="22"/>
                <w:highlight w:val="none"/>
                <w:u w:val="none"/>
              </w:rPr>
              <w:t>积极推进消费新业态、新模式、新场景，大力培育直播电商、社区团购、即时零售等业态，加快推进智慧商圈、智慧商店建设改造，创新打造家居焕新、国潮消费等主题消费场景和体验模式。深化线上线下消费融合发展，培育壮大消费新动能，丰富多元消费供给。</w:t>
            </w:r>
          </w:p>
          <w:p w14:paraId="43EFA609">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b/>
                <w:bCs/>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产销对接</w:t>
            </w:r>
            <w:r>
              <w:rPr>
                <w:rFonts w:hint="eastAsia" w:ascii="楷体_GB2312" w:hAnsi="楷体_GB2312" w:eastAsia="楷体_GB2312" w:cs="楷体_GB2312"/>
                <w:b w:val="0"/>
                <w:bCs w:val="0"/>
                <w:color w:val="auto"/>
                <w:spacing w:val="0"/>
                <w:kern w:val="21"/>
                <w:sz w:val="22"/>
                <w:szCs w:val="22"/>
                <w:highlight w:val="none"/>
                <w:u w:val="none"/>
                <w:lang w:val="en-US" w:eastAsia="zh-CN"/>
              </w:rPr>
              <w:t>工程。</w:t>
            </w:r>
            <w:r>
              <w:rPr>
                <w:rFonts w:hint="eastAsia" w:ascii="宋体" w:hAnsi="宋体" w:eastAsia="宋体" w:cs="宋体"/>
                <w:color w:val="auto"/>
                <w:spacing w:val="0"/>
                <w:kern w:val="21"/>
                <w:sz w:val="22"/>
                <w:szCs w:val="22"/>
                <w:highlight w:val="none"/>
                <w:u w:val="none"/>
              </w:rPr>
              <w:t>大力培育本土特色品牌，组织开展产业链上下游精准对接、产销洽谈等系列活动，助力企业拓展省内外市场，支持企业积极参与各类展会，持续提升“延安特色产品”的知名度和影响力。</w:t>
            </w:r>
          </w:p>
        </w:tc>
      </w:tr>
    </w:tbl>
    <w:p w14:paraId="2E92962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color w:val="auto"/>
          <w:spacing w:val="0"/>
          <w:kern w:val="21"/>
          <w:sz w:val="32"/>
          <w:szCs w:val="32"/>
        </w:rPr>
      </w:pPr>
      <w:bookmarkStart w:id="58" w:name="_Toc15369"/>
      <w:bookmarkStart w:id="59" w:name="_Toc12844"/>
      <w:bookmarkStart w:id="60" w:name="_Toc10364"/>
    </w:p>
    <w:p w14:paraId="04048F9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六</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扩大有效投资</w:t>
      </w:r>
      <w:bookmarkEnd w:id="58"/>
      <w:bookmarkEnd w:id="59"/>
      <w:bookmarkEnd w:id="60"/>
    </w:p>
    <w:p w14:paraId="0A331AFD">
      <w:pPr>
        <w:keepNext w:val="0"/>
        <w:keepLines w:val="0"/>
        <w:pageBreakBefore w:val="0"/>
        <w:widowControl w:val="0"/>
        <w:kinsoku/>
        <w:wordWrap/>
        <w:overflowPunct w:val="0"/>
        <w:topLinePunct w:val="0"/>
        <w:autoSpaceDE/>
        <w:autoSpaceDN/>
        <w:bidi w:val="0"/>
        <w:spacing w:afterAutospacing="0"/>
        <w:ind w:left="0"/>
        <w:textAlignment w:val="auto"/>
        <w:rPr>
          <w:rFonts w:hint="eastAsia" w:ascii="楷体_GB2312" w:hAnsi="楷体_GB2312" w:eastAsia="楷体_GB2312" w:cs="楷体_GB2312"/>
          <w:b w:val="0"/>
          <w:bCs w:val="0"/>
          <w:color w:val="auto"/>
          <w:spacing w:val="0"/>
          <w:kern w:val="21"/>
          <w:sz w:val="32"/>
          <w:szCs w:val="32"/>
        </w:rPr>
      </w:pPr>
    </w:p>
    <w:p w14:paraId="4A27F940">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eastAsia="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高效益用好政府投资。</w:t>
      </w:r>
      <w:r>
        <w:rPr>
          <w:rFonts w:hint="eastAsia" w:ascii="仿宋_GB2312" w:hAnsi="仿宋_GB2312" w:cs="仿宋_GB2312"/>
          <w:color w:val="auto"/>
          <w:spacing w:val="0"/>
          <w:kern w:val="21"/>
          <w:sz w:val="32"/>
          <w:szCs w:val="32"/>
        </w:rPr>
        <w:t>深化高质量项目推进年活动，抓住国家实施更加积极的财政政策和适度宽松的货币政策等战略机遇，强化政策协同发力，用好中央预算内投资、超长期特别国债、地方政府专项债券等资金，</w:t>
      </w:r>
      <w:r>
        <w:rPr>
          <w:rFonts w:hint="eastAsia" w:ascii="仿宋_GB2312" w:hAnsi="仿宋_GB2312" w:cs="仿宋_GB2312"/>
          <w:color w:val="auto"/>
          <w:spacing w:val="0"/>
          <w:kern w:val="21"/>
          <w:sz w:val="32"/>
          <w:szCs w:val="32"/>
          <w:lang w:val="en-US" w:eastAsia="zh-CN"/>
        </w:rPr>
        <w:t>以及</w:t>
      </w:r>
      <w:r>
        <w:rPr>
          <w:rFonts w:hint="eastAsia" w:ascii="仿宋_GB2312" w:hAnsi="仿宋_GB2312" w:cs="仿宋_GB2312"/>
          <w:color w:val="auto"/>
          <w:spacing w:val="0"/>
          <w:kern w:val="21"/>
          <w:sz w:val="32"/>
          <w:szCs w:val="32"/>
        </w:rPr>
        <w:t>“两重”</w:t>
      </w:r>
      <w:r>
        <w:rPr>
          <w:rFonts w:hint="eastAsia" w:ascii="仿宋_GB2312" w:hAnsi="仿宋_GB2312" w:cs="仿宋_GB2312"/>
          <w:color w:val="auto"/>
          <w:spacing w:val="0"/>
          <w:kern w:val="21"/>
          <w:sz w:val="32"/>
          <w:szCs w:val="32"/>
          <w:lang w:val="en-US" w:eastAsia="zh-CN"/>
        </w:rPr>
        <w:t>新投向</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加力扩围实施</w:t>
      </w:r>
      <w:r>
        <w:rPr>
          <w:rFonts w:hint="eastAsia" w:ascii="仿宋_GB2312" w:hAnsi="仿宋_GB2312" w:cs="仿宋_GB2312"/>
          <w:color w:val="auto"/>
          <w:spacing w:val="0"/>
          <w:kern w:val="21"/>
          <w:sz w:val="32"/>
          <w:szCs w:val="32"/>
        </w:rPr>
        <w:t>“两新”</w:t>
      </w:r>
      <w:r>
        <w:rPr>
          <w:rFonts w:hint="eastAsia" w:ascii="仿宋_GB2312" w:hAnsi="仿宋_GB2312" w:cs="仿宋_GB2312"/>
          <w:color w:val="auto"/>
          <w:spacing w:val="0"/>
          <w:kern w:val="21"/>
          <w:sz w:val="32"/>
          <w:szCs w:val="32"/>
          <w:lang w:val="en-US" w:eastAsia="zh-CN"/>
        </w:rPr>
        <w:t>等</w:t>
      </w:r>
      <w:r>
        <w:rPr>
          <w:rFonts w:hint="eastAsia" w:ascii="仿宋_GB2312" w:hAnsi="仿宋_GB2312" w:cs="仿宋_GB2312"/>
          <w:color w:val="auto"/>
          <w:spacing w:val="0"/>
          <w:kern w:val="21"/>
          <w:sz w:val="32"/>
          <w:szCs w:val="32"/>
        </w:rPr>
        <w:t>政策，全方位多层次争取各类政策性资金。优化政府投资结构，建立健全政府投资支持基础性、公益性、长远性重大项目建设长效机制，重点投向无收益的社会公益服务、公共基础设施、农业农村、生态环境保护等公共领域。适应人口结构变化，加大养老托育等相关基础设施投资，提供更多适老适幼产品服务，更好满足“一老一小”等群体需要。科学编制政府投资计划，加强年度投资计划与财政预算衔接，</w:t>
      </w:r>
      <w:r>
        <w:rPr>
          <w:rFonts w:hint="eastAsia" w:ascii="仿宋_GB2312" w:hAnsi="仿宋_GB2312" w:eastAsia="仿宋_GB2312" w:cs="仿宋_GB2312"/>
          <w:b w:val="0"/>
          <w:bCs/>
          <w:color w:val="auto"/>
          <w:spacing w:val="0"/>
          <w:kern w:val="21"/>
          <w:sz w:val="32"/>
          <w:szCs w:val="32"/>
        </w:rPr>
        <w:t>加强政府投资全过程管理，</w:t>
      </w:r>
      <w:r>
        <w:rPr>
          <w:rFonts w:hint="eastAsia" w:ascii="仿宋_GB2312" w:hAnsi="仿宋_GB2312" w:cs="仿宋_GB2312"/>
          <w:color w:val="auto"/>
          <w:spacing w:val="0"/>
          <w:kern w:val="21"/>
          <w:sz w:val="32"/>
          <w:szCs w:val="32"/>
        </w:rPr>
        <w:t>建立健全政府投资效益评价和问责机制。深化投资审批制度改革，加强政府投资咨询论证，坚持政府投资项目“先评估、后决策”，提升政府投资决策水平。</w:t>
      </w:r>
    </w:p>
    <w:p w14:paraId="492C4E09">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eastAsia="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高水平调动社会投资。</w:t>
      </w:r>
      <w:r>
        <w:rPr>
          <w:rFonts w:hint="eastAsia" w:ascii="仿宋_GB2312" w:hAnsi="仿宋_GB2312" w:cs="仿宋_GB2312"/>
          <w:color w:val="auto"/>
          <w:spacing w:val="0"/>
          <w:kern w:val="21"/>
          <w:sz w:val="32"/>
          <w:szCs w:val="32"/>
        </w:rPr>
        <w:t>深化民间投资政策支持，完善民营企业参与重大项目长效机制，激发民间投资活力</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提高民间投资比重</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推动民间投资增速高于全省平均水平</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规范实施政府和社会资本合作新机制，增强市场主导的有效投资增长动力。加快全市融资平台转型升级</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加强与金融机构对接交流，</w:t>
      </w:r>
      <w:r>
        <w:rPr>
          <w:rFonts w:hint="eastAsia" w:ascii="仿宋_GB2312" w:hAnsi="仿宋_GB2312" w:cs="仿宋_GB2312"/>
          <w:color w:val="auto"/>
          <w:spacing w:val="0"/>
          <w:kern w:val="21"/>
          <w:sz w:val="32"/>
          <w:szCs w:val="32"/>
          <w:lang w:val="en-US" w:eastAsia="zh-CN"/>
        </w:rPr>
        <w:t>定期发布和</w:t>
      </w:r>
      <w:r>
        <w:rPr>
          <w:rFonts w:hint="eastAsia" w:ascii="仿宋_GB2312" w:hAnsi="仿宋_GB2312" w:cs="仿宋_GB2312"/>
          <w:color w:val="auto"/>
          <w:spacing w:val="0"/>
          <w:kern w:val="21"/>
          <w:sz w:val="32"/>
          <w:szCs w:val="32"/>
        </w:rPr>
        <w:t>推介项目融资需求。推进存量资产盘活，实现“资产变资金”。用好新型政策性金融工具</w:t>
      </w:r>
      <w:r>
        <w:rPr>
          <w:rFonts w:hint="eastAsia" w:ascii="仿宋_GB2312" w:hAnsi="仿宋_GB2312" w:cs="仿宋_GB2312"/>
          <w:color w:val="auto"/>
          <w:spacing w:val="0"/>
          <w:kern w:val="21"/>
          <w:sz w:val="32"/>
          <w:szCs w:val="32"/>
          <w:lang w:eastAsia="zh-CN"/>
        </w:rPr>
        <w:t>，支持一批符合条件的重要行业、重点领域民间投资项目。</w:t>
      </w:r>
      <w:r>
        <w:rPr>
          <w:rFonts w:hint="eastAsia" w:ascii="仿宋_GB2312" w:hAnsi="仿宋_GB2312" w:cs="仿宋_GB2312"/>
          <w:color w:val="auto"/>
          <w:spacing w:val="0"/>
          <w:kern w:val="21"/>
          <w:sz w:val="32"/>
          <w:szCs w:val="32"/>
          <w:lang w:val="en-US" w:eastAsia="zh-CN"/>
        </w:rPr>
        <w:t>用好</w:t>
      </w:r>
      <w:r>
        <w:rPr>
          <w:rFonts w:hint="eastAsia" w:ascii="仿宋_GB2312" w:hAnsi="仿宋_GB2312" w:cs="仿宋_GB2312"/>
          <w:color w:val="auto"/>
          <w:spacing w:val="0"/>
          <w:kern w:val="21"/>
          <w:sz w:val="32"/>
          <w:szCs w:val="32"/>
        </w:rPr>
        <w:t>省上支持民间投资项目贷款贴息政策，力争更多民间投资项目获得贴息支持。持续围绕用地、融资、审批、用能等方面给予民间投资更多倾斜支持。引导民间资本有序参与低空经济领域基础设施建设</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支持民间资本更多投向工业设计、共性技术服务、检验检测、质量认证、数字化转型等生产性服务业领域。进一步加大政府采购支持中小企业力度</w:t>
      </w:r>
      <w:r>
        <w:rPr>
          <w:rFonts w:hint="eastAsia" w:ascii="仿宋_GB2312" w:hAnsi="仿宋_GB2312" w:cs="仿宋_GB2312"/>
          <w:color w:val="auto"/>
          <w:spacing w:val="0"/>
          <w:kern w:val="21"/>
          <w:sz w:val="32"/>
          <w:szCs w:val="32"/>
          <w:lang w:eastAsia="zh-CN"/>
        </w:rPr>
        <w:t>。</w:t>
      </w:r>
    </w:p>
    <w:p w14:paraId="4DD82624">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加强重大项目谋划建设。</w:t>
      </w:r>
      <w:r>
        <w:rPr>
          <w:rFonts w:hint="eastAsia" w:ascii="仿宋_GB2312" w:hAnsi="仿宋_GB2312" w:cs="仿宋_GB2312"/>
          <w:bCs/>
          <w:color w:val="auto"/>
          <w:spacing w:val="0"/>
          <w:kern w:val="21"/>
          <w:sz w:val="32"/>
          <w:szCs w:val="32"/>
        </w:rPr>
        <w:t>深入实施投资提速增效行动，突出高成熟度</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高含金量</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高含新量</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高含绿量</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高含岗量，精准谋划能源装备制造</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高端化工</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农产品加工及关联产业等先进制造业项目，深入谋划战略性新兴产业</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未来产业项目和重大基础设施</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重要基础产业项目，精心谋划事关群众利益的民生项目，争取落地更多十亿级</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bCs/>
          <w:color w:val="auto"/>
          <w:spacing w:val="0"/>
          <w:kern w:val="21"/>
          <w:sz w:val="32"/>
          <w:szCs w:val="32"/>
        </w:rPr>
        <w:t>百亿级甚至千亿级产业类项目</w:t>
      </w:r>
      <w:r>
        <w:rPr>
          <w:rFonts w:hint="eastAsia" w:ascii="仿宋_GB2312" w:hAnsi="仿宋_GB2312" w:cs="仿宋_GB2312"/>
          <w:bCs/>
          <w:color w:val="auto"/>
          <w:spacing w:val="0"/>
          <w:kern w:val="21"/>
          <w:sz w:val="32"/>
          <w:szCs w:val="32"/>
          <w:lang w:eastAsia="zh-CN"/>
        </w:rPr>
        <w:t>。</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期间，</w:t>
      </w:r>
      <w:r>
        <w:rPr>
          <w:rFonts w:hint="eastAsia" w:ascii="仿宋_GB2312" w:hAnsi="仿宋_GB2312" w:cs="仿宋_GB2312"/>
          <w:color w:val="auto"/>
          <w:spacing w:val="0"/>
          <w:kern w:val="21"/>
          <w:sz w:val="32"/>
          <w:szCs w:val="32"/>
        </w:rPr>
        <w:t>市级重点项目</w:t>
      </w:r>
      <w:r>
        <w:rPr>
          <w:rFonts w:hint="eastAsia" w:ascii="仿宋_GB2312" w:hAnsi="仿宋_GB2312" w:cs="仿宋_GB2312"/>
          <w:color w:val="auto"/>
          <w:spacing w:val="0"/>
          <w:kern w:val="21"/>
          <w:sz w:val="32"/>
          <w:szCs w:val="32"/>
          <w:lang w:val="en-US" w:eastAsia="zh-CN"/>
        </w:rPr>
        <w:t>中</w:t>
      </w:r>
      <w:r>
        <w:rPr>
          <w:rFonts w:hint="eastAsia" w:ascii="仿宋_GB2312" w:hAnsi="仿宋_GB2312" w:cs="仿宋_GB2312"/>
          <w:color w:val="auto"/>
          <w:spacing w:val="0"/>
          <w:kern w:val="21"/>
          <w:sz w:val="32"/>
          <w:szCs w:val="32"/>
        </w:rPr>
        <w:t>社会资本、产业、</w:t>
      </w:r>
      <w:r>
        <w:rPr>
          <w:rFonts w:hint="eastAsia" w:ascii="仿宋_GB2312" w:hAnsi="仿宋_GB2312" w:cs="仿宋_GB2312"/>
          <w:color w:val="auto"/>
          <w:spacing w:val="0"/>
          <w:kern w:val="21"/>
          <w:sz w:val="32"/>
          <w:szCs w:val="32"/>
          <w:highlight w:val="none"/>
        </w:rPr>
        <w:t>制造业项目投资</w:t>
      </w:r>
      <w:r>
        <w:rPr>
          <w:rFonts w:hint="eastAsia" w:ascii="仿宋_GB2312" w:hAnsi="仿宋_GB2312" w:cs="仿宋_GB2312"/>
          <w:color w:val="auto"/>
          <w:spacing w:val="0"/>
          <w:kern w:val="21"/>
          <w:sz w:val="32"/>
          <w:szCs w:val="32"/>
          <w:highlight w:val="none"/>
          <w:lang w:val="en-US" w:eastAsia="zh-CN"/>
        </w:rPr>
        <w:t>年均增速</w:t>
      </w:r>
      <w:r>
        <w:rPr>
          <w:rFonts w:hint="eastAsia" w:ascii="仿宋_GB2312" w:hAnsi="仿宋_GB2312" w:cs="仿宋_GB2312"/>
          <w:color w:val="auto"/>
          <w:spacing w:val="0"/>
          <w:kern w:val="21"/>
          <w:sz w:val="32"/>
          <w:szCs w:val="32"/>
          <w:highlight w:val="none"/>
        </w:rPr>
        <w:t>保持10%以上</w:t>
      </w:r>
      <w:r>
        <w:rPr>
          <w:rFonts w:hint="eastAsia" w:ascii="仿宋_GB2312" w:hAnsi="仿宋_GB2312" w:cs="仿宋_GB2312"/>
          <w:color w:val="auto"/>
          <w:spacing w:val="0"/>
          <w:kern w:val="21"/>
          <w:sz w:val="32"/>
          <w:szCs w:val="32"/>
        </w:rPr>
        <w:t>，年度储备项目数量和投资量均不低于开工项目的3倍以上，项目投资对固定资产投资的贡献率达到70%以上，支撑有效投资</w:t>
      </w:r>
      <w:r>
        <w:rPr>
          <w:rFonts w:hint="eastAsia" w:ascii="仿宋_GB2312" w:hAnsi="仿宋_GB2312" w:cs="仿宋_GB2312"/>
          <w:color w:val="auto"/>
          <w:spacing w:val="0"/>
          <w:kern w:val="21"/>
          <w:sz w:val="32"/>
          <w:szCs w:val="32"/>
          <w:lang w:val="en-US" w:eastAsia="zh-CN"/>
        </w:rPr>
        <w:t>持续</w:t>
      </w:r>
      <w:r>
        <w:rPr>
          <w:rFonts w:hint="eastAsia" w:ascii="仿宋_GB2312" w:hAnsi="仿宋_GB2312" w:cs="仿宋_GB2312"/>
          <w:color w:val="auto"/>
          <w:spacing w:val="0"/>
          <w:kern w:val="21"/>
          <w:sz w:val="32"/>
          <w:szCs w:val="32"/>
        </w:rPr>
        <w:t>扩大</w:t>
      </w:r>
      <w:r>
        <w:rPr>
          <w:rFonts w:hint="eastAsia" w:ascii="仿宋_GB2312" w:hAnsi="仿宋_GB2312" w:cs="仿宋_GB2312"/>
          <w:color w:val="auto"/>
          <w:spacing w:val="0"/>
          <w:kern w:val="21"/>
          <w:sz w:val="32"/>
          <w:szCs w:val="32"/>
          <w:lang w:val="en-US" w:eastAsia="zh-CN"/>
        </w:rPr>
        <w:t>和</w:t>
      </w:r>
      <w:r>
        <w:rPr>
          <w:rFonts w:hint="eastAsia" w:ascii="仿宋_GB2312" w:hAnsi="仿宋_GB2312" w:cs="仿宋_GB2312"/>
          <w:color w:val="auto"/>
          <w:spacing w:val="0"/>
          <w:kern w:val="21"/>
          <w:sz w:val="32"/>
          <w:szCs w:val="32"/>
        </w:rPr>
        <w:t>经济高质量发展。</w:t>
      </w:r>
    </w:p>
    <w:p w14:paraId="395AFC4C">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61" w:name="_Toc17929"/>
      <w:bookmarkStart w:id="62" w:name="_Toc17609"/>
      <w:bookmarkStart w:id="63" w:name="_Toc12253"/>
    </w:p>
    <w:p w14:paraId="00D832BF">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七</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健全完善基础设施体系</w:t>
      </w:r>
      <w:bookmarkEnd w:id="61"/>
      <w:bookmarkEnd w:id="62"/>
      <w:bookmarkEnd w:id="63"/>
    </w:p>
    <w:p w14:paraId="25BAC56F">
      <w:pPr>
        <w:pStyle w:val="8"/>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color w:val="auto"/>
          <w:spacing w:val="0"/>
          <w:kern w:val="21"/>
          <w:sz w:val="32"/>
          <w:szCs w:val="32"/>
        </w:rPr>
      </w:pPr>
    </w:p>
    <w:p w14:paraId="500B1797">
      <w:pPr>
        <w:pStyle w:val="8"/>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color w:val="auto"/>
          <w:spacing w:val="0"/>
          <w:kern w:val="21"/>
          <w:sz w:val="32"/>
          <w:szCs w:val="32"/>
        </w:rPr>
      </w:pPr>
      <w:r>
        <w:rPr>
          <w:rFonts w:hint="eastAsia"/>
          <w:color w:val="auto"/>
          <w:spacing w:val="0"/>
          <w:kern w:val="21"/>
          <w:sz w:val="32"/>
          <w:szCs w:val="32"/>
        </w:rPr>
        <w:t>统筹推进传统基础设施和新型基础设施建设，</w:t>
      </w:r>
      <w:r>
        <w:rPr>
          <w:rFonts w:hint="eastAsia"/>
          <w:color w:val="auto"/>
          <w:spacing w:val="0"/>
          <w:kern w:val="21"/>
          <w:sz w:val="32"/>
          <w:szCs w:val="32"/>
          <w:lang w:val="en-US" w:eastAsia="zh-CN"/>
        </w:rPr>
        <w:t>完善网络，补齐短板，</w:t>
      </w:r>
      <w:r>
        <w:rPr>
          <w:rFonts w:hint="eastAsia"/>
          <w:color w:val="auto"/>
          <w:spacing w:val="0"/>
          <w:kern w:val="21"/>
          <w:sz w:val="32"/>
          <w:szCs w:val="32"/>
        </w:rPr>
        <w:t>加快构建系统完备、高效实用、智能绿色、安全</w:t>
      </w:r>
      <w:r>
        <w:rPr>
          <w:rFonts w:hint="eastAsia"/>
          <w:color w:val="auto"/>
          <w:spacing w:val="0"/>
          <w:kern w:val="21"/>
          <w:sz w:val="32"/>
          <w:szCs w:val="32"/>
          <w:lang w:val="en-US" w:eastAsia="zh-CN"/>
        </w:rPr>
        <w:t>韧性</w:t>
      </w:r>
      <w:r>
        <w:rPr>
          <w:rFonts w:hint="eastAsia"/>
          <w:color w:val="auto"/>
          <w:spacing w:val="0"/>
          <w:kern w:val="21"/>
          <w:sz w:val="32"/>
          <w:szCs w:val="32"/>
        </w:rPr>
        <w:t>的现代化基础设施体系。</w:t>
      </w:r>
    </w:p>
    <w:p w14:paraId="64EEE83D">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交通基础设施。</w:t>
      </w:r>
      <w:r>
        <w:rPr>
          <w:rFonts w:hint="eastAsia" w:ascii="仿宋_GB2312" w:hAnsi="仿宋_GB2312" w:cs="仿宋_GB2312"/>
          <w:color w:val="auto"/>
          <w:spacing w:val="0"/>
          <w:kern w:val="21"/>
          <w:sz w:val="32"/>
          <w:szCs w:val="32"/>
        </w:rPr>
        <w:t>建成延榆高铁，</w:t>
      </w:r>
      <w:r>
        <w:rPr>
          <w:rFonts w:hint="eastAsia" w:ascii="仿宋_GB2312" w:hAnsi="仿宋_GB2312" w:cs="仿宋_GB2312"/>
          <w:color w:val="auto"/>
          <w:spacing w:val="0"/>
          <w:kern w:val="21"/>
          <w:sz w:val="32"/>
          <w:szCs w:val="32"/>
          <w:highlight w:val="none"/>
        </w:rPr>
        <w:t>开展定边经吴起、志丹至延安铁路规划研究</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lang w:val="en-US" w:eastAsia="zh-CN"/>
        </w:rPr>
        <w:t>推动</w:t>
      </w:r>
      <w:r>
        <w:rPr>
          <w:rFonts w:hint="eastAsia" w:ascii="仿宋_GB2312" w:hAnsi="仿宋_GB2312" w:cs="仿宋_GB2312"/>
          <w:strike w:val="0"/>
          <w:color w:val="auto"/>
          <w:spacing w:val="0"/>
          <w:kern w:val="21"/>
          <w:sz w:val="32"/>
          <w:szCs w:val="32"/>
          <w:highlight w:val="none"/>
        </w:rPr>
        <w:t>延安—临汾—长治高铁项目</w:t>
      </w:r>
      <w:r>
        <w:rPr>
          <w:rFonts w:hint="eastAsia" w:ascii="仿宋_GB2312" w:hAnsi="仿宋_GB2312" w:cs="仿宋_GB2312"/>
          <w:strike w:val="0"/>
          <w:color w:val="auto"/>
          <w:spacing w:val="0"/>
          <w:kern w:val="21"/>
          <w:sz w:val="32"/>
          <w:szCs w:val="32"/>
          <w:highlight w:val="none"/>
          <w:lang w:val="en-US" w:eastAsia="zh-CN"/>
        </w:rPr>
        <w:t>纳入国家铁路中长期规划</w:t>
      </w:r>
      <w:r>
        <w:rPr>
          <w:rFonts w:hint="eastAsia" w:ascii="仿宋_GB2312" w:hAnsi="仿宋_GB2312" w:cs="仿宋_GB2312"/>
          <w:strike w:val="0"/>
          <w:color w:val="auto"/>
          <w:spacing w:val="0"/>
          <w:kern w:val="21"/>
          <w:sz w:val="32"/>
          <w:szCs w:val="32"/>
          <w:highlight w:val="none"/>
        </w:rPr>
        <w:t>。</w:t>
      </w:r>
      <w:r>
        <w:rPr>
          <w:rFonts w:hint="eastAsia" w:ascii="仿宋_GB2312" w:hAnsi="仿宋_GB2312" w:cs="仿宋_GB2312"/>
          <w:color w:val="auto"/>
          <w:spacing w:val="0"/>
          <w:kern w:val="21"/>
          <w:sz w:val="32"/>
          <w:szCs w:val="32"/>
        </w:rPr>
        <w:t>推进铁路专用线进入物流园区、工矿企业等，建立专业化、多元化铁路专用线运营维护机制，</w:t>
      </w:r>
      <w:r>
        <w:rPr>
          <w:rFonts w:hint="eastAsia" w:ascii="仿宋_GB2312" w:hAnsi="仿宋_GB2312" w:cs="仿宋_GB2312"/>
          <w:color w:val="auto"/>
          <w:spacing w:val="0"/>
          <w:kern w:val="21"/>
          <w:sz w:val="32"/>
          <w:szCs w:val="32"/>
          <w:highlight w:val="none"/>
          <w:lang w:val="en-US" w:eastAsia="zh-CN"/>
        </w:rPr>
        <w:t>谋划子长矿区铁路专用线、</w:t>
      </w:r>
      <w:r>
        <w:rPr>
          <w:rFonts w:hint="eastAsia" w:ascii="仿宋_GB2312" w:hAnsi="仿宋_GB2312" w:cs="仿宋_GB2312"/>
          <w:color w:val="auto"/>
          <w:spacing w:val="0"/>
          <w:kern w:val="21"/>
          <w:sz w:val="32"/>
          <w:szCs w:val="32"/>
          <w:highlight w:val="none"/>
        </w:rPr>
        <w:t>洛川县园区外货运</w:t>
      </w:r>
      <w:r>
        <w:rPr>
          <w:rFonts w:hint="eastAsia" w:ascii="仿宋_GB2312" w:hAnsi="仿宋_GB2312" w:cs="仿宋_GB2312"/>
          <w:color w:val="auto"/>
          <w:spacing w:val="0"/>
          <w:kern w:val="21"/>
          <w:sz w:val="32"/>
          <w:szCs w:val="32"/>
        </w:rPr>
        <w:t>等铁路专用线。构建“干支通、全网联”航空运输网络，到2030年，南泥湾机场年旅客吞吐量</w:t>
      </w:r>
      <w:r>
        <w:rPr>
          <w:rFonts w:hint="eastAsia" w:ascii="仿宋_GB2312" w:hAnsi="仿宋_GB2312" w:cs="仿宋_GB2312"/>
          <w:color w:val="auto"/>
          <w:spacing w:val="0"/>
          <w:kern w:val="21"/>
          <w:sz w:val="32"/>
          <w:szCs w:val="32"/>
          <w:lang w:val="en-US" w:eastAsia="zh-CN"/>
        </w:rPr>
        <w:t>达</w:t>
      </w:r>
      <w:r>
        <w:rPr>
          <w:rFonts w:hint="eastAsia" w:ascii="仿宋_GB2312" w:hAnsi="仿宋_GB2312" w:cs="仿宋_GB2312"/>
          <w:color w:val="auto"/>
          <w:spacing w:val="0"/>
          <w:kern w:val="21"/>
          <w:sz w:val="32"/>
          <w:szCs w:val="32"/>
          <w:highlight w:val="none"/>
          <w:lang w:val="en-US" w:eastAsia="zh-CN"/>
        </w:rPr>
        <w:t>到</w:t>
      </w:r>
      <w:r>
        <w:rPr>
          <w:rFonts w:hint="eastAsia" w:ascii="仿宋_GB2312" w:hAnsi="仿宋_GB2312" w:cs="仿宋_GB2312"/>
          <w:color w:val="auto"/>
          <w:spacing w:val="0"/>
          <w:kern w:val="21"/>
          <w:sz w:val="32"/>
          <w:szCs w:val="32"/>
          <w:highlight w:val="none"/>
          <w:lang w:eastAsia="zh-CN"/>
        </w:rPr>
        <w:t>9</w:t>
      </w:r>
      <w:r>
        <w:rPr>
          <w:rFonts w:hint="eastAsia" w:ascii="仿宋_GB2312" w:hAnsi="仿宋_GB2312" w:cs="仿宋_GB2312"/>
          <w:color w:val="auto"/>
          <w:spacing w:val="0"/>
          <w:kern w:val="21"/>
          <w:sz w:val="32"/>
          <w:szCs w:val="32"/>
          <w:highlight w:val="none"/>
        </w:rPr>
        <w:t>0万人次</w:t>
      </w:r>
      <w:r>
        <w:rPr>
          <w:rFonts w:hint="eastAsia" w:ascii="仿宋_GB2312" w:hAnsi="仿宋_GB2312" w:cs="仿宋_GB2312"/>
          <w:color w:val="auto"/>
          <w:spacing w:val="0"/>
          <w:kern w:val="21"/>
          <w:sz w:val="32"/>
          <w:szCs w:val="32"/>
          <w:highlight w:val="none"/>
          <w:lang w:val="en-US" w:eastAsia="zh-CN"/>
        </w:rPr>
        <w:t>以上</w:t>
      </w:r>
      <w:r>
        <w:rPr>
          <w:rFonts w:hint="eastAsia" w:ascii="仿宋_GB2312" w:hAnsi="仿宋_GB2312" w:cs="仿宋_GB2312"/>
          <w:color w:val="auto"/>
          <w:spacing w:val="0"/>
          <w:kern w:val="21"/>
          <w:sz w:val="32"/>
          <w:szCs w:val="32"/>
          <w:highlight w:val="none"/>
        </w:rPr>
        <w:t>，实现“省会通”和重要一线城市全覆盖的航线网络，年货邮吞吐量达到</w:t>
      </w:r>
      <w:r>
        <w:rPr>
          <w:rFonts w:hint="eastAsia" w:ascii="仿宋_GB2312" w:hAnsi="仿宋_GB2312" w:cs="仿宋_GB2312"/>
          <w:color w:val="auto"/>
          <w:spacing w:val="0"/>
          <w:kern w:val="21"/>
          <w:sz w:val="32"/>
          <w:szCs w:val="32"/>
          <w:highlight w:val="none"/>
          <w:lang w:eastAsia="zh-CN"/>
        </w:rPr>
        <w:t>6</w:t>
      </w:r>
      <w:r>
        <w:rPr>
          <w:rFonts w:hint="eastAsia" w:ascii="仿宋_GB2312" w:hAnsi="仿宋_GB2312" w:cs="仿宋_GB2312"/>
          <w:color w:val="auto"/>
          <w:spacing w:val="0"/>
          <w:kern w:val="21"/>
          <w:sz w:val="32"/>
          <w:szCs w:val="32"/>
          <w:highlight w:val="none"/>
        </w:rPr>
        <w:t>00</w:t>
      </w:r>
      <w:r>
        <w:rPr>
          <w:rFonts w:hint="eastAsia" w:ascii="仿宋_GB2312" w:hAnsi="仿宋_GB2312" w:cs="仿宋_GB2312"/>
          <w:color w:val="auto"/>
          <w:spacing w:val="0"/>
          <w:kern w:val="21"/>
          <w:sz w:val="32"/>
          <w:szCs w:val="32"/>
        </w:rPr>
        <w:t>吨</w:t>
      </w:r>
      <w:r>
        <w:rPr>
          <w:rFonts w:hint="eastAsia" w:ascii="仿宋_GB2312" w:hAnsi="仿宋_GB2312" w:cs="仿宋_GB2312"/>
          <w:color w:val="auto"/>
          <w:spacing w:val="0"/>
          <w:kern w:val="21"/>
          <w:sz w:val="32"/>
          <w:szCs w:val="32"/>
          <w:lang w:val="en-US" w:eastAsia="zh-CN"/>
        </w:rPr>
        <w:t>以上</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将南泥湾机场打造成为连接革命老区与全国各地的重要空中纽带，创建全国优秀红色旅游目的地机场和支线服务标杆机场</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改扩建黄陵通用机场，</w:t>
      </w:r>
      <w:r>
        <w:rPr>
          <w:rFonts w:hint="eastAsia" w:ascii="仿宋_GB2312" w:hAnsi="仿宋_GB2312" w:cs="仿宋_GB2312"/>
          <w:color w:val="auto"/>
          <w:spacing w:val="0"/>
          <w:kern w:val="21"/>
          <w:sz w:val="32"/>
          <w:szCs w:val="32"/>
          <w:highlight w:val="none"/>
        </w:rPr>
        <w:t>适时推进宜川、延川、吴起、高新区等通用机场</w:t>
      </w:r>
      <w:r>
        <w:rPr>
          <w:rFonts w:hint="eastAsia" w:ascii="仿宋_GB2312" w:hAnsi="仿宋_GB2312" w:cs="仿宋_GB2312"/>
          <w:color w:val="auto"/>
          <w:spacing w:val="0"/>
          <w:kern w:val="21"/>
          <w:sz w:val="32"/>
          <w:szCs w:val="32"/>
          <w:highlight w:val="none"/>
          <w:lang w:val="en-US" w:eastAsia="zh-CN"/>
        </w:rPr>
        <w:t>前期</w:t>
      </w:r>
      <w:r>
        <w:rPr>
          <w:rFonts w:hint="eastAsia" w:ascii="仿宋_GB2312" w:hAnsi="仿宋_GB2312" w:cs="仿宋_GB2312"/>
          <w:color w:val="auto"/>
          <w:spacing w:val="0"/>
          <w:kern w:val="21"/>
          <w:sz w:val="32"/>
          <w:szCs w:val="32"/>
        </w:rPr>
        <w:t>。优化完善综合交通网布局，</w:t>
      </w:r>
      <w:r>
        <w:rPr>
          <w:rFonts w:hint="eastAsia" w:ascii="仿宋_GB2312" w:hAnsi="仿宋_GB2312" w:cs="仿宋_GB2312"/>
          <w:color w:val="auto"/>
          <w:spacing w:val="0"/>
          <w:kern w:val="21"/>
          <w:sz w:val="32"/>
          <w:szCs w:val="32"/>
          <w:lang w:val="en-US" w:eastAsia="zh-CN"/>
        </w:rPr>
        <w:t>建成安塞至子长等高速公路，不断延伸“四纵四横三联一绕城”高速公路网，“五纵六横”普通国道干线公路网，安全、通达、绿色、便捷的农村公路网</w:t>
      </w:r>
      <w:r>
        <w:rPr>
          <w:rFonts w:hint="eastAsia" w:ascii="仿宋_GB2312" w:hAnsi="仿宋_GB2312" w:cs="仿宋_GB2312"/>
          <w:color w:val="auto"/>
          <w:spacing w:val="0"/>
          <w:kern w:val="21"/>
          <w:sz w:val="32"/>
          <w:szCs w:val="32"/>
        </w:rPr>
        <w:t>。加快低等级路段升级改造，“十五五”末，普通国道二级及以上公路占比</w:t>
      </w:r>
      <w:r>
        <w:rPr>
          <w:rFonts w:hint="eastAsia" w:ascii="仿宋_GB2312" w:hAnsi="仿宋_GB2312" w:cs="仿宋_GB2312"/>
          <w:color w:val="auto"/>
          <w:spacing w:val="0"/>
          <w:kern w:val="21"/>
          <w:sz w:val="32"/>
          <w:szCs w:val="32"/>
          <w:lang w:eastAsia="zh-CN"/>
        </w:rPr>
        <w:t>达</w:t>
      </w:r>
      <w:r>
        <w:rPr>
          <w:rFonts w:hint="eastAsia" w:ascii="仿宋_GB2312" w:hAnsi="仿宋_GB2312" w:cs="仿宋_GB2312"/>
          <w:color w:val="auto"/>
          <w:spacing w:val="0"/>
          <w:kern w:val="21"/>
          <w:sz w:val="32"/>
          <w:szCs w:val="32"/>
        </w:rPr>
        <w:t>到</w:t>
      </w:r>
      <w:r>
        <w:rPr>
          <w:rFonts w:hint="eastAsia" w:ascii="仿宋_GB2312" w:hAnsi="仿宋_GB2312" w:cs="仿宋_GB2312"/>
          <w:color w:val="auto"/>
          <w:spacing w:val="0"/>
          <w:kern w:val="21"/>
          <w:sz w:val="32"/>
          <w:szCs w:val="32"/>
          <w:lang w:eastAsia="zh-CN"/>
        </w:rPr>
        <w:t>7</w:t>
      </w:r>
      <w:r>
        <w:rPr>
          <w:rFonts w:hint="eastAsia" w:ascii="仿宋_GB2312" w:hAnsi="仿宋_GB2312" w:cs="仿宋_GB2312"/>
          <w:color w:val="auto"/>
          <w:spacing w:val="0"/>
          <w:kern w:val="21"/>
          <w:sz w:val="32"/>
          <w:szCs w:val="32"/>
          <w:lang w:val="en-US" w:eastAsia="zh-CN"/>
        </w:rPr>
        <w:t>0</w:t>
      </w:r>
      <w:r>
        <w:rPr>
          <w:rFonts w:hint="eastAsia" w:ascii="仿宋_GB2312" w:hAnsi="仿宋_GB2312" w:cs="仿宋_GB2312"/>
          <w:color w:val="auto"/>
          <w:spacing w:val="0"/>
          <w:kern w:val="21"/>
          <w:sz w:val="32"/>
          <w:szCs w:val="32"/>
        </w:rPr>
        <w:t>%</w:t>
      </w:r>
      <w:r>
        <w:rPr>
          <w:rFonts w:hint="eastAsia" w:ascii="仿宋_GB2312" w:hAnsi="仿宋_GB2312" w:cs="仿宋_GB2312"/>
          <w:color w:val="auto"/>
          <w:spacing w:val="0"/>
          <w:kern w:val="21"/>
          <w:sz w:val="32"/>
          <w:szCs w:val="32"/>
          <w:lang w:val="en-US" w:eastAsia="zh-CN"/>
        </w:rPr>
        <w:t>以上</w:t>
      </w:r>
      <w:r>
        <w:rPr>
          <w:rFonts w:hint="eastAsia" w:ascii="仿宋_GB2312" w:hAnsi="仿宋_GB2312" w:cs="仿宋_GB2312"/>
          <w:color w:val="auto"/>
          <w:spacing w:val="0"/>
          <w:kern w:val="21"/>
          <w:sz w:val="32"/>
          <w:szCs w:val="32"/>
        </w:rPr>
        <w:t>，普通省道三级及以上公路占比</w:t>
      </w:r>
      <w:r>
        <w:rPr>
          <w:rFonts w:hint="eastAsia" w:ascii="仿宋_GB2312" w:hAnsi="仿宋_GB2312" w:cs="仿宋_GB2312"/>
          <w:color w:val="auto"/>
          <w:spacing w:val="0"/>
          <w:kern w:val="21"/>
          <w:sz w:val="32"/>
          <w:szCs w:val="32"/>
          <w:lang w:eastAsia="zh-CN"/>
        </w:rPr>
        <w:t>达</w:t>
      </w:r>
      <w:r>
        <w:rPr>
          <w:rFonts w:hint="eastAsia" w:ascii="仿宋_GB2312" w:hAnsi="仿宋_GB2312" w:cs="仿宋_GB2312"/>
          <w:color w:val="auto"/>
          <w:spacing w:val="0"/>
          <w:kern w:val="21"/>
          <w:sz w:val="32"/>
          <w:szCs w:val="32"/>
        </w:rPr>
        <w:t>到</w:t>
      </w:r>
      <w:r>
        <w:rPr>
          <w:rFonts w:hint="eastAsia" w:ascii="仿宋_GB2312" w:hAnsi="仿宋_GB2312" w:cs="仿宋_GB2312"/>
          <w:color w:val="auto"/>
          <w:spacing w:val="0"/>
          <w:kern w:val="21"/>
          <w:sz w:val="32"/>
          <w:szCs w:val="32"/>
          <w:lang w:eastAsia="zh-CN"/>
        </w:rPr>
        <w:t>8</w:t>
      </w:r>
      <w:r>
        <w:rPr>
          <w:rFonts w:hint="eastAsia" w:ascii="仿宋_GB2312" w:hAnsi="仿宋_GB2312" w:cs="仿宋_GB2312"/>
          <w:color w:val="auto"/>
          <w:spacing w:val="0"/>
          <w:kern w:val="21"/>
          <w:sz w:val="32"/>
          <w:szCs w:val="32"/>
          <w:lang w:val="en-US" w:eastAsia="zh-CN"/>
        </w:rPr>
        <w:t>0</w:t>
      </w:r>
      <w:r>
        <w:rPr>
          <w:rFonts w:hint="eastAsia" w:ascii="仿宋_GB2312" w:hAnsi="仿宋_GB2312" w:cs="仿宋_GB2312"/>
          <w:color w:val="auto"/>
          <w:spacing w:val="0"/>
          <w:kern w:val="21"/>
          <w:sz w:val="32"/>
          <w:szCs w:val="32"/>
        </w:rPr>
        <w:t>%</w:t>
      </w:r>
      <w:r>
        <w:rPr>
          <w:rFonts w:hint="eastAsia" w:ascii="仿宋_GB2312" w:hAnsi="仿宋_GB2312" w:cs="仿宋_GB2312"/>
          <w:color w:val="auto"/>
          <w:spacing w:val="0"/>
          <w:kern w:val="21"/>
          <w:sz w:val="32"/>
          <w:szCs w:val="32"/>
          <w:lang w:val="en-US" w:eastAsia="zh-CN"/>
        </w:rPr>
        <w:t>以上</w:t>
      </w:r>
      <w:r>
        <w:rPr>
          <w:rFonts w:hint="eastAsia" w:ascii="仿宋_GB2312" w:hAnsi="仿宋_GB2312" w:cs="仿宋_GB2312"/>
          <w:color w:val="auto"/>
          <w:spacing w:val="0"/>
          <w:kern w:val="21"/>
          <w:sz w:val="32"/>
          <w:szCs w:val="32"/>
        </w:rPr>
        <w:t>。实施新一轮农村公路提升行动，</w:t>
      </w:r>
      <w:r>
        <w:rPr>
          <w:rFonts w:hint="eastAsia" w:ascii="仿宋_GB2312" w:hAnsi="仿宋_GB2312" w:cs="仿宋_GB2312"/>
          <w:color w:val="auto"/>
          <w:spacing w:val="0"/>
          <w:kern w:val="21"/>
          <w:sz w:val="32"/>
          <w:szCs w:val="32"/>
          <w:lang w:val="en-US" w:eastAsia="zh-CN"/>
        </w:rPr>
        <w:t>推动</w:t>
      </w:r>
      <w:r>
        <w:rPr>
          <w:rFonts w:hint="eastAsia" w:ascii="仿宋_GB2312" w:hAnsi="仿宋_GB2312" w:cs="仿宋_GB2312"/>
          <w:color w:val="auto"/>
          <w:spacing w:val="0"/>
          <w:kern w:val="21"/>
          <w:sz w:val="32"/>
          <w:szCs w:val="32"/>
        </w:rPr>
        <w:t>“四好农村路”</w:t>
      </w:r>
      <w:r>
        <w:rPr>
          <w:rFonts w:hint="eastAsia" w:ascii="仿宋_GB2312" w:hAnsi="仿宋_GB2312" w:cs="仿宋_GB2312"/>
          <w:color w:val="auto"/>
          <w:spacing w:val="0"/>
          <w:kern w:val="21"/>
          <w:sz w:val="32"/>
          <w:szCs w:val="32"/>
          <w:lang w:val="en-US" w:eastAsia="zh-CN"/>
        </w:rPr>
        <w:t>高质量发展</w:t>
      </w:r>
      <w:r>
        <w:rPr>
          <w:rFonts w:hint="eastAsia" w:ascii="仿宋_GB2312" w:hAnsi="仿宋_GB2312" w:cs="仿宋_GB2312"/>
          <w:color w:val="auto"/>
          <w:spacing w:val="0"/>
          <w:kern w:val="21"/>
          <w:sz w:val="32"/>
          <w:szCs w:val="32"/>
        </w:rPr>
        <w:t>，</w:t>
      </w:r>
      <w:r>
        <w:rPr>
          <w:rFonts w:hint="eastAsia" w:ascii="仿宋_GB2312" w:hAnsi="仿宋_GB2312" w:cs="仿宋_GB2312"/>
          <w:color w:val="auto"/>
          <w:spacing w:val="0"/>
          <w:kern w:val="21"/>
          <w:sz w:val="32"/>
          <w:szCs w:val="32"/>
          <w:lang w:val="en-US" w:eastAsia="zh-CN"/>
        </w:rPr>
        <w:t>因地制宜推进有条件的镇村集群联网公路建设，有序扩大农村公路覆盖范围和通达深度。</w:t>
      </w:r>
      <w:r>
        <w:rPr>
          <w:rFonts w:hint="eastAsia" w:ascii="仿宋_GB2312" w:hAnsi="仿宋_GB2312" w:cs="仿宋_GB2312"/>
          <w:color w:val="auto"/>
          <w:spacing w:val="0"/>
          <w:kern w:val="21"/>
          <w:sz w:val="32"/>
          <w:szCs w:val="32"/>
        </w:rPr>
        <w:t>推进综合客运枢纽建设，建成延安新区</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延川</w:t>
      </w:r>
      <w:r>
        <w:rPr>
          <w:rFonts w:hint="eastAsia" w:ascii="仿宋_GB2312" w:hAnsi="仿宋_GB2312" w:cs="仿宋_GB2312"/>
          <w:color w:val="auto"/>
          <w:spacing w:val="0"/>
          <w:kern w:val="21"/>
          <w:sz w:val="32"/>
          <w:szCs w:val="32"/>
          <w:lang w:val="en-US" w:eastAsia="zh-CN"/>
        </w:rPr>
        <w:t>等</w:t>
      </w:r>
      <w:r>
        <w:rPr>
          <w:rFonts w:hint="eastAsia" w:ascii="仿宋_GB2312" w:hAnsi="仿宋_GB2312" w:cs="仿宋_GB2312"/>
          <w:color w:val="auto"/>
          <w:spacing w:val="0"/>
          <w:kern w:val="21"/>
          <w:sz w:val="32"/>
          <w:szCs w:val="32"/>
        </w:rPr>
        <w:t>高铁综合客运枢纽，改造提升市域客运站服务功能，完善“1+12”等级以上客运站布局，推进城乡客运一体化发展。</w:t>
      </w:r>
    </w:p>
    <w:p w14:paraId="39647BFF">
      <w:pPr>
        <w:pStyle w:val="2"/>
        <w:rPr>
          <w:rFonts w:hint="eastAsia"/>
          <w:color w:val="auto"/>
        </w:rPr>
      </w:pPr>
    </w:p>
    <w:p w14:paraId="0B7A76A9">
      <w:pPr>
        <w:pStyle w:val="3"/>
        <w:keepNext w:val="0"/>
        <w:keepLines w:val="0"/>
        <w:pageBreakBefore w:val="0"/>
        <w:widowControl w:val="0"/>
        <w:kinsoku/>
        <w:wordWrap/>
        <w:overflowPunct w:val="0"/>
        <w:topLinePunct w:val="0"/>
        <w:autoSpaceDE/>
        <w:autoSpaceDN/>
        <w:bidi w:val="0"/>
        <w:adjustRightInd/>
        <w:snapToGrid/>
        <w:spacing w:before="0" w:after="0" w:afterAutospacing="0" w:line="320" w:lineRule="exact"/>
        <w:ind w:left="0"/>
        <w:textAlignment w:val="auto"/>
        <w:rPr>
          <w:rFonts w:hint="eastAsia"/>
          <w:color w:val="auto"/>
          <w:spacing w:val="0"/>
          <w:kern w:val="21"/>
          <w:sz w:val="22"/>
          <w:szCs w:val="20"/>
        </w:rPr>
      </w:pPr>
    </w:p>
    <w:tbl>
      <w:tblPr>
        <w:tblStyle w:val="16"/>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3"/>
      </w:tblGrid>
      <w:tr w14:paraId="05B4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673" w:type="dxa"/>
            <w:vAlign w:val="center"/>
          </w:tcPr>
          <w:p w14:paraId="41599251">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4</w:t>
            </w:r>
            <w:r>
              <w:rPr>
                <w:rFonts w:hint="eastAsia" w:ascii="黑体" w:hAnsi="黑体" w:eastAsia="黑体" w:cs="黑体"/>
                <w:b w:val="0"/>
                <w:bCs w:val="0"/>
                <w:color w:val="auto"/>
                <w:spacing w:val="0"/>
                <w:kern w:val="21"/>
                <w:sz w:val="25"/>
                <w:szCs w:val="25"/>
                <w:highlight w:val="none"/>
                <w:u w:val="none"/>
              </w:rPr>
              <w:t xml:space="preserve"> 交通基础设施建设重点项目</w:t>
            </w:r>
          </w:p>
        </w:tc>
      </w:tr>
      <w:tr w14:paraId="5E45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4" w:hRule="atLeast"/>
          <w:jc w:val="center"/>
        </w:trPr>
        <w:tc>
          <w:tcPr>
            <w:tcW w:w="8673" w:type="dxa"/>
            <w:vAlign w:val="center"/>
          </w:tcPr>
          <w:p w14:paraId="4C851846">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“四纵四横三联一绕城”高速网络体系。</w:t>
            </w:r>
            <w:r>
              <w:rPr>
                <w:rFonts w:hint="eastAsia" w:ascii="宋体" w:hAnsi="宋体" w:eastAsia="宋体" w:cs="宋体"/>
                <w:color w:val="auto"/>
                <w:spacing w:val="0"/>
                <w:kern w:val="21"/>
                <w:sz w:val="22"/>
                <w:szCs w:val="22"/>
                <w:highlight w:val="none"/>
                <w:u w:val="none"/>
              </w:rPr>
              <w:t>四纵：S23吴起至华池高速、S23吴起至定边高速，G65包茂高速，G6522延西高速、S15子姚高速、规划子长至横山高速，G6521榆蓝高速。四横：G6511安塞至子长高速、G6511子长至清涧高速，S16吴起至安塞高速、G2211安塞至延川高速，G22青兰高速，规划黄龙经黄陵至庆阳高速、S18黄龙至韩城高速。三联：规划靖边至吴起高速，规划甘泉至志丹高速，规划大宁经延长至延安高速。一绕城：S15东绕城高速。</w:t>
            </w:r>
          </w:p>
          <w:p w14:paraId="2BE8B7EC">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“五纵六横”国省干线公路网络体系。</w:t>
            </w:r>
            <w:r>
              <w:rPr>
                <w:rFonts w:hint="eastAsia" w:ascii="宋体" w:hAnsi="宋体" w:eastAsia="宋体" w:cs="宋体"/>
                <w:color w:val="auto"/>
                <w:spacing w:val="0"/>
                <w:kern w:val="21"/>
                <w:sz w:val="22"/>
                <w:szCs w:val="22"/>
                <w:highlight w:val="none"/>
                <w:u w:val="none"/>
              </w:rPr>
              <w:t>五纵：G244公路，G630-G210-S106公路，G210-S205-S506-S209公路，G242公路，G628公路。六横：G210-G340公路，S212-S305-S205-S304公路，G341-G520公路，S306公路，G309-S307公路，G327公路。</w:t>
            </w:r>
          </w:p>
          <w:p w14:paraId="2A25F90D">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仿宋_GB2312" w:hAnsi="仿宋_GB2312" w:eastAsia="仿宋_GB2312" w:cs="仿宋_GB2312"/>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宋体" w:hAnsi="宋体" w:eastAsia="宋体" w:cs="宋体"/>
                <w:color w:val="auto"/>
                <w:spacing w:val="0"/>
                <w:kern w:val="21"/>
                <w:sz w:val="22"/>
                <w:szCs w:val="22"/>
                <w:highlight w:val="none"/>
                <w:u w:val="none"/>
              </w:rPr>
              <w:t>推进安清线G6511安塞至子长高速公路、吴起至华池高速公路、210国道建华寺至延安公路改扩建工程、新区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高新区</w:t>
            </w:r>
            <w:r>
              <w:rPr>
                <w:rFonts w:hint="eastAsia" w:ascii="宋体" w:hAnsi="宋体" w:eastAsia="宋体" w:cs="宋体"/>
                <w:color w:val="auto"/>
                <w:spacing w:val="0"/>
                <w:kern w:val="21"/>
                <w:sz w:val="22"/>
                <w:szCs w:val="22"/>
                <w:highlight w:val="none"/>
                <w:u w:val="none"/>
                <w:lang w:val="en-US" w:eastAsia="zh-CN"/>
              </w:rPr>
              <w:t>-</w:t>
            </w:r>
            <w:r>
              <w:rPr>
                <w:rFonts w:hint="eastAsia" w:ascii="宋体" w:hAnsi="宋体" w:eastAsia="宋体" w:cs="宋体"/>
                <w:color w:val="auto"/>
                <w:spacing w:val="0"/>
                <w:kern w:val="21"/>
                <w:sz w:val="22"/>
                <w:szCs w:val="22"/>
                <w:highlight w:val="none"/>
                <w:u w:val="none"/>
              </w:rPr>
              <w:t>高铁站、高铁站上跨环线等快速干道</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站综合客运枢纽、延川综合客运枢纽工程、G341吴起走马台至杨青段公路工程、G341延川县文安驿镇薛家沟公路改线工程、G341吴起芦角至马营公路、G327黄陵桥山至店头公路、G327黄龙县城北过境公路等项目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谋划推进靖边至吴起高速公路、S106黄陵县店头镇至G65铜川北收费站段公路改扩建等项目</w:t>
            </w:r>
            <w:r>
              <w:rPr>
                <w:rFonts w:hint="eastAsia" w:ascii="宋体" w:hAnsi="宋体" w:eastAsia="宋体" w:cs="宋体"/>
                <w:color w:val="auto"/>
                <w:spacing w:val="0"/>
                <w:kern w:val="21"/>
                <w:sz w:val="22"/>
                <w:szCs w:val="22"/>
                <w:highlight w:val="none"/>
                <w:u w:val="none"/>
                <w:lang w:val="en-US" w:eastAsia="zh-CN"/>
              </w:rPr>
              <w:t>前期</w:t>
            </w:r>
            <w:r>
              <w:rPr>
                <w:rFonts w:hint="eastAsia" w:ascii="宋体" w:hAnsi="宋体" w:eastAsia="宋体" w:cs="宋体"/>
                <w:color w:val="auto"/>
                <w:spacing w:val="0"/>
                <w:kern w:val="21"/>
                <w:sz w:val="22"/>
                <w:szCs w:val="22"/>
                <w:highlight w:val="none"/>
                <w:u w:val="none"/>
              </w:rPr>
              <w:t>。</w:t>
            </w:r>
          </w:p>
        </w:tc>
      </w:tr>
    </w:tbl>
    <w:p w14:paraId="0A4FFF9E">
      <w:pPr>
        <w:keepNext w:val="0"/>
        <w:keepLines w:val="0"/>
        <w:pageBreakBefore w:val="0"/>
        <w:widowControl w:val="0"/>
        <w:kinsoku/>
        <w:wordWrap/>
        <w:overflowPunct w:val="0"/>
        <w:topLinePunct w:val="0"/>
        <w:autoSpaceDE/>
        <w:autoSpaceDN/>
        <w:bidi w:val="0"/>
        <w:adjustRightInd/>
        <w:snapToGrid w:val="0"/>
        <w:spacing w:afterAutospacing="0" w:line="360" w:lineRule="exact"/>
        <w:ind w:left="0" w:firstLine="562"/>
        <w:jc w:val="center"/>
        <w:textAlignment w:val="auto"/>
        <w:rPr>
          <w:rFonts w:hint="eastAsia" w:ascii="宋体" w:hAnsi="宋体" w:eastAsia="宋体" w:cs="宋体"/>
          <w:b w:val="0"/>
          <w:bCs w:val="0"/>
          <w:color w:val="auto"/>
          <w:spacing w:val="0"/>
          <w:kern w:val="21"/>
          <w:sz w:val="22"/>
          <w:szCs w:val="22"/>
          <w:lang w:val="en-US" w:eastAsia="zh-CN"/>
        </w:rPr>
      </w:pPr>
    </w:p>
    <w:p w14:paraId="71E2A85F">
      <w:pPr>
        <w:pStyle w:val="2"/>
        <w:keepNext w:val="0"/>
        <w:keepLines w:val="0"/>
        <w:pageBreakBefore w:val="0"/>
        <w:widowControl w:val="0"/>
        <w:kinsoku/>
        <w:wordWrap/>
        <w:overflowPunct w:val="0"/>
        <w:topLinePunct w:val="0"/>
        <w:autoSpaceDE/>
        <w:autoSpaceDN/>
        <w:bidi w:val="0"/>
        <w:spacing w:before="0" w:after="0" w:afterAutospacing="0"/>
        <w:ind w:left="0"/>
        <w:textAlignment w:val="auto"/>
        <w:rPr>
          <w:rFonts w:hint="eastAsia" w:ascii="宋体" w:hAnsi="宋体" w:eastAsia="宋体" w:cs="宋体"/>
          <w:b w:val="0"/>
          <w:bCs w:val="0"/>
          <w:color w:val="auto"/>
          <w:spacing w:val="0"/>
          <w:kern w:val="21"/>
          <w:sz w:val="22"/>
          <w:szCs w:val="22"/>
          <w:lang w:val="en-US" w:eastAsia="zh-CN"/>
        </w:rPr>
      </w:pPr>
    </w:p>
    <w:p w14:paraId="73E32D79">
      <w:pPr>
        <w:pStyle w:val="3"/>
        <w:keepNext w:val="0"/>
        <w:keepLines w:val="0"/>
        <w:pageBreakBefore w:val="0"/>
        <w:widowControl w:val="0"/>
        <w:kinsoku/>
        <w:wordWrap/>
        <w:overflowPunct w:val="0"/>
        <w:topLinePunct w:val="0"/>
        <w:autoSpaceDE/>
        <w:autoSpaceDN/>
        <w:bidi w:val="0"/>
        <w:spacing w:before="0" w:after="0" w:afterAutospacing="0"/>
        <w:ind w:left="0"/>
        <w:textAlignment w:val="auto"/>
        <w:rPr>
          <w:rFonts w:hint="eastAsia" w:ascii="宋体" w:hAnsi="宋体" w:eastAsia="宋体" w:cs="宋体"/>
          <w:b w:val="0"/>
          <w:bCs w:val="0"/>
          <w:color w:val="auto"/>
          <w:spacing w:val="0"/>
          <w:kern w:val="21"/>
          <w:sz w:val="22"/>
          <w:szCs w:val="22"/>
          <w:lang w:val="en-US" w:eastAsia="zh-CN"/>
        </w:rPr>
      </w:pPr>
    </w:p>
    <w:p w14:paraId="204373C4">
      <w:pPr>
        <w:pStyle w:val="3"/>
        <w:keepNext w:val="0"/>
        <w:keepLines w:val="0"/>
        <w:pageBreakBefore w:val="0"/>
        <w:widowControl w:val="0"/>
        <w:kinsoku/>
        <w:wordWrap/>
        <w:overflowPunct w:val="0"/>
        <w:topLinePunct w:val="0"/>
        <w:autoSpaceDE/>
        <w:autoSpaceDN/>
        <w:bidi w:val="0"/>
        <w:spacing w:before="0" w:after="0" w:afterAutospacing="0"/>
        <w:ind w:left="0"/>
        <w:jc w:val="center"/>
        <w:textAlignment w:val="auto"/>
        <w:rPr>
          <w:rFonts w:hint="eastAsia" w:ascii="楷体_GB2312" w:hAnsi="楷体_GB2312" w:eastAsia="楷体_GB2312" w:cs="楷体_GB2312"/>
          <w:color w:val="auto"/>
          <w:spacing w:val="0"/>
          <w:kern w:val="21"/>
          <w:sz w:val="22"/>
          <w:szCs w:val="22"/>
          <w:highlight w:val="none"/>
          <w:u w:val="none"/>
          <w:lang w:val="en-US" w:eastAsia="zh-CN"/>
        </w:rPr>
      </w:pPr>
      <w:r>
        <w:rPr>
          <w:rFonts w:hint="eastAsia" w:ascii="楷体_GB2312" w:hAnsi="楷体_GB2312" w:eastAsia="楷体_GB2312" w:cs="楷体_GB2312"/>
          <w:color w:val="auto"/>
          <w:spacing w:val="0"/>
          <w:kern w:val="21"/>
          <w:sz w:val="22"/>
          <w:szCs w:val="22"/>
          <w:highlight w:val="none"/>
          <w:u w:val="none"/>
          <w:lang w:val="en-US" w:eastAsia="zh-CN"/>
        </w:rPr>
        <w:drawing>
          <wp:anchor distT="0" distB="0" distL="114300" distR="114300" simplePos="0" relativeHeight="251659264" behindDoc="0" locked="0" layoutInCell="1" allowOverlap="1">
            <wp:simplePos x="0" y="0"/>
            <wp:positionH relativeFrom="column">
              <wp:posOffset>321310</wp:posOffset>
            </wp:positionH>
            <wp:positionV relativeFrom="paragraph">
              <wp:posOffset>52705</wp:posOffset>
            </wp:positionV>
            <wp:extent cx="4730115" cy="4111625"/>
            <wp:effectExtent l="0" t="0" r="13335" b="3175"/>
            <wp:wrapTopAndBottom/>
            <wp:docPr id="12" name="图片 12" descr="12faf00548553ead455a39f86179a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faf00548553ead455a39f86179ad8e"/>
                    <pic:cNvPicPr>
                      <a:picLocks noChangeAspect="1"/>
                    </pic:cNvPicPr>
                  </pic:nvPicPr>
                  <pic:blipFill>
                    <a:blip r:embed="rId10"/>
                    <a:stretch>
                      <a:fillRect/>
                    </a:stretch>
                  </pic:blipFill>
                  <pic:spPr>
                    <a:xfrm>
                      <a:off x="0" y="0"/>
                      <a:ext cx="4730115" cy="4111625"/>
                    </a:xfrm>
                    <a:prstGeom prst="rect">
                      <a:avLst/>
                    </a:prstGeom>
                  </pic:spPr>
                </pic:pic>
              </a:graphicData>
            </a:graphic>
          </wp:anchor>
        </w:drawing>
      </w:r>
      <w:r>
        <w:rPr>
          <w:rFonts w:hint="eastAsia" w:ascii="楷体_GB2312" w:hAnsi="楷体_GB2312" w:eastAsia="楷体_GB2312" w:cs="楷体_GB2312"/>
          <w:b w:val="0"/>
          <w:bCs w:val="0"/>
          <w:color w:val="auto"/>
          <w:spacing w:val="0"/>
          <w:kern w:val="21"/>
          <w:sz w:val="22"/>
          <w:szCs w:val="22"/>
          <w:lang w:val="en-US" w:eastAsia="zh-CN"/>
        </w:rPr>
        <w:t xml:space="preserve">图1 </w:t>
      </w:r>
      <w:r>
        <w:rPr>
          <w:rFonts w:hint="eastAsia" w:ascii="楷体_GB2312" w:hAnsi="楷体_GB2312" w:eastAsia="楷体_GB2312" w:cs="楷体_GB2312"/>
          <w:b w:val="0"/>
          <w:bCs w:val="0"/>
          <w:color w:val="auto"/>
          <w:spacing w:val="0"/>
          <w:kern w:val="21"/>
          <w:sz w:val="22"/>
          <w:szCs w:val="22"/>
        </w:rPr>
        <w:t>“四纵四横三联一绕城”高速网络体系</w:t>
      </w:r>
      <w:r>
        <w:rPr>
          <w:rFonts w:hint="eastAsia" w:ascii="楷体_GB2312" w:hAnsi="楷体_GB2312" w:eastAsia="楷体_GB2312" w:cs="楷体_GB2312"/>
          <w:b w:val="0"/>
          <w:bCs w:val="0"/>
          <w:color w:val="auto"/>
          <w:spacing w:val="0"/>
          <w:kern w:val="21"/>
          <w:sz w:val="22"/>
          <w:szCs w:val="22"/>
          <w:lang w:val="en-US" w:eastAsia="zh-CN"/>
        </w:rPr>
        <w:t>图</w:t>
      </w:r>
    </w:p>
    <w:p w14:paraId="754E97A8">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能源基础设施。</w:t>
      </w:r>
      <w:r>
        <w:rPr>
          <w:rFonts w:hint="eastAsia" w:ascii="仿宋_GB2312" w:hAnsi="仿宋_GB2312"/>
          <w:color w:val="auto"/>
          <w:spacing w:val="0"/>
          <w:kern w:val="21"/>
          <w:sz w:val="32"/>
          <w:szCs w:val="32"/>
        </w:rPr>
        <w:t>完善区域油气管网布局，与国省管网多点连接、互联互通、公平开放。推动原油管道建设，实施延安至榆林原油联络线管道等项目。</w:t>
      </w:r>
      <w:r>
        <w:rPr>
          <w:rFonts w:hint="eastAsia" w:ascii="仿宋_GB2312" w:hAnsi="仿宋_GB2312" w:cs="仿宋_GB2312"/>
          <w:color w:val="auto"/>
          <w:spacing w:val="0"/>
          <w:kern w:val="21"/>
          <w:sz w:val="32"/>
          <w:szCs w:val="32"/>
        </w:rPr>
        <w:t>优化天然气管网布局，推动全省天然气长输管道“三环四纵五横”、全市“五纵四横”骨干网络建设，构建“全国一张网”体系。</w:t>
      </w:r>
      <w:r>
        <w:rPr>
          <w:rFonts w:hint="eastAsia" w:ascii="仿宋_GB2312" w:hAnsi="仿宋_GB2312" w:cs="仿宋_GB2312"/>
          <w:color w:val="auto"/>
          <w:spacing w:val="0"/>
          <w:kern w:val="21"/>
          <w:sz w:val="32"/>
          <w:szCs w:val="32"/>
          <w:lang w:val="en-US" w:eastAsia="zh-CN"/>
        </w:rPr>
        <w:t>到</w:t>
      </w:r>
      <w:r>
        <w:rPr>
          <w:rFonts w:hint="eastAsia" w:ascii="仿宋_GB2312" w:hAnsi="仿宋_GB2312" w:cs="仿宋_GB2312"/>
          <w:color w:val="auto"/>
          <w:spacing w:val="0"/>
          <w:kern w:val="21"/>
          <w:sz w:val="32"/>
          <w:szCs w:val="32"/>
        </w:rPr>
        <w:t>“十五五”末，全市油气长输管线总长度达到4000公里。</w:t>
      </w:r>
      <w:r>
        <w:rPr>
          <w:rFonts w:hint="eastAsia" w:ascii="仿宋_GB2312" w:hAnsi="仿宋_GB2312"/>
          <w:color w:val="auto"/>
          <w:spacing w:val="0"/>
          <w:kern w:val="21"/>
          <w:sz w:val="32"/>
          <w:szCs w:val="32"/>
        </w:rPr>
        <w:t>推动</w:t>
      </w:r>
      <w:r>
        <w:rPr>
          <w:rFonts w:hint="eastAsia" w:ascii="仿宋_GB2312" w:hAnsi="仿宋_GB2312" w:cs="仿宋_GB2312"/>
          <w:color w:val="auto"/>
          <w:spacing w:val="0"/>
          <w:kern w:val="21"/>
          <w:sz w:val="32"/>
          <w:szCs w:val="32"/>
        </w:rPr>
        <w:t>二氧化碳管道建设，实施延长石油千万吨老油田采收率提升工程配套项目。有序推动管道输氢、氨醇管道输送等新业态发展。</w:t>
      </w:r>
      <w:r>
        <w:rPr>
          <w:rFonts w:hint="eastAsia" w:ascii="仿宋_GB2312" w:hAnsi="仿宋_GB2312"/>
          <w:color w:val="auto"/>
          <w:spacing w:val="0"/>
          <w:kern w:val="21"/>
          <w:sz w:val="32"/>
          <w:szCs w:val="32"/>
        </w:rPr>
        <w:t>推进分布式智能电网建设，实施陕皖特高压配套送出工程。</w:t>
      </w:r>
      <w:r>
        <w:rPr>
          <w:rFonts w:hint="eastAsia" w:ascii="仿宋_GB2312" w:hAnsi="仿宋_GB2312"/>
          <w:color w:val="auto"/>
          <w:spacing w:val="0"/>
          <w:kern w:val="21"/>
          <w:sz w:val="32"/>
          <w:szCs w:val="32"/>
          <w:highlight w:val="none"/>
          <w:lang w:val="en-US" w:eastAsia="zh-CN"/>
        </w:rPr>
        <w:t>推进“陕电入渝”“陕电入鄂”通道前期研究，提升电力外送能力。</w:t>
      </w:r>
      <w:r>
        <w:rPr>
          <w:rFonts w:hint="eastAsia" w:ascii="仿宋_GB2312" w:hAnsi="仿宋_GB2312"/>
          <w:color w:val="auto"/>
          <w:spacing w:val="0"/>
          <w:kern w:val="21"/>
          <w:sz w:val="32"/>
          <w:szCs w:val="32"/>
        </w:rPr>
        <w:t>推进骨干电网升级，新建750千伏陕皖汇集站，扩建750千伏古贤开关站，谋划750千伏陕北至关中第四通道。</w:t>
      </w:r>
      <w:r>
        <w:rPr>
          <w:rFonts w:hint="eastAsia" w:ascii="仿宋_GB2312"/>
          <w:bCs/>
          <w:color w:val="auto"/>
          <w:spacing w:val="0"/>
          <w:kern w:val="21"/>
          <w:sz w:val="32"/>
          <w:szCs w:val="32"/>
        </w:rPr>
        <w:t>加快输变电设施布局，</w:t>
      </w:r>
      <w:r>
        <w:rPr>
          <w:rFonts w:ascii="仿宋_GB2312"/>
          <w:color w:val="auto"/>
          <w:spacing w:val="0"/>
          <w:kern w:val="21"/>
          <w:sz w:val="32"/>
          <w:szCs w:val="32"/>
        </w:rPr>
        <w:t>实现330千伏</w:t>
      </w:r>
      <w:r>
        <w:rPr>
          <w:rFonts w:hint="eastAsia" w:ascii="仿宋_GB2312"/>
          <w:color w:val="auto"/>
          <w:spacing w:val="0"/>
          <w:kern w:val="21"/>
          <w:sz w:val="32"/>
          <w:szCs w:val="32"/>
        </w:rPr>
        <w:t>“</w:t>
      </w:r>
      <w:r>
        <w:rPr>
          <w:rFonts w:ascii="仿宋_GB2312"/>
          <w:color w:val="auto"/>
          <w:spacing w:val="0"/>
          <w:kern w:val="21"/>
          <w:sz w:val="32"/>
          <w:szCs w:val="32"/>
        </w:rPr>
        <w:t>一县一站</w:t>
      </w:r>
      <w:r>
        <w:rPr>
          <w:rFonts w:hint="eastAsia" w:ascii="仿宋_GB2312"/>
          <w:color w:val="auto"/>
          <w:spacing w:val="0"/>
          <w:kern w:val="21"/>
          <w:sz w:val="32"/>
          <w:szCs w:val="32"/>
        </w:rPr>
        <w:t>”</w:t>
      </w:r>
      <w:r>
        <w:rPr>
          <w:rFonts w:ascii="仿宋_GB2312"/>
          <w:color w:val="auto"/>
          <w:spacing w:val="0"/>
          <w:kern w:val="21"/>
          <w:sz w:val="32"/>
          <w:szCs w:val="32"/>
        </w:rPr>
        <w:t>，110千伏</w:t>
      </w:r>
      <w:r>
        <w:rPr>
          <w:rFonts w:hint="eastAsia" w:ascii="仿宋_GB2312"/>
          <w:color w:val="auto"/>
          <w:spacing w:val="0"/>
          <w:kern w:val="21"/>
          <w:sz w:val="32"/>
          <w:szCs w:val="32"/>
        </w:rPr>
        <w:t>“</w:t>
      </w:r>
      <w:r>
        <w:rPr>
          <w:rFonts w:ascii="仿宋_GB2312"/>
          <w:color w:val="auto"/>
          <w:spacing w:val="0"/>
          <w:kern w:val="21"/>
          <w:sz w:val="32"/>
          <w:szCs w:val="32"/>
        </w:rPr>
        <w:t>一城双站</w:t>
      </w:r>
      <w:r>
        <w:rPr>
          <w:rFonts w:hint="eastAsia" w:ascii="仿宋_GB2312"/>
          <w:color w:val="auto"/>
          <w:spacing w:val="0"/>
          <w:kern w:val="21"/>
          <w:sz w:val="32"/>
          <w:szCs w:val="32"/>
        </w:rPr>
        <w:t>”</w:t>
      </w:r>
      <w:r>
        <w:rPr>
          <w:rFonts w:ascii="仿宋_GB2312"/>
          <w:color w:val="auto"/>
          <w:spacing w:val="0"/>
          <w:kern w:val="21"/>
          <w:sz w:val="32"/>
          <w:szCs w:val="32"/>
        </w:rPr>
        <w:t>，35千伏及以下电网坚强可靠</w:t>
      </w:r>
      <w:r>
        <w:rPr>
          <w:rFonts w:hint="eastAsia" w:ascii="仿宋_GB2312"/>
          <w:color w:val="auto"/>
          <w:spacing w:val="0"/>
          <w:kern w:val="21"/>
          <w:sz w:val="32"/>
          <w:szCs w:val="32"/>
        </w:rPr>
        <w:t>。</w:t>
      </w:r>
      <w:r>
        <w:rPr>
          <w:rFonts w:hint="eastAsia" w:ascii="仿宋_GB2312" w:hAnsi="仿宋_GB2312"/>
          <w:color w:val="auto"/>
          <w:spacing w:val="0"/>
          <w:kern w:val="21"/>
          <w:sz w:val="32"/>
          <w:szCs w:val="32"/>
        </w:rPr>
        <w:t>高标准建设城市、农村配电网，全域供电可靠性达到99.995%以上，A类供电区达到99.9981%以上。</w:t>
      </w:r>
    </w:p>
    <w:p w14:paraId="7EBFE38F">
      <w:pPr>
        <w:pStyle w:val="2"/>
        <w:keepNext w:val="0"/>
        <w:keepLines w:val="0"/>
        <w:pageBreakBefore w:val="0"/>
        <w:widowControl w:val="0"/>
        <w:kinsoku/>
        <w:wordWrap/>
        <w:overflowPunct w:val="0"/>
        <w:topLinePunct w:val="0"/>
        <w:autoSpaceDE/>
        <w:autoSpaceDN/>
        <w:bidi w:val="0"/>
        <w:adjustRightInd/>
        <w:snapToGrid/>
        <w:spacing w:before="0" w:after="0" w:afterAutospacing="0" w:line="60" w:lineRule="exact"/>
        <w:ind w:left="0"/>
        <w:textAlignment w:val="auto"/>
        <w:rPr>
          <w:rFonts w:hint="eastAsia"/>
          <w:color w:val="auto"/>
          <w:spacing w:val="0"/>
          <w:kern w:val="21"/>
          <w:sz w:val="32"/>
          <w:szCs w:val="40"/>
        </w:rPr>
      </w:pPr>
    </w:p>
    <w:tbl>
      <w:tblPr>
        <w:tblStyle w:val="16"/>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5"/>
      </w:tblGrid>
      <w:tr w14:paraId="70B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515" w:type="dxa"/>
            <w:vAlign w:val="center"/>
          </w:tcPr>
          <w:p w14:paraId="1EF650CC">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cs="仿宋_GB2312"/>
                <w:color w:val="auto"/>
                <w:spacing w:val="0"/>
                <w:kern w:val="21"/>
                <w:sz w:val="30"/>
                <w:szCs w:val="30"/>
                <w:highlight w:val="none"/>
                <w:u w:val="none"/>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5</w:t>
            </w:r>
            <w:r>
              <w:rPr>
                <w:rFonts w:hint="eastAsia" w:ascii="黑体" w:hAnsi="黑体" w:eastAsia="黑体" w:cs="黑体"/>
                <w:b w:val="0"/>
                <w:bCs w:val="0"/>
                <w:color w:val="auto"/>
                <w:spacing w:val="0"/>
                <w:kern w:val="21"/>
                <w:sz w:val="25"/>
                <w:szCs w:val="25"/>
                <w:highlight w:val="none"/>
                <w:u w:val="none"/>
              </w:rPr>
              <w:t xml:space="preserve"> 能源基础设施建设重点项目</w:t>
            </w:r>
          </w:p>
        </w:tc>
      </w:tr>
      <w:tr w14:paraId="3E48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2" w:hRule="atLeast"/>
          <w:jc w:val="center"/>
        </w:trPr>
        <w:tc>
          <w:tcPr>
            <w:tcW w:w="8515" w:type="dxa"/>
            <w:vAlign w:val="center"/>
          </w:tcPr>
          <w:p w14:paraId="2EF657D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油气管道重点建设项目。</w:t>
            </w:r>
            <w:r>
              <w:rPr>
                <w:rFonts w:hint="eastAsia" w:ascii="宋体" w:hAnsi="宋体" w:eastAsia="宋体" w:cs="宋体"/>
                <w:color w:val="auto"/>
                <w:spacing w:val="0"/>
                <w:kern w:val="21"/>
                <w:sz w:val="22"/>
                <w:szCs w:val="22"/>
                <w:highlight w:val="none"/>
                <w:u w:val="none"/>
              </w:rPr>
              <w:t>原油管道。重点实施延安－榆林原油联络线管道、永炼－延炼原油管网适应性改造等项目</w:t>
            </w:r>
            <w:r>
              <w:rPr>
                <w:rFonts w:hint="eastAsia" w:ascii="宋体" w:hAnsi="宋体" w:eastAsia="宋体" w:cs="宋体"/>
                <w:color w:val="auto"/>
                <w:spacing w:val="0"/>
                <w:kern w:val="21"/>
                <w:sz w:val="22"/>
                <w:szCs w:val="22"/>
                <w:highlight w:val="none"/>
                <w:u w:val="none"/>
                <w:lang w:val="en-US" w:eastAsia="zh-CN"/>
              </w:rPr>
              <w:t>。</w:t>
            </w:r>
            <w:r>
              <w:rPr>
                <w:rFonts w:hint="eastAsia" w:ascii="宋体" w:hAnsi="宋体" w:eastAsia="宋体" w:cs="宋体"/>
                <w:color w:val="auto"/>
                <w:spacing w:val="0"/>
                <w:kern w:val="21"/>
                <w:sz w:val="22"/>
                <w:szCs w:val="22"/>
                <w:highlight w:val="none"/>
                <w:u w:val="none"/>
              </w:rPr>
              <w:t>天然气管道。重点实施榆林至西安输气管道工程（一期延安段）、榆林至西安输气管道工程（二期延安段）、延长石油1000万吨/年炼化一体化转型升级项目供气管道、延长气田东区新增1#净化厂外输管线、延长气田南区新增2#净化厂外输管线、延长气田新增3#净化厂外输管线、中石油辽河油田宜川、黄龙外输管线、中石化富县气区外输管道工程</w:t>
            </w:r>
            <w:r>
              <w:rPr>
                <w:rFonts w:hint="eastAsia" w:ascii="宋体" w:hAnsi="宋体" w:eastAsia="宋体" w:cs="宋体"/>
                <w:color w:val="auto"/>
                <w:spacing w:val="0"/>
                <w:kern w:val="21"/>
                <w:sz w:val="22"/>
                <w:szCs w:val="22"/>
                <w:highlight w:val="none"/>
                <w:u w:val="none"/>
                <w:lang w:val="en-US" w:eastAsia="zh-CN"/>
              </w:rPr>
              <w:t>等项目</w:t>
            </w:r>
            <w:r>
              <w:rPr>
                <w:rFonts w:hint="eastAsia" w:ascii="宋体" w:hAnsi="宋体" w:eastAsia="宋体" w:cs="宋体"/>
                <w:color w:val="auto"/>
                <w:spacing w:val="0"/>
                <w:kern w:val="21"/>
                <w:sz w:val="22"/>
                <w:szCs w:val="22"/>
                <w:highlight w:val="none"/>
                <w:u w:val="none"/>
              </w:rPr>
              <w:t>。谋划</w:t>
            </w:r>
            <w:r>
              <w:rPr>
                <w:rFonts w:hint="eastAsia" w:ascii="宋体" w:hAnsi="宋体" w:eastAsia="宋体" w:cs="宋体"/>
                <w:color w:val="auto"/>
                <w:spacing w:val="0"/>
                <w:kern w:val="21"/>
                <w:sz w:val="22"/>
                <w:szCs w:val="22"/>
                <w:highlight w:val="none"/>
                <w:u w:val="none"/>
                <w:lang w:val="en-US" w:eastAsia="zh-CN"/>
              </w:rPr>
              <w:t>实施</w:t>
            </w:r>
            <w:r>
              <w:rPr>
                <w:rFonts w:hint="eastAsia" w:ascii="宋体" w:hAnsi="宋体" w:eastAsia="宋体" w:cs="宋体"/>
                <w:color w:val="auto"/>
                <w:spacing w:val="0"/>
                <w:kern w:val="21"/>
                <w:sz w:val="22"/>
                <w:szCs w:val="22"/>
                <w:highlight w:val="none"/>
                <w:u w:val="none"/>
              </w:rPr>
              <w:t>陕燃集团靖西二线黄龙支线、姚店－延川输气管道、临镇首站－榆西线二期联络线</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辽河宜6集气站至崔家寺调压站天然气输气管道</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中石油煤层气井家集气站－崔家寺化工园区输配站高压燃气管道工程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中石油煤层气延川区域外输工程</w:t>
            </w:r>
            <w:r>
              <w:rPr>
                <w:rFonts w:hint="eastAsia" w:ascii="宋体" w:hAnsi="宋体" w:eastAsia="宋体" w:cs="宋体"/>
                <w:color w:val="auto"/>
                <w:spacing w:val="0"/>
                <w:kern w:val="21"/>
                <w:sz w:val="22"/>
                <w:szCs w:val="22"/>
                <w:highlight w:val="none"/>
                <w:u w:val="none"/>
              </w:rPr>
              <w:t>等项目。二氧化碳管道。重点实施延长石油千万吨老油田采收率提升</w:t>
            </w:r>
            <w:r>
              <w:rPr>
                <w:rFonts w:hint="eastAsia" w:ascii="宋体" w:hAnsi="宋体" w:eastAsia="宋体" w:cs="宋体"/>
                <w:color w:val="auto"/>
                <w:spacing w:val="0"/>
                <w:kern w:val="21"/>
                <w:sz w:val="22"/>
                <w:szCs w:val="22"/>
                <w:highlight w:val="none"/>
                <w:u w:val="none"/>
                <w:lang w:val="en-US" w:eastAsia="zh-CN"/>
              </w:rPr>
              <w:t>及</w:t>
            </w:r>
            <w:r>
              <w:rPr>
                <w:rFonts w:hint="eastAsia" w:ascii="宋体" w:hAnsi="宋体" w:eastAsia="宋体" w:cs="宋体"/>
                <w:color w:val="auto"/>
                <w:spacing w:val="0"/>
                <w:kern w:val="21"/>
                <w:sz w:val="22"/>
                <w:szCs w:val="22"/>
                <w:highlight w:val="none"/>
                <w:u w:val="none"/>
              </w:rPr>
              <w:t>配套工程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靖边</w:t>
            </w:r>
            <w:r>
              <w:rPr>
                <w:rFonts w:hint="eastAsia" w:ascii="宋体" w:hAnsi="宋体" w:eastAsia="宋体" w:cs="宋体"/>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lang w:val="en-US" w:eastAsia="zh-CN"/>
              </w:rPr>
              <w:t>安塞二氧化碳管道延安段</w:t>
            </w:r>
            <w:r>
              <w:rPr>
                <w:rFonts w:hint="eastAsia" w:ascii="宋体" w:hAnsi="宋体" w:eastAsia="宋体" w:cs="宋体"/>
                <w:color w:val="auto"/>
                <w:spacing w:val="0"/>
                <w:kern w:val="21"/>
                <w:sz w:val="22"/>
                <w:szCs w:val="22"/>
                <w:highlight w:val="none"/>
                <w:u w:val="none"/>
              </w:rPr>
              <w:t>等项目。</w:t>
            </w:r>
          </w:p>
          <w:p w14:paraId="148F0BCB">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30"/>
                <w:szCs w:val="30"/>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电力基础设施重点项目。</w:t>
            </w:r>
            <w:r>
              <w:rPr>
                <w:rFonts w:hint="eastAsia" w:ascii="宋体" w:hAnsi="宋体" w:eastAsia="宋体" w:cs="宋体"/>
                <w:color w:val="auto"/>
                <w:spacing w:val="0"/>
                <w:kern w:val="21"/>
                <w:sz w:val="22"/>
                <w:szCs w:val="22"/>
                <w:highlight w:val="none"/>
                <w:u w:val="none"/>
              </w:rPr>
              <w:t>重点实施长庆油气田清洁电力、陕皖特高压配套送出工程、陕北至关中750千伏第三通道输变电工程，新建750千伏陕皖汇集站，扩建750千伏古贤开关站，谋划750千伏陕北至关中第四通道；建设洛川杨舒330千伏输变电工程、子长330千伏输变电工程、延榆高铁延安段330千伏供电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吴起县3座330千伏汇集站，扩建甘泉众宝、宜川壶口330千伏变电站，建成延长罗子山、子长李家岔、吴起周湾、宜川丹州、富县白草洼、安塞沿河湾等</w:t>
            </w:r>
            <w:r>
              <w:rPr>
                <w:rFonts w:hint="eastAsia" w:ascii="宋体" w:hAnsi="宋体" w:eastAsia="宋体" w:cs="宋体"/>
                <w:color w:val="auto"/>
                <w:spacing w:val="0"/>
                <w:kern w:val="21"/>
                <w:sz w:val="22"/>
                <w:szCs w:val="22"/>
                <w:highlight w:val="none"/>
                <w:u w:val="none"/>
                <w:lang w:val="en-US" w:eastAsia="zh-CN"/>
              </w:rPr>
              <w:t>11</w:t>
            </w:r>
            <w:r>
              <w:rPr>
                <w:rFonts w:hint="eastAsia" w:ascii="宋体" w:hAnsi="宋体" w:eastAsia="宋体" w:cs="宋体"/>
                <w:color w:val="auto"/>
                <w:spacing w:val="0"/>
                <w:kern w:val="21"/>
                <w:sz w:val="22"/>
                <w:szCs w:val="22"/>
                <w:highlight w:val="none"/>
                <w:u w:val="none"/>
              </w:rPr>
              <w:t>座110千伏变电站，安塞王家湾、志丹吴堡、甘泉清泉等</w:t>
            </w:r>
            <w:r>
              <w:rPr>
                <w:rFonts w:hint="eastAsia" w:ascii="宋体" w:hAnsi="宋体" w:eastAsia="宋体" w:cs="宋体"/>
                <w:color w:val="auto"/>
                <w:spacing w:val="0"/>
                <w:kern w:val="21"/>
                <w:sz w:val="22"/>
                <w:szCs w:val="22"/>
                <w:highlight w:val="none"/>
                <w:u w:val="none"/>
                <w:lang w:val="en-US" w:eastAsia="zh-CN"/>
              </w:rPr>
              <w:t>1</w:t>
            </w:r>
            <w:r>
              <w:rPr>
                <w:rFonts w:hint="eastAsia" w:ascii="宋体" w:hAnsi="宋体" w:eastAsia="宋体" w:cs="宋体"/>
                <w:color w:val="auto"/>
                <w:spacing w:val="0"/>
                <w:kern w:val="21"/>
                <w:sz w:val="22"/>
                <w:szCs w:val="22"/>
                <w:highlight w:val="none"/>
                <w:u w:val="none"/>
              </w:rPr>
              <w:t>6座35千伏变电站。</w:t>
            </w:r>
          </w:p>
        </w:tc>
      </w:tr>
    </w:tbl>
    <w:p w14:paraId="0083F707">
      <w:pPr>
        <w:pStyle w:val="15"/>
        <w:keepNext w:val="0"/>
        <w:keepLines w:val="0"/>
        <w:pageBreakBefore w:val="0"/>
        <w:widowControl w:val="0"/>
        <w:kinsoku/>
        <w:wordWrap/>
        <w:overflowPunct w:val="0"/>
        <w:topLinePunct w:val="0"/>
        <w:autoSpaceDE/>
        <w:autoSpaceDN/>
        <w:bidi w:val="0"/>
        <w:adjustRightInd/>
        <w:snapToGrid/>
        <w:spacing w:after="0" w:afterAutospacing="0" w:line="560" w:lineRule="exact"/>
        <w:ind w:left="0" w:leftChars="0" w:firstLine="643"/>
        <w:textAlignment w:val="auto"/>
        <w:rPr>
          <w:rFonts w:hint="eastAsia" w:ascii="仿宋_GB2312" w:hAnsi="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水利基础设施。</w:t>
      </w:r>
      <w:r>
        <w:rPr>
          <w:rFonts w:hint="eastAsia" w:ascii="仿宋_GB2312" w:hAnsi="仿宋_GB2312"/>
          <w:color w:val="auto"/>
          <w:spacing w:val="0"/>
          <w:kern w:val="21"/>
          <w:sz w:val="32"/>
          <w:szCs w:val="32"/>
        </w:rPr>
        <w:t>对接国家和省级水网建设总体布局，逐步构建“系统完备、安全可靠、集约高效、绿色智能、循环畅通、调控有序”的水网格局。加快构建“引黄引江、四干六脉、五星多点、互联互通”的水网主骨架大动脉，</w:t>
      </w:r>
      <w:r>
        <w:rPr>
          <w:rFonts w:hint="eastAsia" w:ascii="仿宋_GB2312" w:hAnsi="仿宋_GB2312"/>
          <w:color w:val="auto"/>
          <w:spacing w:val="0"/>
          <w:kern w:val="21"/>
          <w:sz w:val="32"/>
          <w:szCs w:val="32"/>
          <w:highlight w:val="none"/>
          <w:lang w:val="en-US" w:eastAsia="zh-CN"/>
        </w:rPr>
        <w:t>深化论证</w:t>
      </w:r>
      <w:r>
        <w:rPr>
          <w:rFonts w:hint="eastAsia" w:ascii="仿宋_GB2312" w:hAnsi="仿宋_GB2312"/>
          <w:color w:val="auto"/>
          <w:spacing w:val="0"/>
          <w:kern w:val="21"/>
          <w:sz w:val="32"/>
          <w:szCs w:val="32"/>
          <w:highlight w:val="none"/>
        </w:rPr>
        <w:t>白龙江引水</w:t>
      </w:r>
      <w:r>
        <w:rPr>
          <w:rFonts w:hint="eastAsia" w:ascii="仿宋_GB2312" w:hAnsi="仿宋_GB2312"/>
          <w:color w:val="auto"/>
          <w:spacing w:val="0"/>
          <w:kern w:val="21"/>
          <w:sz w:val="32"/>
          <w:szCs w:val="32"/>
          <w:highlight w:val="none"/>
          <w:lang w:val="en-US" w:eastAsia="zh-CN"/>
        </w:rPr>
        <w:t>延安供水</w:t>
      </w:r>
      <w:r>
        <w:rPr>
          <w:rFonts w:hint="eastAsia" w:ascii="仿宋_GB2312" w:hAnsi="仿宋_GB2312"/>
          <w:color w:val="auto"/>
          <w:spacing w:val="0"/>
          <w:kern w:val="21"/>
          <w:sz w:val="32"/>
          <w:szCs w:val="32"/>
          <w:highlight w:val="none"/>
        </w:rPr>
        <w:t>工程</w:t>
      </w:r>
      <w:r>
        <w:rPr>
          <w:rFonts w:hint="eastAsia" w:ascii="仿宋_GB2312" w:hAnsi="仿宋_GB2312"/>
          <w:color w:val="auto"/>
          <w:spacing w:val="0"/>
          <w:kern w:val="21"/>
          <w:sz w:val="32"/>
          <w:szCs w:val="32"/>
        </w:rPr>
        <w:t>。推</w:t>
      </w:r>
      <w:r>
        <w:rPr>
          <w:rFonts w:hint="eastAsia" w:ascii="仿宋_GB2312" w:hAnsi="仿宋_GB2312"/>
          <w:color w:val="auto"/>
          <w:spacing w:val="0"/>
          <w:kern w:val="21"/>
          <w:sz w:val="32"/>
          <w:szCs w:val="32"/>
          <w:lang w:val="en-US" w:eastAsia="zh-CN"/>
        </w:rPr>
        <w:t>动</w:t>
      </w:r>
      <w:r>
        <w:rPr>
          <w:rFonts w:hint="eastAsia" w:ascii="仿宋_GB2312" w:hAnsi="仿宋_GB2312"/>
          <w:color w:val="auto"/>
          <w:spacing w:val="0"/>
          <w:kern w:val="21"/>
          <w:sz w:val="32"/>
          <w:szCs w:val="32"/>
        </w:rPr>
        <w:t>城乡供水一体化、农村供水规模化和供水管网改造</w:t>
      </w:r>
      <w:r>
        <w:rPr>
          <w:rFonts w:hint="eastAsia" w:ascii="仿宋_GB2312" w:hAnsi="仿宋_GB2312"/>
          <w:color w:val="auto"/>
          <w:spacing w:val="0"/>
          <w:kern w:val="21"/>
          <w:sz w:val="32"/>
          <w:szCs w:val="32"/>
          <w:lang w:val="en-US" w:eastAsia="zh-CN"/>
        </w:rPr>
        <w:t>等</w:t>
      </w:r>
      <w:r>
        <w:rPr>
          <w:rFonts w:hint="eastAsia" w:ascii="仿宋_GB2312" w:hAnsi="仿宋_GB2312"/>
          <w:color w:val="auto"/>
          <w:spacing w:val="0"/>
          <w:kern w:val="21"/>
          <w:sz w:val="32"/>
          <w:szCs w:val="32"/>
        </w:rPr>
        <w:t>工程，打通县级水网“最后一公里”。以延河、北洛河两大流域为重点，持续开展主要支流、中小河流、山洪沟和小流域体系化全流域系统治理，推进龙安水利枢纽等防洪控制性工程建设。</w:t>
      </w:r>
      <w:r>
        <w:rPr>
          <w:rFonts w:hint="eastAsia" w:ascii="仿宋_GB2312" w:hAnsi="仿宋_GB2312"/>
          <w:color w:val="auto"/>
          <w:spacing w:val="0"/>
          <w:kern w:val="21"/>
          <w:sz w:val="32"/>
          <w:szCs w:val="32"/>
          <w:lang w:val="en-US" w:eastAsia="zh-CN"/>
        </w:rPr>
        <w:t>搭建</w:t>
      </w:r>
      <w:r>
        <w:rPr>
          <w:rFonts w:hint="eastAsia" w:ascii="仿宋_GB2312" w:hAnsi="仿宋_GB2312"/>
          <w:color w:val="auto"/>
          <w:spacing w:val="0"/>
          <w:kern w:val="21"/>
          <w:sz w:val="32"/>
          <w:szCs w:val="32"/>
        </w:rPr>
        <w:t>市级智慧水利平台，形成市县两级互联共享水利智慧系统。</w:t>
      </w:r>
      <w:r>
        <w:rPr>
          <w:rFonts w:hint="eastAsia" w:ascii="仿宋_GB2312" w:hAnsi="仿宋_GB2312"/>
          <w:color w:val="auto"/>
          <w:spacing w:val="0"/>
          <w:kern w:val="21"/>
          <w:sz w:val="32"/>
          <w:szCs w:val="32"/>
          <w:lang w:val="en-US" w:eastAsia="zh-CN"/>
        </w:rPr>
        <w:t>全力做好古贤水利枢纽服务保障工作，统筹做好古贤水库移民搬迁、产业规划、产业培育、旅游开发、配套设施建设等。</w:t>
      </w:r>
    </w:p>
    <w:p w14:paraId="2A4D1211">
      <w:pPr>
        <w:pStyle w:val="15"/>
        <w:keepNext w:val="0"/>
        <w:keepLines w:val="0"/>
        <w:pageBreakBefore w:val="0"/>
        <w:widowControl w:val="0"/>
        <w:kinsoku/>
        <w:wordWrap/>
        <w:overflowPunct w:val="0"/>
        <w:topLinePunct w:val="0"/>
        <w:autoSpaceDE/>
        <w:autoSpaceDN/>
        <w:bidi w:val="0"/>
        <w:adjustRightInd/>
        <w:snapToGrid/>
        <w:spacing w:after="0" w:afterAutospacing="0" w:line="60" w:lineRule="exact"/>
        <w:ind w:left="0" w:leftChars="0" w:firstLine="643"/>
        <w:textAlignment w:val="auto"/>
        <w:rPr>
          <w:rFonts w:hint="eastAsia" w:ascii="仿宋_GB2312" w:hAnsi="仿宋_GB2312"/>
          <w:color w:val="auto"/>
          <w:spacing w:val="0"/>
          <w:kern w:val="21"/>
          <w:sz w:val="32"/>
          <w:szCs w:val="32"/>
          <w:lang w:val="en-US" w:eastAsia="zh-CN"/>
        </w:rPr>
      </w:pPr>
    </w:p>
    <w:tbl>
      <w:tblPr>
        <w:tblStyle w:val="16"/>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7"/>
      </w:tblGrid>
      <w:tr w14:paraId="65D0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907" w:type="dxa"/>
            <w:vAlign w:val="center"/>
          </w:tcPr>
          <w:p w14:paraId="09EB0CB4">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eastAsia="zh-CN"/>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6</w:t>
            </w:r>
            <w:r>
              <w:rPr>
                <w:rFonts w:hint="eastAsia" w:ascii="黑体" w:hAnsi="黑体" w:eastAsia="黑体" w:cs="黑体"/>
                <w:b w:val="0"/>
                <w:bCs w:val="0"/>
                <w:color w:val="auto"/>
                <w:spacing w:val="0"/>
                <w:kern w:val="21"/>
                <w:sz w:val="25"/>
                <w:szCs w:val="25"/>
                <w:highlight w:val="none"/>
                <w:u w:val="none"/>
              </w:rPr>
              <w:t xml:space="preserve"> 水利设施重点</w:t>
            </w:r>
            <w:r>
              <w:rPr>
                <w:rFonts w:hint="eastAsia" w:ascii="黑体" w:hAnsi="黑体" w:eastAsia="黑体" w:cs="黑体"/>
                <w:b w:val="0"/>
                <w:bCs w:val="0"/>
                <w:color w:val="auto"/>
                <w:spacing w:val="0"/>
                <w:kern w:val="21"/>
                <w:sz w:val="25"/>
                <w:szCs w:val="25"/>
                <w:highlight w:val="none"/>
                <w:u w:val="none"/>
                <w:lang w:val="en-US" w:eastAsia="zh-CN"/>
              </w:rPr>
              <w:t>工程</w:t>
            </w:r>
          </w:p>
        </w:tc>
      </w:tr>
      <w:tr w14:paraId="49F5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9" w:hRule="atLeast"/>
          <w:jc w:val="center"/>
        </w:trPr>
        <w:tc>
          <w:tcPr>
            <w:tcW w:w="8907" w:type="dxa"/>
            <w:vAlign w:val="center"/>
          </w:tcPr>
          <w:p w14:paraId="14DDD3D7">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骨干水资源配置工程。</w:t>
            </w:r>
            <w:r>
              <w:rPr>
                <w:rFonts w:hint="eastAsia" w:ascii="宋体" w:hAnsi="宋体" w:eastAsia="宋体" w:cs="宋体"/>
                <w:color w:val="auto"/>
                <w:spacing w:val="0"/>
                <w:kern w:val="21"/>
                <w:sz w:val="22"/>
                <w:szCs w:val="22"/>
                <w:highlight w:val="none"/>
                <w:u w:val="none"/>
              </w:rPr>
              <w:t>重点实施黄河引水子长</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延长供水工程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黄河引水一至三级站复建工程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南沟门水库洛川中部片区供水工程、陕甘宁盐环定吴起城镇应急供水工程等，开工建设宝塔区高庄水库，开展</w:t>
            </w:r>
            <w:r>
              <w:rPr>
                <w:rFonts w:hint="eastAsia" w:ascii="宋体" w:hAnsi="宋体" w:eastAsia="宋体" w:cs="宋体"/>
                <w:color w:val="auto"/>
                <w:spacing w:val="0"/>
                <w:kern w:val="21"/>
                <w:sz w:val="22"/>
                <w:szCs w:val="22"/>
                <w:highlight w:val="none"/>
                <w:u w:val="none"/>
                <w:lang w:val="en-US" w:eastAsia="zh-CN"/>
              </w:rPr>
              <w:t>中山川、</w:t>
            </w:r>
            <w:r>
              <w:rPr>
                <w:rFonts w:hint="eastAsia" w:ascii="宋体" w:hAnsi="宋体" w:eastAsia="宋体" w:cs="宋体"/>
                <w:color w:val="auto"/>
                <w:spacing w:val="0"/>
                <w:kern w:val="21"/>
                <w:sz w:val="22"/>
                <w:szCs w:val="22"/>
                <w:highlight w:val="none"/>
                <w:u w:val="none"/>
              </w:rPr>
              <w:t>两水河、吴家河、胜利</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雨岔</w:t>
            </w:r>
            <w:r>
              <w:rPr>
                <w:rFonts w:hint="eastAsia" w:ascii="宋体" w:hAnsi="宋体" w:eastAsia="宋体" w:cs="宋体"/>
                <w:color w:val="auto"/>
                <w:spacing w:val="0"/>
                <w:kern w:val="21"/>
                <w:sz w:val="22"/>
                <w:szCs w:val="22"/>
                <w:highlight w:val="none"/>
                <w:u w:val="none"/>
              </w:rPr>
              <w:t>等水库清淤扩容。</w:t>
            </w:r>
          </w:p>
          <w:p w14:paraId="439F57A6">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灾害防御安澜工程。</w:t>
            </w:r>
            <w:r>
              <w:rPr>
                <w:rFonts w:hint="eastAsia" w:ascii="宋体" w:hAnsi="宋体" w:eastAsia="宋体" w:cs="宋体"/>
                <w:color w:val="auto"/>
                <w:spacing w:val="0"/>
                <w:kern w:val="21"/>
                <w:sz w:val="22"/>
                <w:szCs w:val="22"/>
                <w:highlight w:val="none"/>
                <w:u w:val="none"/>
              </w:rPr>
              <w:t>完成王瑶水库扩容工程，实施延河防洪治理工程、北洛河防洪治理工程和宁塞川、乱石头川、石堡川等中小河流治理，力争开工龙安水利枢纽工程、吴起庙咀水库，推进志丹永宁、吴起后湾、安塞楼坪</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谢屯水库</w:t>
            </w:r>
            <w:r>
              <w:rPr>
                <w:rFonts w:hint="eastAsia" w:ascii="宋体" w:hAnsi="宋体" w:eastAsia="宋体" w:cs="宋体"/>
                <w:color w:val="auto"/>
                <w:spacing w:val="0"/>
                <w:kern w:val="21"/>
                <w:sz w:val="22"/>
                <w:szCs w:val="22"/>
                <w:highlight w:val="none"/>
                <w:u w:val="none"/>
                <w:lang w:eastAsia="zh-CN"/>
              </w:rPr>
              <w:t>和</w:t>
            </w:r>
            <w:r>
              <w:rPr>
                <w:rFonts w:hint="eastAsia" w:ascii="宋体" w:hAnsi="宋体" w:eastAsia="宋体" w:cs="宋体"/>
                <w:color w:val="auto"/>
                <w:spacing w:val="0"/>
                <w:kern w:val="21"/>
                <w:sz w:val="22"/>
                <w:szCs w:val="22"/>
                <w:highlight w:val="none"/>
                <w:u w:val="none"/>
              </w:rPr>
              <w:t>延河分洪道前期。</w:t>
            </w:r>
          </w:p>
          <w:p w14:paraId="2163D4C5">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河湖生态保护工程。</w:t>
            </w:r>
            <w:r>
              <w:rPr>
                <w:rFonts w:hint="eastAsia" w:ascii="宋体" w:hAnsi="宋体" w:eastAsia="宋体" w:cs="宋体"/>
                <w:color w:val="auto"/>
                <w:spacing w:val="0"/>
                <w:kern w:val="21"/>
                <w:sz w:val="22"/>
                <w:szCs w:val="22"/>
                <w:highlight w:val="none"/>
                <w:u w:val="none"/>
              </w:rPr>
              <w:t>重点实施宝塔区西川、富县小河子川等特色幸福河湖。</w:t>
            </w:r>
          </w:p>
          <w:p w14:paraId="69118C94">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城乡供水保障工程。</w:t>
            </w:r>
            <w:r>
              <w:rPr>
                <w:rFonts w:hint="eastAsia" w:ascii="宋体" w:hAnsi="宋体" w:eastAsia="宋体" w:cs="宋体"/>
                <w:color w:val="auto"/>
                <w:spacing w:val="0"/>
                <w:kern w:val="21"/>
                <w:sz w:val="22"/>
                <w:szCs w:val="22"/>
                <w:highlight w:val="none"/>
                <w:u w:val="none"/>
              </w:rPr>
              <w:t>实施宝塔区城乡供水一体化、志丹县城乡一体化供水管网延伸、黄龙县第二水厂建设、富县牛武川区域供水等工程。</w:t>
            </w:r>
          </w:p>
          <w:p w14:paraId="653481C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30"/>
                <w:szCs w:val="30"/>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数字孪生赋能工程。</w:t>
            </w:r>
            <w:r>
              <w:rPr>
                <w:rFonts w:hint="eastAsia" w:ascii="宋体" w:hAnsi="宋体" w:eastAsia="宋体" w:cs="宋体"/>
                <w:color w:val="auto"/>
                <w:spacing w:val="0"/>
                <w:kern w:val="21"/>
                <w:sz w:val="22"/>
                <w:szCs w:val="22"/>
                <w:highlight w:val="none"/>
                <w:u w:val="none"/>
              </w:rPr>
              <w:t>重点实施延安市智慧水利暨数字孪生延河流域建设等项目。</w:t>
            </w:r>
          </w:p>
        </w:tc>
      </w:tr>
    </w:tbl>
    <w:p w14:paraId="6122DD82">
      <w:pPr>
        <w:keepNext w:val="0"/>
        <w:keepLines w:val="0"/>
        <w:pageBreakBefore w:val="0"/>
        <w:widowControl w:val="0"/>
        <w:kinsoku/>
        <w:wordWrap/>
        <w:overflowPunct w:val="0"/>
        <w:topLinePunct w:val="0"/>
        <w:autoSpaceDE/>
        <w:autoSpaceDN/>
        <w:bidi w:val="0"/>
        <w:adjustRightInd/>
        <w:snapToGrid/>
        <w:spacing w:afterAutospacing="0" w:line="60" w:lineRule="exact"/>
        <w:ind w:left="0"/>
        <w:textAlignment w:val="auto"/>
        <w:rPr>
          <w:rFonts w:hint="eastAsia" w:ascii="楷体_GB2312" w:hAnsi="楷体_GB2312" w:eastAsia="楷体_GB2312" w:cs="楷体_GB2312"/>
          <w:b w:val="0"/>
          <w:bCs w:val="0"/>
          <w:color w:val="auto"/>
          <w:spacing w:val="0"/>
          <w:kern w:val="21"/>
          <w:sz w:val="32"/>
          <w:szCs w:val="32"/>
        </w:rPr>
      </w:pPr>
    </w:p>
    <w:p w14:paraId="2D5B2297">
      <w:pPr>
        <w:keepNext w:val="0"/>
        <w:keepLines w:val="0"/>
        <w:pageBreakBefore w:val="0"/>
        <w:widowControl w:val="0"/>
        <w:kinsoku/>
        <w:wordWrap/>
        <w:overflowPunct w:val="0"/>
        <w:topLinePunct w:val="0"/>
        <w:autoSpaceDE/>
        <w:autoSpaceDN/>
        <w:bidi w:val="0"/>
        <w:adjustRightInd/>
        <w:snapToGrid/>
        <w:spacing w:afterAutospacing="0" w:line="52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新型基础设施。</w:t>
      </w:r>
      <w:r>
        <w:rPr>
          <w:rFonts w:hint="eastAsia" w:ascii="仿宋_GB2312" w:hAnsi="仿宋_GB2312" w:cs="仿宋_GB2312"/>
          <w:color w:val="auto"/>
          <w:spacing w:val="0"/>
          <w:kern w:val="21"/>
          <w:sz w:val="32"/>
          <w:szCs w:val="32"/>
        </w:rPr>
        <w:t>依托延安云计算数据中心，建设以政务云、国资云、教育云、政法云、医疗云专区为主要内容的“圣地云”。推动全市企事业单位、各行业“上云用数”。统筹推进5G、5G-A、6G网络及乡镇以上“双千兆”覆盖，布局5G-A、6G场景应用试点。推进第六代互联网协议（IPv6）规模部署，升级IPv6骨干网互联节点以及城域网、接入网等，推广窄带物联网（NB-IoT）网络部署和拓展行业应用。建设网管平台，加速推进电子政务外网骨干网升级和部门专网整合。统筹区域算力资源，推动无锡·延安智算中心二期、电信新区5G创新产业园、延安云计算数据中心二期、吴起鹏银大数据中心等项目建设，加快建设和布局一体化数据中枢平台和视频物联数据互通平台，强化算力基础设施支撑。加快构建“两地三中心”数据灾备体系，把延安打造成全国重要的数据战略灾备基地。加快构建城市可信数据空间，围绕重点产业链建设行业可信数据空间，大力推进行业高质量数据集建设和典型应用场景落地。完善网络安全监测和防护平台功能，搭建用好数据安全运营中心和态势感知平台，加快布局一批工业互联网平台。推进传统基础设施更新和数智化改造，加快充电换电、智慧交通物流、智慧城市、车路云一体化等基础设施建设。超前布局重大科技基础设施、科教基础设施和产业技术基础设施。到2030年</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实现5G网络乡镇全覆盖</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重点场景室内双千兆网络100%覆盖，5G+网络涵盖全市主要区域，全市移动网络IPv6流量占比超65%。</w:t>
      </w:r>
    </w:p>
    <w:p w14:paraId="225EFA6B">
      <w:pPr>
        <w:pStyle w:val="3"/>
        <w:keepNext w:val="0"/>
        <w:keepLines w:val="0"/>
        <w:pageBreakBefore w:val="0"/>
        <w:widowControl w:val="0"/>
        <w:kinsoku/>
        <w:wordWrap/>
        <w:overflowPunct w:val="0"/>
        <w:topLinePunct w:val="0"/>
        <w:autoSpaceDE/>
        <w:autoSpaceDN/>
        <w:bidi w:val="0"/>
        <w:adjustRightInd/>
        <w:snapToGrid/>
        <w:spacing w:before="0" w:after="0" w:afterAutospacing="0" w:line="60" w:lineRule="exact"/>
        <w:ind w:left="0"/>
        <w:textAlignment w:val="auto"/>
        <w:rPr>
          <w:rFonts w:hint="eastAsia"/>
          <w:color w:val="auto"/>
          <w:spacing w:val="0"/>
          <w:kern w:val="21"/>
          <w:sz w:val="21"/>
          <w:szCs w:val="18"/>
        </w:rPr>
      </w:pPr>
    </w:p>
    <w:tbl>
      <w:tblPr>
        <w:tblStyle w:val="16"/>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4"/>
      </w:tblGrid>
      <w:tr w14:paraId="007E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654" w:type="dxa"/>
            <w:vAlign w:val="center"/>
          </w:tcPr>
          <w:p w14:paraId="3E254B8E">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default" w:ascii="仿宋_GB2312" w:hAnsi="仿宋_GB2312" w:eastAsia="楷体_GB2312" w:cs="仿宋_GB2312"/>
                <w:b w:val="0"/>
                <w:bCs w:val="0"/>
                <w:color w:val="auto"/>
                <w:spacing w:val="0"/>
                <w:kern w:val="21"/>
                <w:sz w:val="30"/>
                <w:szCs w:val="30"/>
                <w:highlight w:val="none"/>
                <w:u w:val="none"/>
                <w:lang w:val="en-US" w:eastAsia="zh-CN"/>
              </w:rPr>
            </w:pPr>
            <w:r>
              <w:rPr>
                <w:rFonts w:hint="eastAsia" w:ascii="黑体" w:hAnsi="黑体" w:eastAsia="黑体" w:cs="黑体"/>
                <w:b w:val="0"/>
                <w:bCs w:val="0"/>
                <w:color w:val="auto"/>
                <w:spacing w:val="0"/>
                <w:kern w:val="21"/>
                <w:sz w:val="25"/>
                <w:szCs w:val="25"/>
                <w:highlight w:val="none"/>
                <w:u w:val="none"/>
              </w:rPr>
              <w:t>专栏1</w:t>
            </w:r>
            <w:r>
              <w:rPr>
                <w:rFonts w:hint="eastAsia" w:ascii="黑体" w:hAnsi="黑体" w:eastAsia="黑体" w:cs="黑体"/>
                <w:b w:val="0"/>
                <w:bCs w:val="0"/>
                <w:color w:val="auto"/>
                <w:spacing w:val="0"/>
                <w:kern w:val="21"/>
                <w:sz w:val="25"/>
                <w:szCs w:val="25"/>
                <w:highlight w:val="none"/>
                <w:u w:val="none"/>
                <w:lang w:val="en-US" w:eastAsia="zh-CN"/>
              </w:rPr>
              <w:t>7</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val="en-US" w:eastAsia="zh-CN"/>
              </w:rPr>
              <w:t>新型基础设施重点项目</w:t>
            </w:r>
          </w:p>
        </w:tc>
      </w:tr>
      <w:tr w14:paraId="3EDE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7" w:hRule="atLeast"/>
          <w:jc w:val="center"/>
        </w:trPr>
        <w:tc>
          <w:tcPr>
            <w:tcW w:w="8654" w:type="dxa"/>
            <w:vAlign w:val="center"/>
          </w:tcPr>
          <w:p w14:paraId="1BE40716">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网络基础设施重点项目。</w:t>
            </w:r>
            <w:r>
              <w:rPr>
                <w:rFonts w:hint="eastAsia" w:ascii="宋体" w:hAnsi="宋体" w:eastAsia="宋体" w:cs="宋体"/>
                <w:color w:val="auto"/>
                <w:spacing w:val="0"/>
                <w:kern w:val="21"/>
                <w:sz w:val="22"/>
                <w:szCs w:val="22"/>
                <w:highlight w:val="none"/>
                <w:u w:val="none"/>
              </w:rPr>
              <w:t>加快5G、5G+网络建设，支持架构优化和超低延时网络升级，力争实现乡镇以上及重点区域“双千兆</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全覆盖。重点实施5G物联网</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延安高新区新型数字基础设施</w:t>
            </w:r>
            <w:r>
              <w:rPr>
                <w:rFonts w:hint="eastAsia" w:ascii="宋体" w:hAnsi="宋体" w:eastAsia="宋体" w:cs="宋体"/>
                <w:color w:val="auto"/>
                <w:spacing w:val="0"/>
                <w:kern w:val="21"/>
                <w:sz w:val="22"/>
                <w:szCs w:val="22"/>
                <w:highlight w:val="none"/>
                <w:u w:val="none"/>
                <w:lang w:val="en-US" w:eastAsia="zh-CN"/>
              </w:rPr>
              <w:t>配套</w:t>
            </w:r>
            <w:r>
              <w:rPr>
                <w:rFonts w:hint="eastAsia" w:ascii="宋体" w:hAnsi="宋体" w:eastAsia="宋体" w:cs="宋体"/>
                <w:color w:val="auto"/>
                <w:spacing w:val="0"/>
                <w:kern w:val="21"/>
                <w:sz w:val="22"/>
                <w:szCs w:val="22"/>
                <w:highlight w:val="none"/>
                <w:u w:val="none"/>
              </w:rPr>
              <w:t>建设等项目。</w:t>
            </w:r>
          </w:p>
          <w:p w14:paraId="0C338CD2">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算力基础设施重点项目。</w:t>
            </w:r>
            <w:r>
              <w:rPr>
                <w:rFonts w:hint="eastAsia" w:ascii="宋体" w:hAnsi="宋体" w:eastAsia="宋体" w:cs="宋体"/>
                <w:color w:val="auto"/>
                <w:spacing w:val="0"/>
                <w:kern w:val="21"/>
                <w:sz w:val="22"/>
                <w:szCs w:val="22"/>
                <w:highlight w:val="none"/>
                <w:u w:val="none"/>
              </w:rPr>
              <w:t>重点建设以政务云、国资云、教育云、政法云、医疗云专区为主要内容的“圣地云”，统筹推进云基础设施集约化建设。重点实施中国电信</w:t>
            </w:r>
            <w:r>
              <w:rPr>
                <w:rFonts w:hint="eastAsia" w:ascii="宋体" w:hAnsi="宋体" w:eastAsia="宋体" w:cs="宋体"/>
                <w:color w:val="auto"/>
                <w:spacing w:val="-6"/>
                <w:kern w:val="21"/>
                <w:sz w:val="22"/>
                <w:szCs w:val="22"/>
                <w:highlight w:val="none"/>
                <w:u w:val="none"/>
              </w:rPr>
              <w:t>延安新区信息园区（5G创新产业园）、延安高新区“无锡·延安”智算中心二期等项目</w:t>
            </w:r>
            <w:r>
              <w:rPr>
                <w:rFonts w:hint="eastAsia" w:ascii="宋体" w:hAnsi="宋体" w:eastAsia="宋体" w:cs="宋体"/>
                <w:color w:val="auto"/>
                <w:spacing w:val="0"/>
                <w:kern w:val="21"/>
                <w:sz w:val="22"/>
                <w:szCs w:val="22"/>
                <w:highlight w:val="none"/>
                <w:u w:val="none"/>
              </w:rPr>
              <w:t>。</w:t>
            </w:r>
          </w:p>
          <w:p w14:paraId="1EF1F5A4">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数据基础设施重点项目。</w:t>
            </w:r>
            <w:r>
              <w:rPr>
                <w:rFonts w:hint="eastAsia" w:ascii="宋体" w:hAnsi="宋体" w:eastAsia="宋体" w:cs="宋体"/>
                <w:color w:val="auto"/>
                <w:spacing w:val="0"/>
                <w:kern w:val="21"/>
                <w:sz w:val="22"/>
                <w:szCs w:val="22"/>
                <w:highlight w:val="none"/>
                <w:u w:val="none"/>
                <w:lang w:val="en-US" w:eastAsia="zh-CN"/>
              </w:rPr>
              <w:t>重点实施延安智慧城市融合基础设施、延安市城市可信空间、中国移动延安通信枢纽、</w:t>
            </w:r>
            <w:r>
              <w:rPr>
                <w:rFonts w:hint="eastAsia" w:ascii="宋体" w:hAnsi="宋体" w:eastAsia="宋体" w:cs="宋体"/>
                <w:color w:val="auto"/>
                <w:spacing w:val="0"/>
                <w:kern w:val="21"/>
                <w:sz w:val="22"/>
                <w:szCs w:val="22"/>
                <w:highlight w:val="none"/>
                <w:u w:val="none"/>
              </w:rPr>
              <w:t>延安高新区行业可信数据空间</w:t>
            </w:r>
            <w:r>
              <w:rPr>
                <w:rFonts w:hint="eastAsia" w:ascii="宋体" w:hAnsi="宋体" w:eastAsia="宋体" w:cs="宋体"/>
                <w:color w:val="auto"/>
                <w:spacing w:val="0"/>
                <w:kern w:val="21"/>
                <w:sz w:val="22"/>
                <w:szCs w:val="22"/>
                <w:highlight w:val="none"/>
                <w:u w:val="none"/>
                <w:lang w:val="en-US" w:eastAsia="zh-CN"/>
              </w:rPr>
              <w:t>等项目。</w:t>
            </w:r>
          </w:p>
          <w:p w14:paraId="53582F3F">
            <w:pPr>
              <w:keepNext w:val="0"/>
              <w:keepLines w:val="0"/>
              <w:pageBreakBefore w:val="0"/>
              <w:widowControl w:val="0"/>
              <w:kinsoku/>
              <w:wordWrap/>
              <w:overflowPunct w:val="0"/>
              <w:topLinePunct w:val="0"/>
              <w:autoSpaceDE/>
              <w:autoSpaceDN/>
              <w:bidi w:val="0"/>
              <w:adjustRightInd/>
              <w:snapToGrid/>
              <w:spacing w:afterAutospacing="0" w:line="400" w:lineRule="exact"/>
              <w:ind w:left="0" w:firstLine="562"/>
              <w:jc w:val="both"/>
              <w:textAlignment w:val="auto"/>
              <w:rPr>
                <w:rFonts w:hint="eastAsia" w:ascii="宋体" w:hAnsi="宋体" w:eastAsia="宋体" w:cs="宋体"/>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安全基础设施重点项目。</w:t>
            </w:r>
            <w:r>
              <w:rPr>
                <w:rFonts w:hint="eastAsia" w:ascii="宋体" w:hAnsi="宋体" w:eastAsia="宋体" w:cs="宋体"/>
                <w:color w:val="auto"/>
                <w:spacing w:val="0"/>
                <w:kern w:val="21"/>
                <w:sz w:val="22"/>
                <w:szCs w:val="22"/>
                <w:highlight w:val="none"/>
                <w:u w:val="none"/>
                <w:lang w:val="en-US" w:eastAsia="zh-CN"/>
              </w:rPr>
              <w:t>重点实施数据灾备中心建设、网络安全运营服务等项目。</w:t>
            </w:r>
          </w:p>
        </w:tc>
      </w:tr>
    </w:tbl>
    <w:p w14:paraId="6B4488D5">
      <w:pPr>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2A0C7053">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color w:val="auto"/>
          <w:spacing w:val="0"/>
          <w:kern w:val="21"/>
          <w:sz w:val="30"/>
          <w:szCs w:val="30"/>
        </w:rPr>
      </w:pPr>
      <w:bookmarkStart w:id="64" w:name="_Toc16754"/>
      <w:bookmarkStart w:id="65" w:name="_Toc17964"/>
      <w:bookmarkStart w:id="66" w:name="_Toc17258"/>
    </w:p>
    <w:p w14:paraId="2B5A7BF4">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第五篇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纵深推进深层次改革和高水平开放</w:t>
      </w:r>
    </w:p>
    <w:p w14:paraId="07D8F55D">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增强高质量发展动力活力</w:t>
      </w:r>
      <w:bookmarkEnd w:id="64"/>
      <w:bookmarkEnd w:id="65"/>
      <w:bookmarkEnd w:id="66"/>
    </w:p>
    <w:p w14:paraId="50566FF9">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eastAsia="仿宋_GB2312" w:cs="仿宋_GB2312"/>
          <w:b w:val="0"/>
          <w:bCs/>
          <w:color w:val="auto"/>
          <w:spacing w:val="0"/>
          <w:kern w:val="21"/>
          <w:sz w:val="30"/>
          <w:szCs w:val="30"/>
        </w:rPr>
      </w:pPr>
    </w:p>
    <w:p w14:paraId="67375844">
      <w:pPr>
        <w:keepNext w:val="0"/>
        <w:keepLines w:val="0"/>
        <w:pageBreakBefore w:val="0"/>
        <w:widowControl w:val="0"/>
        <w:kinsoku/>
        <w:wordWrap/>
        <w:overflowPunct w:val="0"/>
        <w:topLinePunct w:val="0"/>
        <w:autoSpaceDE/>
        <w:autoSpaceDN/>
        <w:bidi w:val="0"/>
        <w:adjustRightInd/>
        <w:snapToGrid/>
        <w:spacing w:afterAutospacing="0" w:line="59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rPr>
        <w:t>坚持以经济体制改革为牵引进一步全面深化改革，着力激发高质量发展的内生动力</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Cs/>
          <w:color w:val="auto"/>
          <w:spacing w:val="0"/>
          <w:kern w:val="21"/>
          <w:sz w:val="32"/>
          <w:szCs w:val="32"/>
        </w:rPr>
        <w:t>坚持“域外即外”，以扩大开放拓展战略纵深、</w:t>
      </w:r>
      <w:r>
        <w:rPr>
          <w:rFonts w:hint="eastAsia" w:ascii="仿宋_GB2312" w:hAnsi="仿宋_GB2312" w:eastAsia="仿宋_GB2312" w:cs="仿宋_GB2312"/>
          <w:b w:val="0"/>
          <w:bCs/>
          <w:color w:val="auto"/>
          <w:spacing w:val="0"/>
          <w:kern w:val="21"/>
          <w:sz w:val="32"/>
          <w:szCs w:val="32"/>
        </w:rPr>
        <w:t>合作空间、经济潜力，全面增强高质量发展的外源动力。</w:t>
      </w:r>
    </w:p>
    <w:p w14:paraId="1582386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color w:val="auto"/>
          <w:spacing w:val="0"/>
          <w:kern w:val="21"/>
          <w:sz w:val="32"/>
          <w:szCs w:val="32"/>
          <w:lang w:val="en-US" w:eastAsia="zh-CN"/>
        </w:rPr>
      </w:pPr>
      <w:bookmarkStart w:id="67" w:name="_Toc23900"/>
      <w:bookmarkStart w:id="68" w:name="_Toc24578"/>
      <w:bookmarkStart w:id="69" w:name="_Toc4279"/>
    </w:p>
    <w:p w14:paraId="2319043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color w:val="auto"/>
          <w:spacing w:val="0"/>
          <w:kern w:val="21"/>
          <w:sz w:val="32"/>
          <w:szCs w:val="32"/>
        </w:rPr>
      </w:pPr>
      <w:r>
        <w:rPr>
          <w:rFonts w:hint="eastAsia"/>
          <w:color w:val="auto"/>
          <w:spacing w:val="0"/>
          <w:kern w:val="21"/>
          <w:sz w:val="32"/>
          <w:szCs w:val="32"/>
          <w:lang w:val="en-US" w:eastAsia="zh-CN"/>
        </w:rPr>
        <w:t xml:space="preserve">第十八章  </w:t>
      </w:r>
      <w:r>
        <w:rPr>
          <w:rFonts w:hint="eastAsia"/>
          <w:color w:val="auto"/>
          <w:spacing w:val="0"/>
          <w:kern w:val="21"/>
          <w:sz w:val="32"/>
          <w:szCs w:val="32"/>
        </w:rPr>
        <w:t>深度参与高标准市场体系建设</w:t>
      </w:r>
      <w:bookmarkEnd w:id="67"/>
    </w:p>
    <w:p w14:paraId="443AF4D2">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color w:val="auto"/>
          <w:spacing w:val="0"/>
          <w:kern w:val="21"/>
          <w:sz w:val="32"/>
          <w:szCs w:val="32"/>
        </w:rPr>
      </w:pPr>
    </w:p>
    <w:p w14:paraId="5DAD37B4">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eastAsia="仿宋_GB2312"/>
          <w:color w:val="auto"/>
          <w:spacing w:val="0"/>
          <w:kern w:val="21"/>
          <w:sz w:val="32"/>
          <w:szCs w:val="32"/>
          <w:lang w:val="en-US" w:eastAsia="zh-CN"/>
        </w:rPr>
      </w:pPr>
      <w:r>
        <w:rPr>
          <w:rFonts w:hint="eastAsia"/>
          <w:color w:val="auto"/>
          <w:spacing w:val="0"/>
          <w:kern w:val="21"/>
          <w:sz w:val="32"/>
          <w:szCs w:val="32"/>
        </w:rPr>
        <w:t>落实</w:t>
      </w:r>
      <w:r>
        <w:rPr>
          <w:rFonts w:hint="eastAsia"/>
          <w:color w:val="auto"/>
          <w:spacing w:val="0"/>
          <w:kern w:val="21"/>
          <w:sz w:val="32"/>
          <w:szCs w:val="32"/>
          <w:lang w:eastAsia="zh-CN"/>
        </w:rPr>
        <w:t>“</w:t>
      </w:r>
      <w:r>
        <w:rPr>
          <w:rFonts w:hint="eastAsia"/>
          <w:color w:val="auto"/>
          <w:spacing w:val="0"/>
          <w:kern w:val="21"/>
          <w:sz w:val="32"/>
          <w:szCs w:val="32"/>
        </w:rPr>
        <w:t>五统一、一开放</w:t>
      </w:r>
      <w:r>
        <w:rPr>
          <w:rFonts w:hint="eastAsia"/>
          <w:color w:val="auto"/>
          <w:spacing w:val="0"/>
          <w:kern w:val="21"/>
          <w:sz w:val="32"/>
          <w:szCs w:val="32"/>
          <w:lang w:eastAsia="zh-CN"/>
        </w:rPr>
        <w:t>”</w:t>
      </w:r>
      <w:r>
        <w:rPr>
          <w:rFonts w:hint="eastAsia"/>
          <w:color w:val="auto"/>
          <w:spacing w:val="0"/>
          <w:kern w:val="21"/>
          <w:sz w:val="32"/>
          <w:szCs w:val="32"/>
        </w:rPr>
        <w:t>总体要求，坚决破除阻碍统一大市场建设和公平竞争的卡点堵点，推动市场制度规则与全国统一大市场标准要求相衔接，提升参与更大范围市场竞争合作的水平。</w:t>
      </w:r>
    </w:p>
    <w:p w14:paraId="6A2D0FC8">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eastAsia="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完善市场基础制度。</w:t>
      </w:r>
      <w:r>
        <w:rPr>
          <w:rFonts w:hint="eastAsia"/>
          <w:color w:val="auto"/>
          <w:spacing w:val="0"/>
          <w:kern w:val="21"/>
          <w:sz w:val="32"/>
          <w:szCs w:val="32"/>
        </w:rPr>
        <w:t>健全产权保护制度</w:t>
      </w:r>
      <w:r>
        <w:rPr>
          <w:rFonts w:hint="eastAsia"/>
          <w:color w:val="auto"/>
          <w:spacing w:val="0"/>
          <w:kern w:val="21"/>
          <w:sz w:val="32"/>
          <w:szCs w:val="32"/>
          <w:lang w:val="en-US" w:eastAsia="zh-CN"/>
        </w:rPr>
        <w:t>和</w:t>
      </w:r>
      <w:r>
        <w:rPr>
          <w:rFonts w:hint="eastAsia"/>
          <w:color w:val="auto"/>
          <w:spacing w:val="0"/>
          <w:kern w:val="21"/>
          <w:sz w:val="32"/>
          <w:szCs w:val="32"/>
        </w:rPr>
        <w:t>现代产权制度，完善涉企产权案件保护机制，推进知识产权保护行刑衔接</w:t>
      </w:r>
      <w:r>
        <w:rPr>
          <w:rFonts w:hint="eastAsia"/>
          <w:color w:val="auto"/>
          <w:spacing w:val="0"/>
          <w:kern w:val="21"/>
          <w:sz w:val="32"/>
          <w:szCs w:val="32"/>
          <w:lang w:eastAsia="zh-CN"/>
        </w:rPr>
        <w:t>，</w:t>
      </w:r>
      <w:r>
        <w:rPr>
          <w:rFonts w:hint="eastAsia"/>
          <w:color w:val="auto"/>
          <w:spacing w:val="0"/>
          <w:kern w:val="21"/>
          <w:sz w:val="32"/>
          <w:szCs w:val="32"/>
        </w:rPr>
        <w:t>对侵犯各种所有制经济产权和合法利益的行为实行同责同罪同罚。全面实施市场准入负面清单制度，减少对经营主体准入限制，稳步开展市场准入效能评估，优化新业态新领域市场准入环境。巩固提升信用示范城市创建成果，健全社会信用体系</w:t>
      </w:r>
      <w:r>
        <w:rPr>
          <w:rFonts w:hint="eastAsia"/>
          <w:color w:val="auto"/>
          <w:spacing w:val="0"/>
          <w:kern w:val="21"/>
          <w:sz w:val="32"/>
          <w:szCs w:val="32"/>
          <w:lang w:val="en-US" w:eastAsia="zh-CN"/>
        </w:rPr>
        <w:t>和</w:t>
      </w:r>
      <w:r>
        <w:rPr>
          <w:rFonts w:hint="eastAsia"/>
          <w:color w:val="auto"/>
          <w:spacing w:val="0"/>
          <w:kern w:val="21"/>
          <w:sz w:val="32"/>
          <w:szCs w:val="32"/>
        </w:rPr>
        <w:t>信用分级分类监管制度，完善信用修复制度，推动社会信用体系与经济社会发展各方面各环节深度融合。深化政务诚信建设，开展政务诚信评价，完善政府失信行为认定标准和失信惩戒措施。</w:t>
      </w:r>
    </w:p>
    <w:p w14:paraId="0566E28D">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val="en-US" w:eastAsia="zh-CN"/>
        </w:rPr>
        <w:t>着力</w:t>
      </w:r>
      <w:r>
        <w:rPr>
          <w:rFonts w:hint="eastAsia" w:ascii="楷体_GB2312" w:hAnsi="楷体_GB2312" w:eastAsia="楷体_GB2312" w:cs="楷体_GB2312"/>
          <w:b w:val="0"/>
          <w:bCs w:val="0"/>
          <w:color w:val="auto"/>
          <w:spacing w:val="0"/>
          <w:kern w:val="21"/>
          <w:sz w:val="32"/>
          <w:szCs w:val="32"/>
        </w:rPr>
        <w:t>推进市场监管公平统一。</w:t>
      </w:r>
      <w:r>
        <w:rPr>
          <w:rFonts w:hint="eastAsia"/>
          <w:color w:val="auto"/>
          <w:spacing w:val="0"/>
          <w:kern w:val="21"/>
          <w:sz w:val="32"/>
          <w:szCs w:val="32"/>
          <w:lang w:val="en-US" w:eastAsia="zh-CN"/>
        </w:rPr>
        <w:t>规范</w:t>
      </w:r>
      <w:r>
        <w:rPr>
          <w:rFonts w:hint="eastAsia"/>
          <w:color w:val="auto"/>
          <w:spacing w:val="0"/>
          <w:kern w:val="21"/>
          <w:sz w:val="32"/>
          <w:szCs w:val="32"/>
        </w:rPr>
        <w:t>市场监管行政执法程序，推进市场监管标准化。</w:t>
      </w:r>
      <w:r>
        <w:rPr>
          <w:rFonts w:hint="eastAsia"/>
          <w:color w:val="auto"/>
          <w:spacing w:val="0"/>
          <w:kern w:val="21"/>
          <w:sz w:val="32"/>
          <w:szCs w:val="32"/>
          <w:lang w:val="en-US" w:eastAsia="zh-CN"/>
        </w:rPr>
        <w:t>规范裁量权的行使，严格执行市场监管行政处罚等领域行政裁量权适用规则和基准。加强</w:t>
      </w:r>
      <w:r>
        <w:rPr>
          <w:rFonts w:hint="eastAsia"/>
          <w:color w:val="auto"/>
          <w:spacing w:val="0"/>
          <w:kern w:val="21"/>
          <w:sz w:val="32"/>
          <w:szCs w:val="32"/>
        </w:rPr>
        <w:t>执法检查全流程</w:t>
      </w:r>
      <w:r>
        <w:rPr>
          <w:rFonts w:hint="eastAsia"/>
          <w:color w:val="auto"/>
          <w:spacing w:val="0"/>
          <w:kern w:val="21"/>
          <w:sz w:val="32"/>
          <w:szCs w:val="32"/>
          <w:lang w:val="en-US" w:eastAsia="zh-CN"/>
        </w:rPr>
        <w:t>质量监管</w:t>
      </w:r>
      <w:r>
        <w:rPr>
          <w:rFonts w:hint="eastAsia"/>
          <w:color w:val="auto"/>
          <w:spacing w:val="0"/>
          <w:kern w:val="21"/>
          <w:sz w:val="32"/>
          <w:szCs w:val="32"/>
        </w:rPr>
        <w:t>，提升执法公正性与透明度。</w:t>
      </w:r>
      <w:r>
        <w:rPr>
          <w:rFonts w:hint="eastAsia"/>
          <w:color w:val="auto"/>
          <w:spacing w:val="0"/>
          <w:kern w:val="21"/>
          <w:sz w:val="32"/>
          <w:szCs w:val="32"/>
          <w:lang w:val="en-US" w:eastAsia="zh-CN"/>
        </w:rPr>
        <w:t>积极推行“扫码入企”“综合一次查”制度，推进跨部门跨区域协同联动执法。推动</w:t>
      </w:r>
      <w:r>
        <w:rPr>
          <w:rFonts w:hint="eastAsia"/>
          <w:color w:val="auto"/>
          <w:spacing w:val="0"/>
          <w:kern w:val="21"/>
          <w:sz w:val="32"/>
          <w:szCs w:val="32"/>
        </w:rPr>
        <w:t>市场一体化监管，实现市场监管</w:t>
      </w:r>
      <w:r>
        <w:rPr>
          <w:rFonts w:hint="eastAsia"/>
          <w:color w:val="auto"/>
          <w:spacing w:val="0"/>
          <w:kern w:val="21"/>
          <w:sz w:val="32"/>
          <w:szCs w:val="32"/>
          <w:lang w:eastAsia="zh-CN"/>
        </w:rPr>
        <w:t>、</w:t>
      </w:r>
      <w:r>
        <w:rPr>
          <w:rFonts w:hint="eastAsia"/>
          <w:color w:val="auto"/>
          <w:spacing w:val="0"/>
          <w:kern w:val="21"/>
          <w:sz w:val="32"/>
          <w:szCs w:val="32"/>
        </w:rPr>
        <w:t>人力资源社会保障</w:t>
      </w:r>
      <w:r>
        <w:rPr>
          <w:rFonts w:hint="eastAsia"/>
          <w:color w:val="auto"/>
          <w:spacing w:val="0"/>
          <w:kern w:val="21"/>
          <w:sz w:val="32"/>
          <w:szCs w:val="32"/>
          <w:lang w:eastAsia="zh-CN"/>
        </w:rPr>
        <w:t>、</w:t>
      </w:r>
      <w:r>
        <w:rPr>
          <w:rFonts w:hint="eastAsia"/>
          <w:color w:val="auto"/>
          <w:spacing w:val="0"/>
          <w:kern w:val="21"/>
          <w:sz w:val="32"/>
          <w:szCs w:val="32"/>
        </w:rPr>
        <w:t>税务</w:t>
      </w:r>
      <w:r>
        <w:rPr>
          <w:rFonts w:hint="eastAsia"/>
          <w:color w:val="auto"/>
          <w:spacing w:val="0"/>
          <w:kern w:val="21"/>
          <w:sz w:val="32"/>
          <w:szCs w:val="32"/>
          <w:lang w:eastAsia="zh-CN"/>
        </w:rPr>
        <w:t>、</w:t>
      </w:r>
      <w:r>
        <w:rPr>
          <w:rFonts w:hint="eastAsia"/>
          <w:color w:val="auto"/>
          <w:spacing w:val="0"/>
          <w:kern w:val="21"/>
          <w:sz w:val="32"/>
          <w:szCs w:val="32"/>
        </w:rPr>
        <w:t>公安等部门信息共享</w:t>
      </w:r>
      <w:r>
        <w:rPr>
          <w:rFonts w:hint="eastAsia"/>
          <w:color w:val="auto"/>
          <w:spacing w:val="0"/>
          <w:kern w:val="21"/>
          <w:sz w:val="32"/>
          <w:szCs w:val="32"/>
          <w:lang w:eastAsia="zh-CN"/>
        </w:rPr>
        <w:t>、</w:t>
      </w:r>
      <w:r>
        <w:rPr>
          <w:rFonts w:hint="eastAsia"/>
          <w:color w:val="auto"/>
          <w:spacing w:val="0"/>
          <w:kern w:val="21"/>
          <w:sz w:val="32"/>
          <w:szCs w:val="32"/>
        </w:rPr>
        <w:t>资质互认</w:t>
      </w:r>
      <w:r>
        <w:rPr>
          <w:rFonts w:hint="eastAsia"/>
          <w:color w:val="auto"/>
          <w:spacing w:val="0"/>
          <w:kern w:val="21"/>
          <w:sz w:val="32"/>
          <w:szCs w:val="32"/>
          <w:lang w:eastAsia="zh-CN"/>
        </w:rPr>
        <w:t>、</w:t>
      </w:r>
      <w:r>
        <w:rPr>
          <w:rFonts w:hint="eastAsia"/>
          <w:color w:val="auto"/>
          <w:spacing w:val="0"/>
          <w:kern w:val="21"/>
          <w:sz w:val="32"/>
          <w:szCs w:val="32"/>
        </w:rPr>
        <w:t>执法互助。加快推进监管智能化建设，强</w:t>
      </w:r>
      <w:r>
        <w:rPr>
          <w:rFonts w:hint="eastAsia"/>
          <w:color w:val="auto"/>
          <w:spacing w:val="0"/>
          <w:kern w:val="21"/>
          <w:sz w:val="32"/>
          <w:szCs w:val="32"/>
          <w:lang w:val="en-US" w:eastAsia="zh-CN"/>
        </w:rPr>
        <w:t>化</w:t>
      </w:r>
      <w:r>
        <w:rPr>
          <w:rFonts w:hint="eastAsia"/>
          <w:color w:val="auto"/>
          <w:spacing w:val="0"/>
          <w:kern w:val="21"/>
          <w:sz w:val="32"/>
          <w:szCs w:val="32"/>
        </w:rPr>
        <w:t>协同监管的技术支撑</w:t>
      </w:r>
      <w:r>
        <w:rPr>
          <w:rFonts w:hint="eastAsia"/>
          <w:color w:val="auto"/>
          <w:spacing w:val="0"/>
          <w:kern w:val="21"/>
          <w:sz w:val="32"/>
          <w:szCs w:val="32"/>
          <w:lang w:eastAsia="zh-CN"/>
        </w:rPr>
        <w:t>。</w:t>
      </w:r>
    </w:p>
    <w:p w14:paraId="18E78D4A">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default"/>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规范不当市场竞争和市场干预行为。</w:t>
      </w:r>
      <w:r>
        <w:rPr>
          <w:rFonts w:hint="eastAsia"/>
          <w:color w:val="auto"/>
          <w:spacing w:val="0"/>
          <w:kern w:val="21"/>
          <w:sz w:val="32"/>
          <w:szCs w:val="32"/>
        </w:rPr>
        <w:t>全面清理和废除</w:t>
      </w:r>
      <w:r>
        <w:rPr>
          <w:rFonts w:hint="eastAsia"/>
          <w:color w:val="auto"/>
          <w:spacing w:val="0"/>
          <w:kern w:val="21"/>
          <w:sz w:val="32"/>
          <w:szCs w:val="32"/>
          <w:lang w:val="en-US" w:eastAsia="zh-CN"/>
        </w:rPr>
        <w:t>妨碍全国统一大市场建设和</w:t>
      </w:r>
      <w:r>
        <w:rPr>
          <w:rFonts w:hint="eastAsia"/>
          <w:color w:val="auto"/>
          <w:spacing w:val="0"/>
          <w:kern w:val="21"/>
          <w:sz w:val="32"/>
          <w:szCs w:val="32"/>
        </w:rPr>
        <w:t>违反公平竞争的各种规定和做法</w:t>
      </w:r>
      <w:r>
        <w:rPr>
          <w:rFonts w:hint="eastAsia"/>
          <w:color w:val="auto"/>
          <w:spacing w:val="0"/>
          <w:kern w:val="21"/>
          <w:sz w:val="32"/>
          <w:szCs w:val="32"/>
          <w:lang w:eastAsia="zh-CN"/>
        </w:rPr>
        <w:t>。</w:t>
      </w:r>
      <w:r>
        <w:rPr>
          <w:rFonts w:hint="eastAsia"/>
          <w:color w:val="auto"/>
          <w:spacing w:val="0"/>
          <w:kern w:val="21"/>
          <w:sz w:val="32"/>
          <w:szCs w:val="32"/>
          <w:lang w:val="en-US" w:eastAsia="zh-CN"/>
        </w:rPr>
        <w:t>综合整治“内卷式”竞争。</w:t>
      </w:r>
      <w:r>
        <w:rPr>
          <w:rFonts w:hint="eastAsia"/>
          <w:color w:val="auto"/>
          <w:spacing w:val="0"/>
          <w:kern w:val="21"/>
          <w:sz w:val="32"/>
          <w:szCs w:val="32"/>
        </w:rPr>
        <w:t>加大对招商引资</w:t>
      </w:r>
      <w:r>
        <w:rPr>
          <w:rFonts w:hint="eastAsia"/>
          <w:color w:val="auto"/>
          <w:spacing w:val="0"/>
          <w:kern w:val="21"/>
          <w:sz w:val="32"/>
          <w:szCs w:val="32"/>
          <w:lang w:eastAsia="zh-CN"/>
        </w:rPr>
        <w:t>、</w:t>
      </w:r>
      <w:r>
        <w:rPr>
          <w:rFonts w:hint="eastAsia"/>
          <w:color w:val="auto"/>
          <w:spacing w:val="0"/>
          <w:kern w:val="21"/>
          <w:sz w:val="32"/>
          <w:szCs w:val="32"/>
        </w:rPr>
        <w:t>税收优惠</w:t>
      </w:r>
      <w:r>
        <w:rPr>
          <w:rFonts w:hint="eastAsia"/>
          <w:color w:val="auto"/>
          <w:spacing w:val="0"/>
          <w:kern w:val="21"/>
          <w:sz w:val="32"/>
          <w:szCs w:val="32"/>
          <w:lang w:eastAsia="zh-CN"/>
        </w:rPr>
        <w:t>、</w:t>
      </w:r>
      <w:r>
        <w:rPr>
          <w:rFonts w:hint="eastAsia"/>
          <w:color w:val="auto"/>
          <w:spacing w:val="0"/>
          <w:kern w:val="21"/>
          <w:sz w:val="32"/>
          <w:szCs w:val="32"/>
        </w:rPr>
        <w:t>政府补贴等重点领域政策措施审查力度</w:t>
      </w:r>
      <w:r>
        <w:rPr>
          <w:rFonts w:hint="eastAsia"/>
          <w:color w:val="auto"/>
          <w:spacing w:val="0"/>
          <w:kern w:val="21"/>
          <w:sz w:val="32"/>
          <w:szCs w:val="32"/>
          <w:lang w:eastAsia="zh-CN"/>
        </w:rPr>
        <w:t>，建立招商引资政策和重大项目提级报备机制，推动招商引资良性合规。</w:t>
      </w:r>
      <w:r>
        <w:rPr>
          <w:rFonts w:hint="eastAsia"/>
          <w:color w:val="auto"/>
          <w:spacing w:val="0"/>
          <w:kern w:val="21"/>
          <w:sz w:val="32"/>
          <w:szCs w:val="32"/>
        </w:rPr>
        <w:t>强化公平竞争审查刚性约束，开展公平竞争审查抽查。</w:t>
      </w:r>
      <w:r>
        <w:rPr>
          <w:rFonts w:hint="eastAsia"/>
          <w:color w:val="auto"/>
          <w:spacing w:val="0"/>
          <w:kern w:val="21"/>
          <w:sz w:val="32"/>
          <w:szCs w:val="32"/>
          <w:highlight w:val="none"/>
        </w:rPr>
        <w:t>开展滥用行政权力排除、限制竞争执法深化提质专项行动，</w:t>
      </w:r>
      <w:r>
        <w:rPr>
          <w:rFonts w:hint="eastAsia"/>
          <w:color w:val="auto"/>
          <w:spacing w:val="0"/>
          <w:kern w:val="21"/>
          <w:sz w:val="32"/>
          <w:szCs w:val="32"/>
        </w:rPr>
        <w:t>持续深化民生领域反垄断执法专项行动，依法纠正指定交易、限制商品要素自由流通、阻碍异地经营、妨碍公平竞争等行为。持续完善缺陷消费品召回监管机制</w:t>
      </w:r>
      <w:r>
        <w:rPr>
          <w:rFonts w:hint="eastAsia"/>
          <w:color w:val="auto"/>
          <w:spacing w:val="0"/>
          <w:kern w:val="21"/>
          <w:sz w:val="32"/>
          <w:szCs w:val="32"/>
          <w:lang w:eastAsia="zh-CN"/>
        </w:rPr>
        <w:t>，</w:t>
      </w:r>
      <w:r>
        <w:rPr>
          <w:rFonts w:hint="eastAsia"/>
          <w:color w:val="auto"/>
          <w:spacing w:val="0"/>
          <w:kern w:val="21"/>
          <w:sz w:val="32"/>
          <w:szCs w:val="32"/>
        </w:rPr>
        <w:t>保障消费者权益和社会公共利益。</w:t>
      </w:r>
    </w:p>
    <w:p w14:paraId="7D8904A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4" w:lineRule="exact"/>
        <w:ind w:left="0"/>
        <w:textAlignment w:val="auto"/>
        <w:rPr>
          <w:rFonts w:hint="eastAsia"/>
          <w:color w:val="auto"/>
          <w:spacing w:val="0"/>
          <w:kern w:val="21"/>
          <w:sz w:val="32"/>
          <w:szCs w:val="32"/>
        </w:rPr>
      </w:pPr>
      <w:bookmarkStart w:id="70" w:name="_Toc11044"/>
    </w:p>
    <w:p w14:paraId="3DC2130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4" w:lineRule="exact"/>
        <w:ind w:left="0"/>
        <w:textAlignment w:val="auto"/>
        <w:rPr>
          <w:rFonts w:hint="eastAsia"/>
          <w:color w:val="auto"/>
          <w:spacing w:val="0"/>
          <w:kern w:val="21"/>
          <w:sz w:val="32"/>
          <w:szCs w:val="32"/>
        </w:rPr>
      </w:pPr>
      <w:r>
        <w:rPr>
          <w:rFonts w:hint="eastAsia"/>
          <w:color w:val="auto"/>
          <w:spacing w:val="0"/>
          <w:kern w:val="21"/>
          <w:sz w:val="32"/>
          <w:szCs w:val="32"/>
        </w:rPr>
        <w:t>第十</w:t>
      </w:r>
      <w:r>
        <w:rPr>
          <w:rFonts w:hint="eastAsia"/>
          <w:color w:val="auto"/>
          <w:spacing w:val="0"/>
          <w:kern w:val="21"/>
          <w:sz w:val="32"/>
          <w:szCs w:val="32"/>
          <w:lang w:val="en-US" w:eastAsia="zh-CN"/>
        </w:rPr>
        <w:t>九</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深化经济体制改革</w:t>
      </w:r>
      <w:bookmarkEnd w:id="68"/>
      <w:bookmarkEnd w:id="69"/>
      <w:bookmarkEnd w:id="70"/>
    </w:p>
    <w:p w14:paraId="3344D22C">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rPr>
          <w:rFonts w:hint="eastAsia" w:ascii="楷体_GB2312" w:hAnsi="楷体_GB2312" w:eastAsia="楷体_GB2312" w:cs="楷体_GB2312"/>
          <w:b w:val="0"/>
          <w:bCs w:val="0"/>
          <w:color w:val="auto"/>
          <w:spacing w:val="0"/>
          <w:kern w:val="21"/>
          <w:sz w:val="32"/>
          <w:szCs w:val="32"/>
        </w:rPr>
      </w:pPr>
    </w:p>
    <w:p w14:paraId="76698BD0">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rPr>
          <w:rFonts w:hint="eastAsia" w:eastAsia="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要素市场化配置改革。</w:t>
      </w:r>
      <w:r>
        <w:rPr>
          <w:rFonts w:hint="eastAsia" w:ascii="仿宋_GB2312" w:hAnsi="仿宋_GB2312" w:eastAsia="仿宋_GB2312" w:cstheme="minorBidi"/>
          <w:b w:val="0"/>
          <w:bCs w:val="0"/>
          <w:color w:val="auto"/>
          <w:spacing w:val="0"/>
          <w:kern w:val="21"/>
          <w:sz w:val="32"/>
          <w:szCs w:val="32"/>
        </w:rPr>
        <w:t>促进各类要素资源高效配置，建立城乡统一的建设用地市场、功能完善的资本市场、流动顺畅的劳动力市场、转化高效的技术市场，引导资源要素向优势区域、重点产业聚集。</w:t>
      </w:r>
      <w:r>
        <w:rPr>
          <w:rFonts w:hint="eastAsia" w:ascii="仿宋_GB2312" w:hAnsi="仿宋_GB2312"/>
          <w:color w:val="auto"/>
          <w:spacing w:val="0"/>
          <w:kern w:val="21"/>
          <w:sz w:val="32"/>
          <w:szCs w:val="32"/>
          <w:lang w:val="en-US" w:eastAsia="zh-CN"/>
        </w:rPr>
        <w:t>坚持严控总量、优化增量、盘活存量、提升质量，严格落实“增存挂钩”机制，</w:t>
      </w:r>
      <w:r>
        <w:rPr>
          <w:rFonts w:hint="eastAsia" w:ascii="仿宋_GB2312" w:hAnsi="仿宋_GB2312" w:eastAsia="仿宋_GB2312" w:cstheme="minorBidi"/>
          <w:b w:val="0"/>
          <w:bCs w:val="0"/>
          <w:color w:val="auto"/>
          <w:spacing w:val="0"/>
          <w:kern w:val="21"/>
          <w:sz w:val="32"/>
          <w:szCs w:val="32"/>
        </w:rPr>
        <w:t>深入推进“亩均论英雄”综合改革和“标准地+承诺制”改革，完善并购、破产、置换等政策，盘活用好低效用地、闲置房产、存量基础设施，</w:t>
      </w:r>
      <w:r>
        <w:rPr>
          <w:rFonts w:hint="eastAsia" w:ascii="仿宋_GB2312" w:hAnsi="仿宋_GB2312" w:cs="仿宋_GB2312"/>
          <w:b w:val="0"/>
          <w:bCs/>
          <w:color w:val="auto"/>
          <w:spacing w:val="0"/>
          <w:kern w:val="21"/>
          <w:sz w:val="32"/>
          <w:szCs w:val="32"/>
          <w:lang w:val="en-US" w:eastAsia="zh-CN"/>
        </w:rPr>
        <w:t>推动形成布局更优化、配置更精准、支撑更有力、产出更高效的土地节约集约利用新格局。</w:t>
      </w:r>
      <w:r>
        <w:rPr>
          <w:rFonts w:hint="eastAsia" w:ascii="仿宋_GB2312" w:hAnsi="仿宋_GB2312" w:eastAsia="仿宋_GB2312" w:cstheme="minorBidi"/>
          <w:b w:val="0"/>
          <w:bCs w:val="0"/>
          <w:color w:val="auto"/>
          <w:spacing w:val="0"/>
          <w:kern w:val="21"/>
          <w:sz w:val="32"/>
          <w:szCs w:val="32"/>
        </w:rPr>
        <w:t>鼓励电力市场化交易公司化运行。完善企业上市“绿色通道”服务机制，筛选优质企业纳入省市上市后备企业资源库，引导银行业金融机构加大对实体经济的信贷支持，增加有效金融服务供给。畅通劳动力和人才社会性流动渠道，打破户籍、地域、身份、档案、人事关系等制约，建立人才招育评用体系，优化人才服务保障。探索开展知识产权质押、预期收益质押等融资方式，推动技术市场和资本市场联动发展。推进数据要素市场化配置改革，深化数据要素价值释放，畅通数据流动和资源配置渠道，激活数据市场供给和需求，促进数据要素全面融入经济价值创造过程，更好赋能经济社会发展</w:t>
      </w:r>
      <w:r>
        <w:rPr>
          <w:rFonts w:hint="eastAsia" w:ascii="仿宋_GB2312" w:hAnsi="仿宋_GB2312" w:cstheme="minorBidi"/>
          <w:b w:val="0"/>
          <w:bCs w:val="0"/>
          <w:color w:val="auto"/>
          <w:spacing w:val="0"/>
          <w:kern w:val="21"/>
          <w:sz w:val="32"/>
          <w:szCs w:val="32"/>
          <w:lang w:eastAsia="zh-CN"/>
        </w:rPr>
        <w:t>。</w:t>
      </w:r>
    </w:p>
    <w:p w14:paraId="2779DC2F">
      <w:pPr>
        <w:pStyle w:val="19"/>
        <w:keepNext w:val="0"/>
        <w:keepLines w:val="0"/>
        <w:pageBreakBefore w:val="0"/>
        <w:widowControl w:val="0"/>
        <w:kinsoku/>
        <w:wordWrap/>
        <w:overflowPunct w:val="0"/>
        <w:topLinePunct w:val="0"/>
        <w:autoSpaceDE/>
        <w:autoSpaceDN/>
        <w:bidi w:val="0"/>
        <w:adjustRightInd/>
        <w:snapToGrid/>
        <w:spacing w:afterAutospacing="0" w:line="570" w:lineRule="exact"/>
        <w:ind w:left="0" w:firstLine="643"/>
        <w:textAlignment w:val="auto"/>
        <w:rPr>
          <w:rFonts w:hint="eastAsia" w:ascii="仿宋_GB2312" w:hAnsi="仿宋_GB2312" w:eastAsia="仿宋_GB2312"/>
          <w:color w:val="auto"/>
          <w:spacing w:val="0"/>
          <w:kern w:val="21"/>
          <w:sz w:val="32"/>
          <w:szCs w:val="32"/>
        </w:rPr>
      </w:pPr>
      <w:r>
        <w:rPr>
          <w:rFonts w:hint="eastAsia" w:ascii="楷体_GB2312" w:hAnsi="楷体_GB2312" w:cs="楷体_GB2312"/>
          <w:b w:val="0"/>
          <w:bCs w:val="0"/>
          <w:color w:val="auto"/>
          <w:spacing w:val="0"/>
          <w:kern w:val="21"/>
          <w:sz w:val="32"/>
          <w:szCs w:val="32"/>
        </w:rPr>
        <w:t>财税体制改革。</w:t>
      </w:r>
      <w:r>
        <w:rPr>
          <w:rFonts w:hint="eastAsia" w:ascii="仿宋_GB2312" w:hAnsi="仿宋_GB2312" w:eastAsia="仿宋_GB2312" w:cstheme="minorBidi"/>
          <w:b w:val="0"/>
          <w:bCs w:val="0"/>
          <w:color w:val="auto"/>
          <w:spacing w:val="0"/>
          <w:kern w:val="21"/>
          <w:sz w:val="32"/>
          <w:szCs w:val="32"/>
        </w:rPr>
        <w:t>推进财政科学管理，加强财政资源和预算统筹，加大</w:t>
      </w:r>
      <w:r>
        <w:rPr>
          <w:rFonts w:hint="eastAsia" w:ascii="仿宋_GB2312" w:hAnsi="仿宋_GB2312" w:eastAsia="仿宋_GB2312"/>
          <w:color w:val="auto"/>
          <w:spacing w:val="0"/>
          <w:kern w:val="21"/>
          <w:sz w:val="32"/>
          <w:szCs w:val="32"/>
        </w:rPr>
        <w:t>国有</w:t>
      </w:r>
      <w:r>
        <w:rPr>
          <w:rFonts w:hint="eastAsia" w:ascii="仿宋_GB2312" w:hAnsi="仿宋_GB2312" w:eastAsia="仿宋_GB2312" w:cstheme="minorBidi"/>
          <w:b w:val="0"/>
          <w:bCs w:val="0"/>
          <w:color w:val="auto"/>
          <w:spacing w:val="0"/>
          <w:kern w:val="21"/>
          <w:sz w:val="32"/>
          <w:szCs w:val="32"/>
        </w:rPr>
        <w:t>“三资”盘活力度，完善重点领域投入保障机制。</w:t>
      </w:r>
      <w:r>
        <w:rPr>
          <w:rFonts w:hint="eastAsia" w:ascii="仿宋_GB2312" w:hAnsi="仿宋_GB2312" w:eastAsia="仿宋_GB2312"/>
          <w:color w:val="auto"/>
          <w:spacing w:val="0"/>
          <w:kern w:val="21"/>
          <w:sz w:val="32"/>
          <w:szCs w:val="32"/>
        </w:rPr>
        <w:t>深层次落实过紧日子要求，健全转移支付机制，</w:t>
      </w:r>
      <w:r>
        <w:rPr>
          <w:rFonts w:hint="eastAsia" w:ascii="仿宋_GB2312" w:hAnsi="仿宋_GB2312" w:eastAsia="仿宋_GB2312" w:cstheme="minorBidi"/>
          <w:b w:val="0"/>
          <w:bCs w:val="0"/>
          <w:color w:val="auto"/>
          <w:spacing w:val="0"/>
          <w:kern w:val="21"/>
          <w:sz w:val="32"/>
          <w:szCs w:val="32"/>
        </w:rPr>
        <w:t>深化零基预算改革，</w:t>
      </w:r>
      <w:r>
        <w:rPr>
          <w:rFonts w:hint="eastAsia" w:ascii="仿宋_GB2312" w:hAnsi="仿宋_GB2312" w:eastAsia="仿宋_GB2312"/>
          <w:color w:val="auto"/>
          <w:spacing w:val="0"/>
          <w:kern w:val="21"/>
          <w:sz w:val="32"/>
          <w:szCs w:val="32"/>
        </w:rPr>
        <w:t>加快支出标准体系建设，</w:t>
      </w:r>
      <w:r>
        <w:rPr>
          <w:rFonts w:hint="eastAsia" w:ascii="仿宋_GB2312" w:hAnsi="仿宋_GB2312" w:eastAsia="仿宋_GB2312" w:cstheme="minorBidi"/>
          <w:b w:val="0"/>
          <w:bCs w:val="0"/>
          <w:color w:val="auto"/>
          <w:spacing w:val="0"/>
          <w:kern w:val="21"/>
          <w:sz w:val="32"/>
          <w:szCs w:val="32"/>
        </w:rPr>
        <w:t>优化财政支出结构。</w:t>
      </w:r>
      <w:r>
        <w:rPr>
          <w:rFonts w:hint="eastAsia" w:ascii="仿宋_GB2312" w:hAnsi="仿宋_GB2312" w:eastAsia="仿宋_GB2312"/>
          <w:color w:val="auto"/>
          <w:spacing w:val="0"/>
          <w:kern w:val="21"/>
          <w:sz w:val="32"/>
          <w:szCs w:val="32"/>
        </w:rPr>
        <w:t>全面落实国家税制改革部署，</w:t>
      </w:r>
      <w:r>
        <w:rPr>
          <w:rFonts w:hint="eastAsia" w:ascii="仿宋_GB2312" w:hAnsi="仿宋_GB2312" w:eastAsia="仿宋_GB2312"/>
          <w:color w:val="auto"/>
          <w:spacing w:val="0"/>
          <w:kern w:val="21"/>
          <w:sz w:val="32"/>
          <w:szCs w:val="32"/>
          <w:highlight w:val="none"/>
        </w:rPr>
        <w:t>深化市以下财政体制</w:t>
      </w:r>
      <w:r>
        <w:rPr>
          <w:rFonts w:hint="eastAsia" w:ascii="仿宋_GB2312" w:hAnsi="仿宋_GB2312" w:eastAsia="仿宋_GB2312"/>
          <w:color w:val="auto"/>
          <w:spacing w:val="0"/>
          <w:kern w:val="21"/>
          <w:sz w:val="32"/>
          <w:szCs w:val="32"/>
          <w:highlight w:val="none"/>
          <w:lang w:val="en-US" w:eastAsia="zh-CN"/>
        </w:rPr>
        <w:t>改革</w:t>
      </w:r>
      <w:r>
        <w:rPr>
          <w:rFonts w:hint="eastAsia" w:ascii="仿宋_GB2312" w:hAnsi="仿宋_GB2312" w:eastAsia="仿宋_GB2312"/>
          <w:color w:val="auto"/>
          <w:spacing w:val="0"/>
          <w:kern w:val="21"/>
          <w:sz w:val="32"/>
          <w:szCs w:val="32"/>
          <w:highlight w:val="none"/>
        </w:rPr>
        <w:t>，</w:t>
      </w:r>
      <w:r>
        <w:rPr>
          <w:rFonts w:hint="eastAsia" w:ascii="仿宋_GB2312" w:hAnsi="仿宋_GB2312" w:eastAsia="仿宋_GB2312"/>
          <w:color w:val="auto"/>
          <w:spacing w:val="0"/>
          <w:kern w:val="21"/>
          <w:sz w:val="32"/>
          <w:szCs w:val="32"/>
        </w:rPr>
        <w:t>增强基层自主可用财力。促进财政金融协同联动，强化重大战略任务和基本民生财力保障。推进成本预算绩效管理改革，加强财会监督</w:t>
      </w:r>
      <w:r>
        <w:rPr>
          <w:rFonts w:hint="eastAsia" w:ascii="仿宋_GB2312" w:hAnsi="仿宋_GB2312" w:eastAsia="仿宋_GB2312"/>
          <w:color w:val="auto"/>
          <w:spacing w:val="0"/>
          <w:kern w:val="21"/>
          <w:sz w:val="32"/>
          <w:szCs w:val="32"/>
          <w:lang w:eastAsia="zh-CN"/>
        </w:rPr>
        <w:t>，</w:t>
      </w:r>
      <w:r>
        <w:rPr>
          <w:rFonts w:hint="eastAsia" w:ascii="仿宋_GB2312" w:hAnsi="仿宋_GB2312" w:eastAsia="仿宋_GB2312"/>
          <w:color w:val="auto"/>
          <w:spacing w:val="0"/>
          <w:kern w:val="21"/>
          <w:sz w:val="32"/>
          <w:szCs w:val="32"/>
        </w:rPr>
        <w:t>增强政策可行性和财政可持续性。</w:t>
      </w:r>
    </w:p>
    <w:p w14:paraId="7A1381F1">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color w:val="auto"/>
          <w:spacing w:val="0"/>
          <w:kern w:val="21"/>
          <w:sz w:val="32"/>
          <w:szCs w:val="32"/>
        </w:rPr>
      </w:pPr>
      <w:bookmarkStart w:id="71" w:name="_Toc25263"/>
      <w:bookmarkStart w:id="72" w:name="_Toc832"/>
      <w:bookmarkStart w:id="73" w:name="_Toc17334"/>
    </w:p>
    <w:p w14:paraId="3F441C7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90" w:lineRule="exact"/>
        <w:ind w:left="0"/>
        <w:textAlignment w:val="auto"/>
        <w:rPr>
          <w:rFonts w:hint="eastAsia"/>
          <w:color w:val="auto"/>
          <w:spacing w:val="0"/>
          <w:kern w:val="21"/>
          <w:sz w:val="32"/>
          <w:szCs w:val="32"/>
        </w:rPr>
      </w:pPr>
      <w:r>
        <w:rPr>
          <w:rFonts w:hint="eastAsia"/>
          <w:color w:val="auto"/>
          <w:spacing w:val="0"/>
          <w:kern w:val="21"/>
          <w:sz w:val="32"/>
          <w:szCs w:val="32"/>
        </w:rPr>
        <w:t>第</w:t>
      </w:r>
      <w:r>
        <w:rPr>
          <w:rFonts w:hint="eastAsia"/>
          <w:color w:val="auto"/>
          <w:spacing w:val="0"/>
          <w:kern w:val="21"/>
          <w:sz w:val="32"/>
          <w:szCs w:val="32"/>
          <w:lang w:val="en-US" w:eastAsia="zh-CN"/>
        </w:rPr>
        <w:t>二十</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充分激发各类经营主体活力</w:t>
      </w:r>
      <w:bookmarkEnd w:id="71"/>
      <w:bookmarkEnd w:id="72"/>
      <w:bookmarkEnd w:id="73"/>
    </w:p>
    <w:p w14:paraId="785C9F86">
      <w:pPr>
        <w:keepNext w:val="0"/>
        <w:keepLines w:val="0"/>
        <w:pageBreakBefore w:val="0"/>
        <w:widowControl w:val="0"/>
        <w:kinsoku/>
        <w:wordWrap/>
        <w:overflowPunct w:val="0"/>
        <w:topLinePunct w:val="0"/>
        <w:autoSpaceDE/>
        <w:autoSpaceDN/>
        <w:bidi w:val="0"/>
        <w:adjustRightInd/>
        <w:snapToGrid/>
        <w:spacing w:afterAutospacing="0" w:line="570" w:lineRule="exact"/>
        <w:ind w:left="0"/>
        <w:jc w:val="both"/>
        <w:textAlignment w:val="auto"/>
        <w:rPr>
          <w:rFonts w:hint="eastAsia" w:ascii="楷体_GB2312" w:hAnsi="楷体_GB2312" w:eastAsia="楷体_GB2312" w:cs="楷体_GB2312"/>
          <w:b w:val="0"/>
          <w:bCs w:val="0"/>
          <w:color w:val="auto"/>
          <w:spacing w:val="0"/>
          <w:kern w:val="21"/>
          <w:sz w:val="32"/>
          <w:szCs w:val="32"/>
        </w:rPr>
      </w:pPr>
    </w:p>
    <w:p w14:paraId="6A63DBC6">
      <w:pPr>
        <w:keepNext w:val="0"/>
        <w:keepLines w:val="0"/>
        <w:pageBreakBefore w:val="0"/>
        <w:widowControl w:val="0"/>
        <w:kinsoku/>
        <w:wordWrap/>
        <w:overflowPunct w:val="0"/>
        <w:topLinePunct w:val="0"/>
        <w:autoSpaceDE/>
        <w:autoSpaceDN/>
        <w:bidi w:val="0"/>
        <w:adjustRightInd/>
        <w:snapToGrid/>
        <w:spacing w:afterAutospacing="0" w:line="570" w:lineRule="exact"/>
        <w:ind w:left="0"/>
        <w:jc w:val="both"/>
        <w:textAlignment w:val="auto"/>
        <w:rPr>
          <w:rFonts w:hint="eastAsia" w:ascii="仿宋_GB2312" w:hAnsi="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深化国资国企改革。</w:t>
      </w:r>
      <w:r>
        <w:rPr>
          <w:rFonts w:hint="eastAsia" w:ascii="仿宋_GB2312" w:hAnsi="仿宋_GB2312" w:eastAsia="仿宋_GB2312" w:cs="仿宋_GB2312"/>
          <w:b w:val="0"/>
          <w:bCs/>
          <w:color w:val="auto"/>
          <w:spacing w:val="0"/>
          <w:kern w:val="21"/>
          <w:sz w:val="32"/>
          <w:szCs w:val="32"/>
        </w:rPr>
        <w:t>以增强核心功能、提升核心竞争力为导向，</w:t>
      </w:r>
      <w:r>
        <w:rPr>
          <w:rFonts w:hint="eastAsia" w:ascii="仿宋_GB2312" w:hAnsi="仿宋_GB2312" w:cs="仿宋_GB2312"/>
          <w:color w:val="auto"/>
          <w:spacing w:val="0"/>
          <w:kern w:val="21"/>
          <w:sz w:val="32"/>
          <w:szCs w:val="32"/>
          <w:lang w:val="en-US" w:eastAsia="zh-CN"/>
        </w:rPr>
        <w:t>做强做优做大国有企业和国有资本，推动国有资本向优势产业、新兴产业及公共服务领域集中。以“四类公司”改革为牵引，构建“1+1+1+N”国企发展新格局。建设市属国企“四位一体”产业支撑体系和“1234”产业发展体系，服务全市“7+25”现代产业链群建设。健全国有企业领导人员培养、选拔、考核、评价、任用制度机制，打造优秀企业家队伍。健全市场化经营机制，深化三项制度改革，深入实施经理层成员任期制和契约化管理。完善国有资产监管体制，坚持政企分开、政资分开，提升智能监管能力。</w:t>
      </w:r>
      <w:r>
        <w:rPr>
          <w:rFonts w:hint="eastAsia" w:ascii="仿宋_GB2312" w:hAnsi="仿宋_GB2312" w:cs="仿宋_GB2312"/>
          <w:color w:val="auto"/>
          <w:spacing w:val="0"/>
          <w:kern w:val="21"/>
          <w:sz w:val="32"/>
          <w:szCs w:val="32"/>
          <w:highlight w:val="none"/>
          <w:lang w:val="en-US" w:eastAsia="zh-CN"/>
        </w:rPr>
        <w:t>健全多层级债务风险预警机制和快速反应机制。</w:t>
      </w:r>
      <w:r>
        <w:rPr>
          <w:rFonts w:hint="eastAsia" w:ascii="仿宋_GB2312" w:hAnsi="仿宋_GB2312" w:cs="仿宋_GB2312"/>
          <w:color w:val="auto"/>
          <w:spacing w:val="0"/>
          <w:kern w:val="21"/>
          <w:sz w:val="32"/>
          <w:szCs w:val="32"/>
          <w:lang w:val="en-US" w:eastAsia="zh-CN"/>
        </w:rPr>
        <w:t>健全以党内监督为主导，出资人监督与纪检监察、巡察、审计、财会、社会监督等贯通一体的监督体系。</w:t>
      </w:r>
    </w:p>
    <w:p w14:paraId="480FD3AF">
      <w:pPr>
        <w:pStyle w:val="2"/>
        <w:rPr>
          <w:rFonts w:hint="eastAsia" w:ascii="仿宋_GB2312" w:hAnsi="仿宋_GB2312" w:cs="仿宋_GB2312"/>
          <w:color w:val="auto"/>
          <w:spacing w:val="0"/>
          <w:kern w:val="21"/>
          <w:sz w:val="32"/>
          <w:szCs w:val="32"/>
          <w:lang w:val="en-US" w:eastAsia="zh-CN"/>
        </w:rPr>
      </w:pPr>
    </w:p>
    <w:p w14:paraId="1CE91378">
      <w:pPr>
        <w:rPr>
          <w:rFonts w:hint="eastAsia" w:ascii="仿宋_GB2312" w:hAnsi="仿宋_GB2312" w:cs="仿宋_GB2312"/>
          <w:color w:val="auto"/>
          <w:spacing w:val="0"/>
          <w:kern w:val="21"/>
          <w:sz w:val="32"/>
          <w:szCs w:val="32"/>
          <w:lang w:val="en-US" w:eastAsia="zh-CN"/>
        </w:rPr>
      </w:pPr>
    </w:p>
    <w:p w14:paraId="0E8CFEB7">
      <w:pPr>
        <w:pStyle w:val="2"/>
        <w:rPr>
          <w:rFonts w:hint="eastAsia"/>
          <w:color w:val="auto"/>
          <w:lang w:val="en-US" w:eastAsia="zh-CN"/>
        </w:rPr>
      </w:pPr>
    </w:p>
    <w:p w14:paraId="225FBAA6">
      <w:pPr>
        <w:pStyle w:val="2"/>
        <w:keepNext w:val="0"/>
        <w:keepLines w:val="0"/>
        <w:pageBreakBefore w:val="0"/>
        <w:widowControl w:val="0"/>
        <w:kinsoku/>
        <w:wordWrap/>
        <w:overflowPunct w:val="0"/>
        <w:topLinePunct w:val="0"/>
        <w:autoSpaceDE/>
        <w:autoSpaceDN/>
        <w:bidi w:val="0"/>
        <w:adjustRightInd/>
        <w:snapToGrid/>
        <w:spacing w:before="0" w:after="0" w:afterAutospacing="0" w:line="160" w:lineRule="exact"/>
        <w:ind w:left="0"/>
        <w:textAlignment w:val="auto"/>
        <w:rPr>
          <w:rFonts w:hint="eastAsia"/>
          <w:color w:val="auto"/>
          <w:spacing w:val="0"/>
          <w:kern w:val="21"/>
          <w:lang w:val="en-US" w:eastAsia="zh-CN"/>
        </w:rPr>
      </w:pPr>
    </w:p>
    <w:tbl>
      <w:tblPr>
        <w:tblStyle w:val="16"/>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5"/>
      </w:tblGrid>
      <w:tr w14:paraId="7E52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735" w:type="dxa"/>
            <w:vAlign w:val="center"/>
          </w:tcPr>
          <w:p w14:paraId="0012479E">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18</w:t>
            </w:r>
            <w:r>
              <w:rPr>
                <w:rFonts w:hint="eastAsia" w:ascii="黑体" w:hAnsi="黑体" w:eastAsia="黑体" w:cs="黑体"/>
                <w:b w:val="0"/>
                <w:bCs w:val="0"/>
                <w:color w:val="auto"/>
                <w:spacing w:val="0"/>
                <w:kern w:val="21"/>
                <w:sz w:val="25"/>
                <w:szCs w:val="25"/>
                <w:highlight w:val="none"/>
                <w:u w:val="none"/>
              </w:rPr>
              <w:t xml:space="preserve"> “1+1+1+N”国企发展新格局</w:t>
            </w:r>
          </w:p>
        </w:tc>
      </w:tr>
      <w:tr w14:paraId="0242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atLeast"/>
          <w:jc w:val="center"/>
        </w:trPr>
        <w:tc>
          <w:tcPr>
            <w:tcW w:w="8735" w:type="dxa"/>
            <w:vAlign w:val="center"/>
          </w:tcPr>
          <w:p w14:paraId="7AC0DE98">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“1+1+1+N</w:t>
            </w:r>
            <w:r>
              <w:rPr>
                <w:rFonts w:hint="eastAsia" w:ascii="楷体_GB2312" w:hAnsi="楷体_GB2312" w:eastAsia="楷体_GB2312" w:cs="楷体_GB2312"/>
                <w:b w:val="0"/>
                <w:bCs w:val="0"/>
                <w:color w:val="auto"/>
                <w:spacing w:val="0"/>
                <w:kern w:val="21"/>
                <w:sz w:val="22"/>
                <w:szCs w:val="22"/>
                <w:highlight w:val="none"/>
                <w:u w:val="none"/>
                <w:lang w:eastAsia="zh-CN"/>
              </w:rPr>
              <w:t>”</w:t>
            </w:r>
            <w:r>
              <w:rPr>
                <w:rFonts w:hint="eastAsia" w:ascii="楷体_GB2312" w:hAnsi="楷体_GB2312" w:eastAsia="楷体_GB2312" w:cs="楷体_GB2312"/>
                <w:b w:val="0"/>
                <w:bCs w:val="0"/>
                <w:color w:val="auto"/>
                <w:spacing w:val="0"/>
                <w:kern w:val="21"/>
                <w:sz w:val="22"/>
                <w:szCs w:val="22"/>
                <w:highlight w:val="none"/>
                <w:u w:val="none"/>
              </w:rPr>
              <w:t>国企发展格局</w:t>
            </w:r>
            <w:r>
              <w:rPr>
                <w:rFonts w:hint="eastAsia" w:ascii="楷体_GB2312" w:hAnsi="楷体_GB2312" w:eastAsia="楷体_GB2312" w:cs="楷体_GB2312"/>
                <w:b w:val="0"/>
                <w:bCs w:val="0"/>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重组1家国有资本投资公司、1家国有资本运营公司、1家公益类公司、N家产业类集团公司，构建“1+1+1+N</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国企发展新格局。</w:t>
            </w:r>
          </w:p>
          <w:p w14:paraId="08A5A423">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国有企业</w:t>
            </w:r>
            <w:r>
              <w:rPr>
                <w:rFonts w:hint="eastAsia" w:ascii="楷体_GB2312" w:hAnsi="楷体_GB2312" w:eastAsia="楷体_GB2312" w:cs="楷体_GB2312"/>
                <w:b w:val="0"/>
                <w:bCs w:val="0"/>
                <w:color w:val="auto"/>
                <w:spacing w:val="0"/>
                <w:kern w:val="21"/>
                <w:sz w:val="22"/>
                <w:szCs w:val="22"/>
                <w:highlight w:val="none"/>
                <w:u w:val="none"/>
              </w:rPr>
              <w:t>“四位一体”产业支撑体系。</w:t>
            </w:r>
            <w:r>
              <w:rPr>
                <w:rFonts w:hint="eastAsia" w:ascii="宋体" w:hAnsi="宋体" w:eastAsia="宋体" w:cs="宋体"/>
                <w:color w:val="auto"/>
                <w:spacing w:val="0"/>
                <w:kern w:val="21"/>
                <w:sz w:val="22"/>
                <w:szCs w:val="22"/>
                <w:highlight w:val="none"/>
                <w:u w:val="none"/>
              </w:rPr>
              <w:t>延安财金投资公司用好市级产业发展母基金，发起设立创投基金，整合县域担保业务，支撑全市实体产业发展。延安公用事业集团对新</w:t>
            </w:r>
            <w:r>
              <w:rPr>
                <w:rFonts w:hint="eastAsia" w:ascii="宋体" w:hAnsi="宋体" w:eastAsia="宋体" w:cs="宋体"/>
                <w:color w:val="auto"/>
                <w:spacing w:val="0"/>
                <w:kern w:val="21"/>
                <w:sz w:val="22"/>
                <w:szCs w:val="22"/>
                <w:highlight w:val="none"/>
                <w:u w:val="none"/>
                <w:lang w:val="en-US" w:eastAsia="zh-CN"/>
              </w:rPr>
              <w:t>区</w:t>
            </w:r>
            <w:r>
              <w:rPr>
                <w:rFonts w:hint="eastAsia" w:ascii="宋体" w:hAnsi="宋体" w:eastAsia="宋体" w:cs="宋体"/>
                <w:color w:val="auto"/>
                <w:spacing w:val="0"/>
                <w:kern w:val="21"/>
                <w:sz w:val="22"/>
                <w:szCs w:val="22"/>
                <w:highlight w:val="none"/>
                <w:u w:val="none"/>
              </w:rPr>
              <w:t>、老城</w:t>
            </w:r>
            <w:r>
              <w:rPr>
                <w:rFonts w:hint="eastAsia" w:ascii="宋体" w:hAnsi="宋体" w:eastAsia="宋体" w:cs="宋体"/>
                <w:color w:val="auto"/>
                <w:spacing w:val="0"/>
                <w:kern w:val="21"/>
                <w:sz w:val="22"/>
                <w:szCs w:val="22"/>
                <w:highlight w:val="none"/>
                <w:u w:val="none"/>
                <w:lang w:val="en-US" w:eastAsia="zh-CN"/>
              </w:rPr>
              <w:t>区</w:t>
            </w:r>
            <w:r>
              <w:rPr>
                <w:rFonts w:hint="eastAsia" w:ascii="宋体" w:hAnsi="宋体" w:eastAsia="宋体" w:cs="宋体"/>
                <w:color w:val="auto"/>
                <w:spacing w:val="0"/>
                <w:kern w:val="21"/>
                <w:sz w:val="22"/>
                <w:szCs w:val="22"/>
                <w:highlight w:val="none"/>
                <w:u w:val="none"/>
              </w:rPr>
              <w:t>水、气、暖、公共交通等城市功能保障类业务和公益类产业实施一体化运营。延安资本运营公司通过市场化股权运作，发挥国有资本资产融合和产业投资引导作用。各产业类集团公司聚焦全市</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7+25</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产业链群，在能源、农业、文旅等领域打造一批链主企业和链上企业。“四类公司”功能清晰</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业务互补</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互为支撑，服务全市重点产业发展。</w:t>
            </w:r>
          </w:p>
          <w:p w14:paraId="66E3B985">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国有企业</w:t>
            </w:r>
            <w:r>
              <w:rPr>
                <w:rFonts w:hint="eastAsia" w:ascii="楷体_GB2312" w:hAnsi="楷体_GB2312" w:eastAsia="楷体_GB2312" w:cs="楷体_GB2312"/>
                <w:b w:val="0"/>
                <w:bCs w:val="0"/>
                <w:color w:val="auto"/>
                <w:spacing w:val="0"/>
                <w:kern w:val="21"/>
                <w:sz w:val="22"/>
                <w:szCs w:val="22"/>
                <w:highlight w:val="none"/>
                <w:u w:val="none"/>
              </w:rPr>
              <w:t>“1234”产业发展体系</w:t>
            </w:r>
            <w:r>
              <w:rPr>
                <w:rFonts w:hint="eastAsia" w:ascii="楷体_GB2312" w:hAnsi="楷体_GB2312" w:eastAsia="楷体_GB2312" w:cs="楷体_GB2312"/>
                <w:b w:val="0"/>
                <w:bCs w:val="0"/>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“1”个支柱产业（能源化工）、“2”个特色产业（文化旅游、现代农业）、“3”个战新产业（数字经济、能源装备、应急物流）、“4”个现代服务产业（现代金融、城市运营、检验检测、园区运营）。</w:t>
            </w:r>
          </w:p>
        </w:tc>
      </w:tr>
    </w:tbl>
    <w:p w14:paraId="0CE2D4B0">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大力发展民营经济。</w:t>
      </w:r>
      <w:r>
        <w:rPr>
          <w:rFonts w:hint="eastAsia" w:ascii="仿宋_GB2312" w:hAnsi="仿宋_GB2312" w:cs="仿宋_GB2312"/>
          <w:color w:val="auto"/>
          <w:spacing w:val="0"/>
          <w:kern w:val="21"/>
          <w:sz w:val="32"/>
          <w:szCs w:val="32"/>
        </w:rPr>
        <w:t>坚持和落实“两个毫不动摇”，</w:t>
      </w:r>
      <w:r>
        <w:rPr>
          <w:rFonts w:hint="eastAsia" w:ascii="仿宋_GB2312" w:hAnsi="仿宋_GB2312" w:eastAsia="仿宋_GB2312" w:cs="仿宋_GB2312"/>
          <w:b w:val="0"/>
          <w:bCs w:val="0"/>
          <w:color w:val="auto"/>
          <w:spacing w:val="0"/>
          <w:kern w:val="21"/>
          <w:sz w:val="32"/>
          <w:szCs w:val="32"/>
        </w:rPr>
        <w:t>深入贯彻落实民营经济促进法，大力实施</w:t>
      </w:r>
      <w:r>
        <w:rPr>
          <w:rFonts w:hint="eastAsia" w:ascii="仿宋_GB2312" w:hAnsi="仿宋_GB2312" w:cs="仿宋_GB2312"/>
          <w:color w:val="auto"/>
          <w:spacing w:val="0"/>
          <w:kern w:val="21"/>
          <w:sz w:val="32"/>
          <w:szCs w:val="32"/>
        </w:rPr>
        <w:t>民营经济高质量发展“十大行动”</w:t>
      </w:r>
      <w:r>
        <w:rPr>
          <w:rFonts w:hint="eastAsia" w:ascii="仿宋_GB2312" w:hAnsi="仿宋_GB2312" w:eastAsia="仿宋_GB2312" w:cs="仿宋_GB2312"/>
          <w:b w:val="0"/>
          <w:bCs w:val="0"/>
          <w:color w:val="auto"/>
          <w:spacing w:val="0"/>
          <w:kern w:val="21"/>
          <w:sz w:val="32"/>
          <w:szCs w:val="32"/>
        </w:rPr>
        <w:t>，保障平等使用生产要素、公平参与市场竞争、有效保护合法权益，发展壮大民营经济。</w:t>
      </w:r>
      <w:r>
        <w:rPr>
          <w:rFonts w:hint="eastAsia" w:ascii="仿宋_GB2312" w:hAnsi="仿宋_GB2312" w:cs="仿宋_GB2312"/>
          <w:color w:val="auto"/>
          <w:spacing w:val="0"/>
          <w:kern w:val="21"/>
          <w:sz w:val="32"/>
          <w:szCs w:val="32"/>
        </w:rPr>
        <w:t>健全防范化解拖欠中小企业账款长效机制，强化产权执法司法保护，</w:t>
      </w:r>
      <w:r>
        <w:rPr>
          <w:rFonts w:hint="eastAsia" w:ascii="仿宋_GB2312" w:hAnsi="仿宋_GB2312" w:cs="仿宋_GB2312"/>
          <w:color w:val="auto"/>
          <w:spacing w:val="0"/>
          <w:kern w:val="21"/>
          <w:sz w:val="32"/>
          <w:szCs w:val="32"/>
          <w:lang w:val="en-US" w:eastAsia="zh-CN"/>
        </w:rPr>
        <w:t>切实保护民营企业和民营企业家合法权益。</w:t>
      </w:r>
      <w:r>
        <w:rPr>
          <w:rFonts w:hint="eastAsia" w:ascii="仿宋_GB2312" w:hAnsi="仿宋_GB2312" w:cs="仿宋_GB2312"/>
          <w:color w:val="auto"/>
          <w:spacing w:val="0"/>
          <w:kern w:val="21"/>
          <w:sz w:val="32"/>
          <w:szCs w:val="32"/>
        </w:rPr>
        <w:t>优化项目服务，推出一批高质量项目清单，提高民间投资占比。</w:t>
      </w:r>
      <w:r>
        <w:rPr>
          <w:rFonts w:hint="eastAsia" w:ascii="仿宋_GB2312" w:hAnsi="仿宋_GB2312" w:cs="仿宋_GB2312"/>
          <w:color w:val="auto"/>
          <w:spacing w:val="0"/>
          <w:kern w:val="21"/>
          <w:sz w:val="32"/>
          <w:szCs w:val="32"/>
          <w:lang w:val="en-US" w:eastAsia="zh-CN"/>
        </w:rPr>
        <w:t>支持民营企业参与重大工程项目建设，鼓励开展传统产业技术改造和转型升级、发展未来产业。对民间投资重点项目给予贴息支持，</w:t>
      </w:r>
      <w:r>
        <w:rPr>
          <w:rFonts w:hint="eastAsia" w:ascii="仿宋_GB2312" w:hAnsi="仿宋_GB2312" w:cs="仿宋_GB2312"/>
          <w:color w:val="auto"/>
          <w:spacing w:val="0"/>
          <w:kern w:val="21"/>
          <w:sz w:val="32"/>
          <w:szCs w:val="32"/>
        </w:rPr>
        <w:t>拓宽民营企业多元化融资渠道，增强中小微企业融资信用服务。</w:t>
      </w:r>
      <w:r>
        <w:rPr>
          <w:rFonts w:hint="eastAsia" w:ascii="仿宋_GB2312" w:hAnsi="仿宋_GB2312" w:cs="仿宋_GB2312"/>
          <w:color w:val="auto"/>
          <w:spacing w:val="0"/>
          <w:kern w:val="21"/>
          <w:sz w:val="32"/>
          <w:szCs w:val="32"/>
          <w:lang w:val="en-US" w:eastAsia="zh-CN"/>
        </w:rPr>
        <w:t>组建成立民营中小企业发展担保公司，解决民营企业融资难问题。</w:t>
      </w:r>
      <w:r>
        <w:rPr>
          <w:rFonts w:hint="eastAsia" w:ascii="仿宋_GB2312" w:hAnsi="仿宋_GB2312" w:cs="仿宋_GB2312"/>
          <w:color w:val="auto"/>
          <w:spacing w:val="0"/>
          <w:kern w:val="21"/>
          <w:sz w:val="32"/>
          <w:szCs w:val="32"/>
        </w:rPr>
        <w:t>对民营企业改造原有厂房、增加容积率、调整用地结构等给予优惠支持。鼓励民营企业参与电力市场化交易，降低用能成本。</w:t>
      </w:r>
      <w:r>
        <w:rPr>
          <w:rFonts w:hint="eastAsia" w:ascii="仿宋_GB2312" w:hAnsi="仿宋_GB2312" w:cs="仿宋_GB2312"/>
          <w:color w:val="auto"/>
          <w:spacing w:val="0"/>
          <w:kern w:val="21"/>
          <w:sz w:val="32"/>
          <w:szCs w:val="32"/>
          <w:lang w:val="en-US" w:eastAsia="zh-CN"/>
        </w:rPr>
        <w:t>支持</w:t>
      </w:r>
      <w:r>
        <w:rPr>
          <w:rFonts w:hint="eastAsia" w:ascii="仿宋_GB2312" w:hAnsi="仿宋_GB2312" w:cs="仿宋_GB2312"/>
          <w:color w:val="auto"/>
          <w:spacing w:val="0"/>
          <w:kern w:val="21"/>
          <w:sz w:val="32"/>
          <w:szCs w:val="32"/>
        </w:rPr>
        <w:t>民营企业</w:t>
      </w:r>
      <w:r>
        <w:rPr>
          <w:rFonts w:hint="eastAsia" w:ascii="仿宋_GB2312" w:hAnsi="仿宋_GB2312" w:cs="仿宋_GB2312"/>
          <w:color w:val="auto"/>
          <w:spacing w:val="0"/>
          <w:kern w:val="21"/>
          <w:sz w:val="32"/>
          <w:szCs w:val="32"/>
          <w:lang w:val="en-US" w:eastAsia="zh-CN"/>
        </w:rPr>
        <w:t>集中精力做强做优主业，推动“个转企、</w:t>
      </w:r>
      <w:r>
        <w:rPr>
          <w:rFonts w:hint="eastAsia" w:ascii="仿宋_GB2312" w:hAnsi="仿宋_GB2312" w:cs="仿宋_GB2312"/>
          <w:color w:val="auto"/>
          <w:spacing w:val="0"/>
          <w:kern w:val="21"/>
          <w:sz w:val="32"/>
          <w:szCs w:val="32"/>
          <w:highlight w:val="none"/>
          <w:lang w:val="en-US" w:eastAsia="zh-CN"/>
        </w:rPr>
        <w:t>小升规、规改股、股上市”。</w:t>
      </w:r>
      <w:r>
        <w:rPr>
          <w:rFonts w:hint="eastAsia" w:ascii="仿宋_GB2312" w:hAnsi="仿宋_GB2312" w:cs="仿宋_GB2312"/>
          <w:color w:val="auto"/>
          <w:spacing w:val="0"/>
          <w:kern w:val="21"/>
          <w:sz w:val="32"/>
          <w:szCs w:val="32"/>
          <w:highlight w:val="none"/>
        </w:rPr>
        <w:t>围绕重点产业领域，实施民营经济“千企示范、万企转型”。</w:t>
      </w:r>
      <w:r>
        <w:rPr>
          <w:rFonts w:hint="eastAsia" w:ascii="仿宋_GB2312" w:hAnsi="仿宋_GB2312" w:eastAsia="仿宋_GB2312" w:cs="仿宋_GB2312"/>
          <w:b w:val="0"/>
          <w:bCs w:val="0"/>
          <w:color w:val="auto"/>
          <w:spacing w:val="0"/>
          <w:kern w:val="21"/>
          <w:sz w:val="32"/>
          <w:szCs w:val="32"/>
          <w:highlight w:val="none"/>
        </w:rPr>
        <w:t>支持中小企业和个体工商户发展，推动大中小企业协同融通发展，不断壮大经营主体。</w:t>
      </w:r>
      <w:r>
        <w:rPr>
          <w:rFonts w:hint="eastAsia" w:ascii="仿宋_GB2312" w:hAnsi="仿宋_GB2312" w:cs="仿宋_GB2312"/>
          <w:color w:val="auto"/>
          <w:spacing w:val="0"/>
          <w:kern w:val="21"/>
          <w:sz w:val="32"/>
          <w:szCs w:val="32"/>
          <w:highlight w:val="none"/>
        </w:rPr>
        <w:t>坚持遍访“五上”企业制度</w:t>
      </w:r>
      <w:r>
        <w:rPr>
          <w:rFonts w:hint="eastAsia" w:ascii="仿宋_GB2312" w:hAnsi="仿宋_GB2312" w:cs="仿宋_GB2312"/>
          <w:color w:val="auto"/>
          <w:spacing w:val="0"/>
          <w:kern w:val="21"/>
          <w:sz w:val="32"/>
          <w:szCs w:val="32"/>
          <w:highlight w:val="none"/>
          <w:lang w:val="en-US" w:eastAsia="zh-CN"/>
        </w:rPr>
        <w:t>和“三解”机制</w:t>
      </w:r>
      <w:r>
        <w:rPr>
          <w:rFonts w:hint="eastAsia" w:ascii="仿宋_GB2312" w:hAnsi="仿宋_GB2312" w:cs="仿宋_GB2312"/>
          <w:color w:val="auto"/>
          <w:spacing w:val="0"/>
          <w:kern w:val="21"/>
          <w:sz w:val="32"/>
          <w:szCs w:val="32"/>
          <w:highlight w:val="none"/>
          <w:lang w:eastAsia="zh-CN"/>
        </w:rPr>
        <w:t>，</w:t>
      </w:r>
      <w:r>
        <w:rPr>
          <w:rFonts w:hint="eastAsia" w:ascii="仿宋_GB2312" w:hAnsi="仿宋_GB2312" w:cs="仿宋_GB2312"/>
          <w:color w:val="auto"/>
          <w:spacing w:val="0"/>
          <w:kern w:val="21"/>
          <w:sz w:val="32"/>
          <w:szCs w:val="32"/>
          <w:highlight w:val="none"/>
          <w:lang w:val="en-US" w:eastAsia="zh-CN"/>
        </w:rPr>
        <w:t>常态化、制度</w:t>
      </w:r>
      <w:r>
        <w:rPr>
          <w:rFonts w:hint="eastAsia" w:ascii="仿宋_GB2312" w:hAnsi="仿宋_GB2312" w:cs="仿宋_GB2312"/>
          <w:color w:val="auto"/>
          <w:spacing w:val="0"/>
          <w:kern w:val="21"/>
          <w:sz w:val="32"/>
          <w:szCs w:val="32"/>
          <w:lang w:val="en-US" w:eastAsia="zh-CN"/>
        </w:rPr>
        <w:t>化解决民营企业发展难题。鼓励</w:t>
      </w:r>
      <w:r>
        <w:rPr>
          <w:rFonts w:hint="eastAsia" w:ascii="仿宋_GB2312" w:hAnsi="仿宋_GB2312" w:cs="仿宋_GB2312"/>
          <w:color w:val="auto"/>
          <w:spacing w:val="0"/>
          <w:kern w:val="21"/>
          <w:sz w:val="32"/>
          <w:szCs w:val="32"/>
        </w:rPr>
        <w:t>民营企业树立现代管理理念，完善法人治理结构，建立现代企业制度。弘扬企业家精神，提升民营企业家荣誉感。到“十五五”末，全市民营企业数量增加到7</w:t>
      </w:r>
      <w:r>
        <w:rPr>
          <w:rFonts w:hint="eastAsia" w:ascii="仿宋_GB2312" w:hAnsi="仿宋_GB2312" w:cs="仿宋_GB2312"/>
          <w:color w:val="auto"/>
          <w:spacing w:val="0"/>
          <w:kern w:val="21"/>
          <w:sz w:val="32"/>
          <w:szCs w:val="32"/>
          <w:lang w:val="en-US" w:eastAsia="zh-CN"/>
        </w:rPr>
        <w:t>万</w:t>
      </w:r>
      <w:r>
        <w:rPr>
          <w:rFonts w:hint="eastAsia" w:ascii="仿宋_GB2312" w:hAnsi="仿宋_GB2312" w:cs="仿宋_GB2312"/>
          <w:color w:val="auto"/>
          <w:spacing w:val="0"/>
          <w:kern w:val="21"/>
          <w:sz w:val="32"/>
          <w:szCs w:val="32"/>
        </w:rPr>
        <w:t>户以上，</w:t>
      </w:r>
      <w:r>
        <w:rPr>
          <w:rFonts w:hint="eastAsia" w:ascii="仿宋_GB2312" w:hAnsi="仿宋_GB2312" w:cs="仿宋_GB2312"/>
          <w:color w:val="auto"/>
          <w:spacing w:val="0"/>
          <w:kern w:val="21"/>
          <w:sz w:val="32"/>
          <w:szCs w:val="32"/>
          <w:lang w:val="en-US" w:eastAsia="zh-CN"/>
        </w:rPr>
        <w:t>民营经济增加值占GDP比重达到30%以上，</w:t>
      </w:r>
      <w:r>
        <w:rPr>
          <w:rFonts w:hint="eastAsia" w:ascii="仿宋_GB2312" w:hAnsi="仿宋_GB2312" w:cs="仿宋_GB2312"/>
          <w:color w:val="auto"/>
          <w:spacing w:val="0"/>
          <w:kern w:val="21"/>
          <w:sz w:val="32"/>
          <w:szCs w:val="32"/>
        </w:rPr>
        <w:t>吸纳城镇劳动力就业达到75%以上。</w:t>
      </w:r>
    </w:p>
    <w:p w14:paraId="3FE542CE">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default"/>
          <w:color w:val="auto"/>
          <w:lang w:val="en-US" w:eastAsia="zh-CN"/>
        </w:rPr>
      </w:pPr>
    </w:p>
    <w:tbl>
      <w:tblPr>
        <w:tblStyle w:val="16"/>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5"/>
      </w:tblGrid>
      <w:tr w14:paraId="581B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485" w:type="dxa"/>
            <w:vAlign w:val="center"/>
          </w:tcPr>
          <w:p w14:paraId="79AA8E8F">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lang w:eastAsia="zh-CN"/>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19</w:t>
            </w:r>
            <w:r>
              <w:rPr>
                <w:rFonts w:hint="eastAsia" w:ascii="黑体" w:hAnsi="黑体" w:eastAsia="黑体" w:cs="黑体"/>
                <w:b w:val="0"/>
                <w:bCs w:val="0"/>
                <w:color w:val="auto"/>
                <w:spacing w:val="0"/>
                <w:kern w:val="21"/>
                <w:sz w:val="25"/>
                <w:szCs w:val="25"/>
                <w:highlight w:val="none"/>
                <w:u w:val="none"/>
              </w:rPr>
              <w:t xml:space="preserve"> 民营经济高质量发展“十大行动”</w:t>
            </w:r>
          </w:p>
        </w:tc>
      </w:tr>
      <w:tr w14:paraId="7B9F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8485" w:type="dxa"/>
            <w:vAlign w:val="center"/>
          </w:tcPr>
          <w:p w14:paraId="7953ED47">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政策可感可及行动。</w:t>
            </w:r>
            <w:r>
              <w:rPr>
                <w:rFonts w:hint="eastAsia" w:ascii="宋体" w:hAnsi="宋体" w:eastAsia="宋体" w:cs="宋体"/>
                <w:color w:val="auto"/>
                <w:spacing w:val="0"/>
                <w:kern w:val="21"/>
                <w:sz w:val="22"/>
                <w:szCs w:val="22"/>
                <w:highlight w:val="none"/>
                <w:u w:val="none"/>
              </w:rPr>
              <w:t>实施优化政策制定流程、政策精准送达、强化政策落实、依法减税降费、鼓励企业创新、加力推动清欠、完善服务体系、支持企业提升等。</w:t>
            </w:r>
          </w:p>
          <w:p w14:paraId="05A5161E">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破除市场准入壁垒行动。</w:t>
            </w:r>
            <w:r>
              <w:rPr>
                <w:rFonts w:hint="eastAsia" w:ascii="宋体" w:hAnsi="宋体" w:eastAsia="宋体" w:cs="宋体"/>
                <w:color w:val="auto"/>
                <w:spacing w:val="0"/>
                <w:kern w:val="21"/>
                <w:sz w:val="22"/>
                <w:szCs w:val="22"/>
                <w:highlight w:val="none"/>
                <w:u w:val="none"/>
              </w:rPr>
              <w:t>实施强化公平竞争审查、严格落实非禁即入、深化营商环境突破年活动等。</w:t>
            </w:r>
          </w:p>
          <w:p w14:paraId="565B0134">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金融惠企纾困行动。</w:t>
            </w:r>
            <w:r>
              <w:rPr>
                <w:rFonts w:hint="eastAsia" w:ascii="宋体" w:hAnsi="宋体" w:eastAsia="宋体" w:cs="宋体"/>
                <w:color w:val="auto"/>
                <w:spacing w:val="0"/>
                <w:kern w:val="21"/>
                <w:sz w:val="22"/>
                <w:szCs w:val="22"/>
                <w:highlight w:val="none"/>
                <w:u w:val="none"/>
              </w:rPr>
              <w:t>实施加大信贷供给、支持多元融资、完善风险分担机制、优化金融服务等。</w:t>
            </w:r>
          </w:p>
          <w:p w14:paraId="2E4FFC71">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加大民营经济要素支持行动。</w:t>
            </w:r>
            <w:r>
              <w:rPr>
                <w:rFonts w:hint="eastAsia" w:ascii="宋体" w:hAnsi="宋体" w:eastAsia="宋体" w:cs="宋体"/>
                <w:color w:val="auto"/>
                <w:spacing w:val="0"/>
                <w:kern w:val="21"/>
                <w:sz w:val="22"/>
                <w:szCs w:val="22"/>
                <w:highlight w:val="none"/>
                <w:u w:val="none"/>
              </w:rPr>
              <w:t>实施依法保障用地、降低用能成本、加强人才引育、物流降本增效、优化项目服务等。</w:t>
            </w:r>
          </w:p>
          <w:p w14:paraId="109F18D3">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规范涉企行政检查行动。</w:t>
            </w:r>
            <w:r>
              <w:rPr>
                <w:rFonts w:hint="eastAsia" w:ascii="宋体" w:hAnsi="宋体" w:eastAsia="宋体" w:cs="宋体"/>
                <w:color w:val="auto"/>
                <w:spacing w:val="0"/>
                <w:kern w:val="21"/>
                <w:sz w:val="22"/>
                <w:szCs w:val="22"/>
                <w:highlight w:val="none"/>
                <w:u w:val="none"/>
              </w:rPr>
              <w:t>实施加强源头治理、联合执法、推行数智监督、严肃追责问责等。</w:t>
            </w:r>
          </w:p>
          <w:p w14:paraId="58809787">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“高效办成一件事”行动。</w:t>
            </w:r>
            <w:r>
              <w:rPr>
                <w:rFonts w:hint="eastAsia" w:ascii="宋体" w:hAnsi="宋体" w:eastAsia="宋体" w:cs="宋体"/>
                <w:color w:val="auto"/>
                <w:spacing w:val="0"/>
                <w:kern w:val="21"/>
                <w:sz w:val="22"/>
                <w:szCs w:val="22"/>
                <w:highlight w:val="none"/>
                <w:u w:val="none"/>
              </w:rPr>
              <w:t>实施优化行政审批流程、提升政务服务质效、推动平台互通共享、强化数据应用赋能等。</w:t>
            </w:r>
          </w:p>
          <w:p w14:paraId="209AC93F">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法治保障行动。</w:t>
            </w:r>
            <w:r>
              <w:rPr>
                <w:rFonts w:hint="eastAsia" w:ascii="宋体" w:hAnsi="宋体" w:eastAsia="宋体" w:cs="宋体"/>
                <w:color w:val="auto"/>
                <w:spacing w:val="0"/>
                <w:kern w:val="21"/>
                <w:sz w:val="22"/>
                <w:szCs w:val="22"/>
                <w:highlight w:val="none"/>
                <w:u w:val="none"/>
              </w:rPr>
              <w:t>实施优化提升法治化营商环境、保护民营企业和企业家合法权益、依法保护知识产权、强化涉企普法宣传、加强法律服务体系建设、推动亲商暖企等。</w:t>
            </w:r>
          </w:p>
          <w:p w14:paraId="0E96CE08">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梯度培优行动。</w:t>
            </w:r>
            <w:r>
              <w:rPr>
                <w:rFonts w:hint="eastAsia" w:ascii="宋体" w:hAnsi="宋体" w:eastAsia="宋体" w:cs="宋体"/>
                <w:color w:val="auto"/>
                <w:spacing w:val="0"/>
                <w:kern w:val="21"/>
                <w:sz w:val="22"/>
                <w:szCs w:val="22"/>
                <w:highlight w:val="none"/>
                <w:u w:val="none"/>
              </w:rPr>
              <w:t>实施健全梯度培育体系、提升企业创新能力、加强财税政策支持等。</w:t>
            </w:r>
          </w:p>
          <w:p w14:paraId="3B1531AF">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挖潜培育行动。</w:t>
            </w:r>
            <w:r>
              <w:rPr>
                <w:rFonts w:hint="eastAsia" w:ascii="宋体" w:hAnsi="宋体" w:eastAsia="宋体" w:cs="宋体"/>
                <w:color w:val="auto"/>
                <w:spacing w:val="0"/>
                <w:kern w:val="21"/>
                <w:sz w:val="22"/>
                <w:szCs w:val="22"/>
                <w:highlight w:val="none"/>
                <w:u w:val="none"/>
              </w:rPr>
              <w:t>实施建立“小升规”企业培育库、加大项目建设推进力度、加强入统培训指导等。</w:t>
            </w:r>
          </w:p>
          <w:p w14:paraId="6C3D7678">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解难纾困行动。</w:t>
            </w:r>
            <w:r>
              <w:rPr>
                <w:rFonts w:hint="eastAsia" w:ascii="宋体" w:hAnsi="宋体" w:eastAsia="宋体" w:cs="宋体"/>
                <w:color w:val="auto"/>
                <w:spacing w:val="0"/>
                <w:kern w:val="21"/>
                <w:sz w:val="22"/>
                <w:szCs w:val="22"/>
                <w:highlight w:val="none"/>
                <w:u w:val="none"/>
              </w:rPr>
              <w:t>实施企业生产经营周“解难”工作机制、发挥“陕企通”平台作用、助力企业开拓市场等。</w:t>
            </w:r>
          </w:p>
        </w:tc>
      </w:tr>
    </w:tbl>
    <w:p w14:paraId="20EE4535">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color w:val="auto"/>
          <w:spacing w:val="0"/>
          <w:kern w:val="21"/>
          <w:sz w:val="32"/>
          <w:szCs w:val="32"/>
        </w:rPr>
      </w:pPr>
      <w:bookmarkStart w:id="74" w:name="_Toc2197"/>
      <w:bookmarkStart w:id="75" w:name="_Toc7886"/>
      <w:bookmarkStart w:id="76" w:name="_Toc2201"/>
    </w:p>
    <w:p w14:paraId="5D15EBA9">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第二十</w:t>
      </w:r>
      <w:r>
        <w:rPr>
          <w:rFonts w:hint="eastAsia"/>
          <w:color w:val="auto"/>
          <w:spacing w:val="0"/>
          <w:kern w:val="21"/>
          <w:sz w:val="32"/>
          <w:szCs w:val="32"/>
          <w:lang w:val="en-US" w:eastAsia="zh-CN"/>
        </w:rPr>
        <w:t>一</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持续优化提升营商环境</w:t>
      </w:r>
      <w:bookmarkEnd w:id="74"/>
      <w:bookmarkEnd w:id="75"/>
      <w:bookmarkEnd w:id="76"/>
    </w:p>
    <w:p w14:paraId="419CD28E">
      <w:pPr>
        <w:keepNext w:val="0"/>
        <w:keepLines w:val="0"/>
        <w:pageBreakBefore w:val="0"/>
        <w:widowControl w:val="0"/>
        <w:kinsoku/>
        <w:wordWrap/>
        <w:overflowPunct w:val="0"/>
        <w:topLinePunct w:val="0"/>
        <w:autoSpaceDE/>
        <w:autoSpaceDN/>
        <w:bidi w:val="0"/>
        <w:adjustRightInd/>
        <w:snapToGrid/>
        <w:spacing w:afterAutospacing="0"/>
        <w:ind w:left="0"/>
        <w:textAlignment w:val="auto"/>
        <w:rPr>
          <w:rFonts w:hint="eastAsia" w:ascii="楷体_GB2312" w:hAnsi="楷体_GB2312" w:eastAsia="楷体_GB2312" w:cs="楷体_GB2312"/>
          <w:b w:val="0"/>
          <w:bCs w:val="0"/>
          <w:color w:val="auto"/>
          <w:spacing w:val="0"/>
          <w:kern w:val="21"/>
          <w:sz w:val="32"/>
          <w:szCs w:val="32"/>
        </w:rPr>
      </w:pPr>
    </w:p>
    <w:p w14:paraId="68DE2650">
      <w:pPr>
        <w:keepNext w:val="0"/>
        <w:keepLines w:val="0"/>
        <w:pageBreakBefore w:val="0"/>
        <w:widowControl w:val="0"/>
        <w:kinsoku/>
        <w:wordWrap/>
        <w:overflowPunct w:val="0"/>
        <w:topLinePunct w:val="0"/>
        <w:autoSpaceDE/>
        <w:autoSpaceDN/>
        <w:bidi w:val="0"/>
        <w:adjustRightInd/>
        <w:snapToGrid/>
        <w:spacing w:afterAutospacing="0"/>
        <w:ind w:left="0"/>
        <w:textAlignment w:val="auto"/>
        <w:rPr>
          <w:rFonts w:ascii="Times New Roman" w:hAnsi="Times New Roman" w:cs="仿宋_GB2312"/>
          <w:bCs/>
          <w:color w:val="auto"/>
          <w:spacing w:val="0"/>
          <w:kern w:val="21"/>
          <w:sz w:val="32"/>
          <w:szCs w:val="32"/>
          <w:highlight w:val="none"/>
          <w:shd w:val="clear" w:color="auto" w:fill="FFFFFF"/>
        </w:rPr>
      </w:pPr>
      <w:r>
        <w:rPr>
          <w:rFonts w:hint="eastAsia" w:ascii="楷体_GB2312" w:hAnsi="楷体_GB2312" w:eastAsia="楷体_GB2312" w:cs="楷体_GB2312"/>
          <w:b w:val="0"/>
          <w:bCs w:val="0"/>
          <w:color w:val="auto"/>
          <w:spacing w:val="0"/>
          <w:kern w:val="21"/>
          <w:sz w:val="32"/>
          <w:szCs w:val="32"/>
        </w:rPr>
        <w:t>提升市场化水平。</w:t>
      </w:r>
      <w:r>
        <w:rPr>
          <w:rFonts w:hint="eastAsia" w:ascii="Times New Roman" w:hAnsi="Times New Roman" w:eastAsia="仿宋_GB2312" w:cs="仿宋_GB2312"/>
          <w:b w:val="0"/>
          <w:bCs/>
          <w:color w:val="auto"/>
          <w:spacing w:val="0"/>
          <w:kern w:val="21"/>
          <w:sz w:val="32"/>
          <w:szCs w:val="32"/>
          <w:shd w:val="clear" w:color="auto" w:fill="FFFFFF"/>
          <w:lang w:val="en-US" w:eastAsia="zh-CN"/>
        </w:rPr>
        <w:t>坚持以推动项目落地提速</w:t>
      </w:r>
      <w:r>
        <w:rPr>
          <w:rFonts w:hint="eastAsia" w:ascii="Times New Roman" w:hAnsi="Times New Roman" w:cs="仿宋_GB2312"/>
          <w:b w:val="0"/>
          <w:bCs/>
          <w:color w:val="auto"/>
          <w:spacing w:val="0"/>
          <w:kern w:val="21"/>
          <w:sz w:val="32"/>
          <w:szCs w:val="32"/>
          <w:shd w:val="clear" w:color="auto" w:fill="FFFFFF"/>
          <w:lang w:val="en-US" w:eastAsia="zh-CN"/>
        </w:rPr>
        <w:t>、</w:t>
      </w:r>
      <w:r>
        <w:rPr>
          <w:rFonts w:hint="eastAsia" w:ascii="Times New Roman" w:hAnsi="Times New Roman" w:eastAsia="仿宋_GB2312" w:cs="仿宋_GB2312"/>
          <w:b w:val="0"/>
          <w:bCs/>
          <w:color w:val="auto"/>
          <w:spacing w:val="0"/>
          <w:kern w:val="21"/>
          <w:sz w:val="32"/>
          <w:szCs w:val="32"/>
          <w:shd w:val="clear" w:color="auto" w:fill="FFFFFF"/>
          <w:lang w:val="en-US" w:eastAsia="zh-CN"/>
        </w:rPr>
        <w:t>企业运营降本、政务服务增效、营商品牌创优为目标，持续</w:t>
      </w:r>
      <w:r>
        <w:rPr>
          <w:rFonts w:hint="eastAsia" w:ascii="Times New Roman" w:hAnsi="Times New Roman" w:cs="仿宋_GB2312"/>
          <w:bCs/>
          <w:color w:val="auto"/>
          <w:spacing w:val="0"/>
          <w:kern w:val="21"/>
          <w:sz w:val="32"/>
          <w:szCs w:val="32"/>
          <w:shd w:val="clear" w:color="auto" w:fill="FFFFFF"/>
        </w:rPr>
        <w:t>深化营商</w:t>
      </w:r>
      <w:r>
        <w:rPr>
          <w:rFonts w:hint="eastAsia" w:ascii="Times New Roman" w:hAnsi="Times New Roman" w:cs="仿宋_GB2312"/>
          <w:bCs/>
          <w:color w:val="auto"/>
          <w:spacing w:val="0"/>
          <w:kern w:val="21"/>
          <w:sz w:val="32"/>
          <w:szCs w:val="32"/>
          <w:highlight w:val="none"/>
          <w:shd w:val="clear" w:color="auto" w:fill="FFFFFF"/>
        </w:rPr>
        <w:t>环境突破年活动。围绕经营主体生产经营全生命周期，完善产权保护体系，深入推进市场监管领域准入准营“一件事”改革，建立健全事前、事中、事后全链条全领域的监管体制机制。严格落实市场准入“全国一张清单”制度，清理废除妨碍公平竞争的规定和做法。督促各级政府诚信履约，及时履行依法向</w:t>
      </w:r>
      <w:r>
        <w:rPr>
          <w:rFonts w:hint="eastAsia" w:ascii="Times New Roman" w:hAnsi="Times New Roman" w:cs="仿宋_GB2312"/>
          <w:bCs/>
          <w:color w:val="auto"/>
          <w:spacing w:val="0"/>
          <w:kern w:val="21"/>
          <w:sz w:val="32"/>
          <w:szCs w:val="32"/>
          <w:highlight w:val="none"/>
          <w:shd w:val="clear" w:color="auto" w:fill="FFFFFF"/>
          <w:lang w:val="en-US" w:eastAsia="zh-CN"/>
        </w:rPr>
        <w:t>经营</w:t>
      </w:r>
      <w:r>
        <w:rPr>
          <w:rFonts w:hint="eastAsia" w:ascii="Times New Roman" w:hAnsi="Times New Roman" w:cs="仿宋_GB2312"/>
          <w:bCs/>
          <w:color w:val="auto"/>
          <w:spacing w:val="0"/>
          <w:kern w:val="21"/>
          <w:sz w:val="32"/>
          <w:szCs w:val="32"/>
          <w:highlight w:val="none"/>
          <w:shd w:val="clear" w:color="auto" w:fill="FFFFFF"/>
        </w:rPr>
        <w:t>主体作出的政策承诺及订立的各类合同。执行市场监管行政处罚裁量基准</w:t>
      </w:r>
      <w:r>
        <w:rPr>
          <w:rFonts w:hint="eastAsia" w:ascii="仿宋_GB2312" w:hAnsi="仿宋_GB2312" w:cs="仿宋_GB2312"/>
          <w:color w:val="auto"/>
          <w:spacing w:val="0"/>
          <w:kern w:val="21"/>
          <w:sz w:val="32"/>
          <w:szCs w:val="32"/>
          <w:highlight w:val="none"/>
        </w:rPr>
        <w:t>。</w:t>
      </w:r>
    </w:p>
    <w:p w14:paraId="39321D02">
      <w:pPr>
        <w:keepNext w:val="0"/>
        <w:keepLines w:val="0"/>
        <w:pageBreakBefore w:val="0"/>
        <w:widowControl w:val="0"/>
        <w:numPr>
          <w:ilvl w:val="255"/>
          <w:numId w:val="0"/>
        </w:numPr>
        <w:kinsoku/>
        <w:wordWrap/>
        <w:overflowPunct w:val="0"/>
        <w:topLinePunct w:val="0"/>
        <w:autoSpaceDE/>
        <w:autoSpaceDN/>
        <w:bidi w:val="0"/>
        <w:spacing w:afterAutospacing="0"/>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提升法治化水平。</w:t>
      </w:r>
      <w:r>
        <w:rPr>
          <w:rFonts w:hint="eastAsia" w:ascii="Times New Roman" w:hAnsi="Times New Roman" w:cs="仿宋_GB2312"/>
          <w:bCs/>
          <w:color w:val="auto"/>
          <w:spacing w:val="0"/>
          <w:kern w:val="21"/>
          <w:sz w:val="32"/>
          <w:szCs w:val="32"/>
          <w:shd w:val="clear" w:color="auto" w:fill="FFFFFF"/>
        </w:rPr>
        <w:t>健全规范涉企执法长效机制，防止和纠正违规异地执法、趋利性执法。</w:t>
      </w:r>
      <w:r>
        <w:rPr>
          <w:rFonts w:hint="eastAsia" w:ascii="仿宋_GB2312" w:hAnsi="仿宋_GB2312" w:cs="仿宋_GB2312"/>
          <w:color w:val="auto"/>
          <w:spacing w:val="0"/>
          <w:kern w:val="21"/>
          <w:sz w:val="32"/>
          <w:szCs w:val="32"/>
          <w:lang w:val="en-US" w:eastAsia="zh-CN"/>
        </w:rPr>
        <w:t>完善</w:t>
      </w:r>
      <w:r>
        <w:rPr>
          <w:rFonts w:hint="eastAsia" w:ascii="仿宋_GB2312" w:hAnsi="仿宋_GB2312" w:cs="仿宋_GB2312"/>
          <w:color w:val="auto"/>
          <w:spacing w:val="0"/>
          <w:kern w:val="21"/>
          <w:sz w:val="32"/>
          <w:szCs w:val="32"/>
        </w:rPr>
        <w:t>营商环境投诉举报处</w:t>
      </w:r>
      <w:r>
        <w:rPr>
          <w:rFonts w:hint="eastAsia" w:ascii="仿宋_GB2312" w:hAnsi="仿宋_GB2312" w:cs="仿宋_GB2312"/>
          <w:color w:val="auto"/>
          <w:spacing w:val="0"/>
          <w:kern w:val="21"/>
          <w:sz w:val="32"/>
          <w:szCs w:val="32"/>
          <w:highlight w:val="none"/>
        </w:rPr>
        <w:t>理机制，畅通政企沟通渠道，依法保护各类经营主体合法权益。</w:t>
      </w:r>
      <w:r>
        <w:rPr>
          <w:rFonts w:hint="eastAsia"/>
          <w:color w:val="auto"/>
          <w:spacing w:val="0"/>
          <w:kern w:val="21"/>
          <w:sz w:val="32"/>
          <w:szCs w:val="32"/>
          <w:highlight w:val="none"/>
        </w:rPr>
        <w:t>健全跨部门综合监管工作机制，全面推行“一业一查”</w:t>
      </w:r>
      <w:r>
        <w:rPr>
          <w:rFonts w:hint="eastAsia"/>
          <w:color w:val="auto"/>
          <w:spacing w:val="0"/>
          <w:kern w:val="21"/>
          <w:sz w:val="32"/>
          <w:szCs w:val="32"/>
        </w:rPr>
        <w:t>和“综合查一次”改革。完善重点项目、重大工程法律服务机制，持续强化民生领域执法司法。</w:t>
      </w:r>
      <w:r>
        <w:rPr>
          <w:rFonts w:hint="eastAsia" w:ascii="Times New Roman" w:hAnsi="Times New Roman" w:cs="仿宋_GB2312"/>
          <w:bCs/>
          <w:color w:val="auto"/>
          <w:spacing w:val="0"/>
          <w:kern w:val="21"/>
          <w:sz w:val="32"/>
          <w:szCs w:val="32"/>
          <w:shd w:val="clear" w:color="auto" w:fill="FFFFFF"/>
        </w:rPr>
        <w:t>积极引进和培育金融服务、执法监管、知识产权保护等方面的专业力量。</w:t>
      </w:r>
    </w:p>
    <w:p w14:paraId="2536F73C">
      <w:pPr>
        <w:keepNext w:val="0"/>
        <w:keepLines w:val="0"/>
        <w:pageBreakBefore w:val="0"/>
        <w:widowControl w:val="0"/>
        <w:kinsoku/>
        <w:wordWrap/>
        <w:overflowPunct w:val="0"/>
        <w:topLinePunct w:val="0"/>
        <w:autoSpaceDE/>
        <w:autoSpaceDN/>
        <w:bidi w:val="0"/>
        <w:adjustRightInd/>
        <w:snapToGrid/>
        <w:spacing w:afterAutospacing="0"/>
        <w:ind w:left="0"/>
        <w:textAlignment w:val="auto"/>
        <w:rPr>
          <w:rFonts w:hint="eastAsia"/>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提升便利化水平。</w:t>
      </w:r>
      <w:r>
        <w:rPr>
          <w:rFonts w:hint="eastAsia" w:ascii="仿宋_GB2312" w:hAnsi="仿宋_GB2312" w:eastAsia="仿宋_GB2312" w:cs="仿宋_GB2312"/>
          <w:b w:val="0"/>
          <w:bCs w:val="0"/>
          <w:color w:val="auto"/>
          <w:spacing w:val="0"/>
          <w:kern w:val="21"/>
          <w:sz w:val="32"/>
          <w:szCs w:val="32"/>
        </w:rPr>
        <w:t>健全“高效办成一件事”重点事项常态化推进机制，</w:t>
      </w:r>
      <w:r>
        <w:rPr>
          <w:rFonts w:hint="eastAsia" w:ascii="仿宋_GB2312" w:hAnsi="仿宋_GB2312" w:cs="仿宋_GB2312"/>
          <w:color w:val="auto"/>
          <w:spacing w:val="0"/>
          <w:kern w:val="21"/>
          <w:sz w:val="32"/>
          <w:szCs w:val="32"/>
        </w:rPr>
        <w:t>探索推出一批具有本地特色的“高效办成一件事”事项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全力打造“服务不延时、发展更安心”营商环境品牌。</w:t>
      </w:r>
      <w:r>
        <w:rPr>
          <w:rFonts w:hint="eastAsia" w:ascii="仿宋_GB2312" w:hAnsi="仿宋_GB2312" w:cs="仿宋_GB2312"/>
          <w:color w:val="auto"/>
          <w:spacing w:val="0"/>
          <w:kern w:val="21"/>
          <w:sz w:val="32"/>
          <w:szCs w:val="32"/>
        </w:rPr>
        <w:t>推进在更大范围内实现“一网通办”，大幅压减审批环节和时限，推动政务服务标准化、规范化、便利化。</w:t>
      </w:r>
      <w:r>
        <w:rPr>
          <w:rFonts w:hint="eastAsia" w:ascii="Times New Roman" w:hAnsi="Times New Roman" w:cs="仿宋_GB2312"/>
          <w:bCs/>
          <w:color w:val="auto"/>
          <w:spacing w:val="0"/>
          <w:kern w:val="21"/>
          <w:sz w:val="32"/>
          <w:szCs w:val="32"/>
          <w:shd w:val="clear" w:color="auto" w:fill="FFFFFF"/>
        </w:rPr>
        <w:t>完善惠企政策直达快享、免申即享机制，用好企业生产经营周“解难”等机制。深入推进数字政府建设，用好“秦务员”“秦政通”“陕企通”“秦信融”“i延安”等平台</w:t>
      </w:r>
      <w:r>
        <w:rPr>
          <w:rFonts w:hint="eastAsia" w:ascii="Times New Roman" w:hAnsi="Times New Roman" w:cs="仿宋_GB2312"/>
          <w:bCs/>
          <w:color w:val="auto"/>
          <w:spacing w:val="0"/>
          <w:kern w:val="21"/>
          <w:sz w:val="32"/>
          <w:szCs w:val="32"/>
          <w:shd w:val="clear" w:color="auto" w:fill="FFFFFF"/>
          <w:lang w:eastAsia="zh-CN"/>
        </w:rPr>
        <w:t>，推动社会治理一件事全链条改革，</w:t>
      </w:r>
      <w:r>
        <w:rPr>
          <w:rFonts w:hint="eastAsia" w:ascii="Times New Roman" w:hAnsi="Times New Roman" w:cs="仿宋_GB2312"/>
          <w:bCs/>
          <w:color w:val="auto"/>
          <w:spacing w:val="0"/>
          <w:kern w:val="21"/>
          <w:sz w:val="32"/>
          <w:szCs w:val="32"/>
          <w:shd w:val="clear" w:color="auto" w:fill="FFFFFF"/>
          <w:lang w:val="en-US" w:eastAsia="zh-CN"/>
        </w:rPr>
        <w:t>开展</w:t>
      </w:r>
      <w:r>
        <w:rPr>
          <w:rFonts w:hint="eastAsia" w:ascii="Times New Roman" w:hAnsi="Times New Roman" w:cs="仿宋_GB2312"/>
          <w:bCs/>
          <w:color w:val="auto"/>
          <w:spacing w:val="0"/>
          <w:kern w:val="21"/>
          <w:sz w:val="32"/>
          <w:szCs w:val="32"/>
          <w:shd w:val="clear" w:color="auto" w:fill="FFFFFF"/>
          <w:lang w:eastAsia="zh-CN"/>
        </w:rPr>
        <w:t>全</w:t>
      </w:r>
      <w:r>
        <w:rPr>
          <w:rFonts w:hint="eastAsia" w:ascii="Times New Roman" w:hAnsi="Times New Roman" w:cs="仿宋_GB2312"/>
          <w:bCs/>
          <w:color w:val="auto"/>
          <w:spacing w:val="0"/>
          <w:kern w:val="21"/>
          <w:sz w:val="32"/>
          <w:szCs w:val="32"/>
          <w:shd w:val="clear" w:color="auto" w:fill="FFFFFF"/>
          <w:lang w:val="en-US" w:eastAsia="zh-CN"/>
        </w:rPr>
        <w:t>市</w:t>
      </w:r>
      <w:r>
        <w:rPr>
          <w:rFonts w:hint="eastAsia" w:ascii="Times New Roman" w:hAnsi="Times New Roman" w:cs="仿宋_GB2312"/>
          <w:bCs/>
          <w:color w:val="auto"/>
          <w:spacing w:val="0"/>
          <w:kern w:val="21"/>
          <w:sz w:val="32"/>
          <w:szCs w:val="32"/>
          <w:shd w:val="clear" w:color="auto" w:fill="FFFFFF"/>
          <w:lang w:eastAsia="zh-CN"/>
        </w:rPr>
        <w:t>城市全域数字化转型工作</w:t>
      </w:r>
      <w:r>
        <w:rPr>
          <w:rFonts w:hint="eastAsia" w:ascii="Times New Roman" w:hAnsi="Times New Roman" w:cs="仿宋_GB2312"/>
          <w:bCs/>
          <w:color w:val="auto"/>
          <w:spacing w:val="0"/>
          <w:kern w:val="21"/>
          <w:sz w:val="32"/>
          <w:szCs w:val="32"/>
          <w:shd w:val="clear" w:color="auto" w:fill="FFFFFF"/>
        </w:rPr>
        <w:t>。</w:t>
      </w:r>
      <w:r>
        <w:rPr>
          <w:rFonts w:hint="eastAsia"/>
          <w:color w:val="auto"/>
          <w:spacing w:val="0"/>
          <w:kern w:val="21"/>
          <w:sz w:val="32"/>
          <w:szCs w:val="32"/>
        </w:rPr>
        <w:t>加快推进政务服务体系标准化建设，健全相关制度体系，实现高频事项网上可办率和“最多跑一次”覆盖率逐年提高。持续深化政务服务线上线下融合互通，推动公共资源交易和政府采购平台整合共享。</w:t>
      </w:r>
    </w:p>
    <w:p w14:paraId="5DF67CA4">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tbl>
      <w:tblPr>
        <w:tblStyle w:val="16"/>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9"/>
      </w:tblGrid>
      <w:tr w14:paraId="7D2D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799" w:type="dxa"/>
            <w:vAlign w:val="center"/>
          </w:tcPr>
          <w:p w14:paraId="50474672">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default"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20</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val="en-US" w:eastAsia="zh-CN"/>
              </w:rPr>
              <w:t>营商环境提升“四大”行动</w:t>
            </w:r>
          </w:p>
        </w:tc>
      </w:tr>
      <w:tr w14:paraId="6381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5" w:hRule="atLeast"/>
          <w:jc w:val="center"/>
        </w:trPr>
        <w:tc>
          <w:tcPr>
            <w:tcW w:w="8799" w:type="dxa"/>
            <w:vAlign w:val="center"/>
          </w:tcPr>
          <w:p w14:paraId="5574DD30">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政务效能提升行动。</w:t>
            </w:r>
            <w:r>
              <w:rPr>
                <w:rFonts w:hint="eastAsia" w:ascii="宋体" w:hAnsi="宋体" w:eastAsia="宋体" w:cs="宋体"/>
                <w:color w:val="auto"/>
                <w:spacing w:val="0"/>
                <w:kern w:val="21"/>
                <w:sz w:val="22"/>
                <w:szCs w:val="22"/>
                <w:highlight w:val="none"/>
                <w:u w:val="none"/>
              </w:rPr>
              <w:t>加快推进政务服务数字化、协同化发展，构建形成标准统一、布局合理、管理协同、安全可靠的全市一体化政务服务大数据体系。持续推进“高效办成一</w:t>
            </w:r>
            <w:r>
              <w:rPr>
                <w:rFonts w:hint="eastAsia" w:ascii="宋体" w:hAnsi="宋体" w:eastAsia="宋体" w:cs="宋体"/>
                <w:color w:val="auto"/>
                <w:spacing w:val="-6"/>
                <w:kern w:val="21"/>
                <w:sz w:val="22"/>
                <w:szCs w:val="22"/>
                <w:highlight w:val="none"/>
                <w:u w:val="none"/>
              </w:rPr>
              <w:t>件事”，加大宣传力度，强化落地实施。探索推出具有本地特色的“高效办成一件事”事项。</w:t>
            </w:r>
          </w:p>
          <w:p w14:paraId="50174019">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金融惠企纾困行动。</w:t>
            </w:r>
            <w:r>
              <w:rPr>
                <w:rFonts w:hint="eastAsia" w:ascii="宋体" w:hAnsi="宋体" w:eastAsia="宋体" w:cs="宋体"/>
                <w:color w:val="auto"/>
                <w:spacing w:val="0"/>
                <w:kern w:val="21"/>
                <w:sz w:val="22"/>
                <w:szCs w:val="22"/>
                <w:highlight w:val="none"/>
                <w:u w:val="none"/>
              </w:rPr>
              <w:t>引导各银行机构落实各项金融惠企政策，加大对中小微企业的信贷投放。利用“四贷促进”金融服务站线上线下平台，加大对企业首贷、续贷、信用贷、随借随还贷支持力度。发挥好融资担保机构增信放大作用，加大对企业的担保支持力度，减轻企业的融资负担。</w:t>
            </w:r>
          </w:p>
          <w:p w14:paraId="54EBD005">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法治保障规范行动</w:t>
            </w:r>
            <w:r>
              <w:rPr>
                <w:rFonts w:hint="eastAsia" w:ascii="宋体" w:hAnsi="宋体" w:eastAsia="宋体" w:cs="宋体"/>
                <w:color w:val="auto"/>
                <w:spacing w:val="0"/>
                <w:kern w:val="21"/>
                <w:sz w:val="22"/>
                <w:szCs w:val="22"/>
                <w:highlight w:val="none"/>
                <w:u w:val="none"/>
              </w:rPr>
              <w:t>。聚焦服务保障高质量发展，清理妨碍统一市场和公平竞争的政府规章、行政规范性文件，健全规范涉企行政执法长效机制，优化创新法律服务方式，全力打造法治化营商环境。</w:t>
            </w:r>
          </w:p>
          <w:p w14:paraId="7008AA46">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30"/>
                <w:szCs w:val="30"/>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营商品牌建设行动。</w:t>
            </w:r>
            <w:r>
              <w:rPr>
                <w:rFonts w:hint="eastAsia" w:ascii="宋体" w:hAnsi="宋体" w:eastAsia="宋体" w:cs="宋体"/>
                <w:color w:val="auto"/>
                <w:spacing w:val="0"/>
                <w:kern w:val="21"/>
                <w:sz w:val="22"/>
                <w:szCs w:val="22"/>
                <w:highlight w:val="none"/>
                <w:u w:val="none"/>
              </w:rPr>
              <w:t>打造“服务不延时，发展更安心”营商环境品牌，每两年创建1－2个全省营商环境创新示范区，鼓励各县区结合本地实际创建品牌，形成“一县一品”营商格局。</w:t>
            </w:r>
          </w:p>
        </w:tc>
      </w:tr>
    </w:tbl>
    <w:p w14:paraId="4D98566F">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77" w:name="_Toc21687"/>
      <w:bookmarkStart w:id="78" w:name="_Toc30228"/>
      <w:bookmarkStart w:id="79" w:name="_Toc25516"/>
    </w:p>
    <w:p w14:paraId="6644865B">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p>
    <w:p w14:paraId="37284663">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p>
    <w:p w14:paraId="0ADD12AA">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第二十</w:t>
      </w:r>
      <w:r>
        <w:rPr>
          <w:rFonts w:hint="eastAsia"/>
          <w:color w:val="auto"/>
          <w:spacing w:val="0"/>
          <w:kern w:val="21"/>
          <w:sz w:val="32"/>
          <w:szCs w:val="32"/>
          <w:lang w:val="en-US" w:eastAsia="zh-CN"/>
        </w:rPr>
        <w:t>二</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加快构建全域开放格局</w:t>
      </w:r>
      <w:bookmarkEnd w:id="77"/>
      <w:bookmarkEnd w:id="78"/>
      <w:bookmarkEnd w:id="79"/>
    </w:p>
    <w:p w14:paraId="3A4FB0B4">
      <w:pPr>
        <w:keepNext w:val="0"/>
        <w:keepLines w:val="0"/>
        <w:pageBreakBefore w:val="0"/>
        <w:widowControl w:val="0"/>
        <w:kinsoku/>
        <w:wordWrap/>
        <w:overflowPunct w:val="0"/>
        <w:topLinePunct w:val="0"/>
        <w:autoSpaceDE/>
        <w:autoSpaceDN/>
        <w:bidi w:val="0"/>
        <w:spacing w:afterAutospacing="0"/>
        <w:ind w:left="0"/>
        <w:textAlignment w:val="auto"/>
        <w:rPr>
          <w:rFonts w:hint="eastAsia" w:ascii="楷体_GB2312" w:hAnsi="楷体_GB2312" w:eastAsia="楷体_GB2312" w:cs="楷体_GB2312"/>
          <w:b w:val="0"/>
          <w:bCs w:val="0"/>
          <w:color w:val="auto"/>
          <w:spacing w:val="0"/>
          <w:kern w:val="21"/>
          <w:sz w:val="32"/>
          <w:szCs w:val="32"/>
          <w:highlight w:val="none"/>
        </w:rPr>
      </w:pPr>
    </w:p>
    <w:p w14:paraId="302F9CD2">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rPr>
        <w:t>构建</w:t>
      </w:r>
      <w:r>
        <w:rPr>
          <w:rFonts w:hint="eastAsia" w:ascii="楷体_GB2312" w:hAnsi="楷体_GB2312" w:eastAsia="楷体_GB2312" w:cs="楷体_GB2312"/>
          <w:b w:val="0"/>
          <w:bCs w:val="0"/>
          <w:color w:val="auto"/>
          <w:spacing w:val="0"/>
          <w:kern w:val="21"/>
          <w:sz w:val="32"/>
          <w:szCs w:val="32"/>
          <w:highlight w:val="none"/>
          <w:lang w:val="en-US" w:eastAsia="zh-CN"/>
        </w:rPr>
        <w:t>对外</w:t>
      </w:r>
      <w:r>
        <w:rPr>
          <w:rFonts w:hint="eastAsia" w:ascii="楷体_GB2312" w:hAnsi="楷体_GB2312" w:eastAsia="楷体_GB2312" w:cs="楷体_GB2312"/>
          <w:b w:val="0"/>
          <w:bCs w:val="0"/>
          <w:color w:val="auto"/>
          <w:spacing w:val="0"/>
          <w:kern w:val="21"/>
          <w:sz w:val="32"/>
          <w:szCs w:val="32"/>
          <w:highlight w:val="none"/>
        </w:rPr>
        <w:t>开放</w:t>
      </w:r>
      <w:r>
        <w:rPr>
          <w:rFonts w:hint="eastAsia" w:ascii="楷体_GB2312" w:hAnsi="楷体_GB2312" w:eastAsia="楷体_GB2312" w:cs="楷体_GB2312"/>
          <w:b w:val="0"/>
          <w:bCs w:val="0"/>
          <w:color w:val="auto"/>
          <w:spacing w:val="0"/>
          <w:kern w:val="21"/>
          <w:sz w:val="32"/>
          <w:szCs w:val="32"/>
          <w:highlight w:val="none"/>
          <w:lang w:val="en-US" w:eastAsia="zh-CN"/>
        </w:rPr>
        <w:t>新格局</w:t>
      </w:r>
      <w:r>
        <w:rPr>
          <w:rFonts w:hint="eastAsia" w:ascii="楷体_GB2312" w:hAnsi="楷体_GB2312" w:eastAsia="楷体_GB2312" w:cs="楷体_GB2312"/>
          <w:b w:val="0"/>
          <w:bCs w:val="0"/>
          <w:color w:val="auto"/>
          <w:spacing w:val="0"/>
          <w:kern w:val="21"/>
          <w:sz w:val="32"/>
          <w:szCs w:val="32"/>
          <w:highlight w:val="none"/>
        </w:rPr>
        <w:t>。</w:t>
      </w:r>
      <w:r>
        <w:rPr>
          <w:rFonts w:hint="eastAsia" w:ascii="仿宋_GB2312" w:hAnsi="仿宋_GB2312" w:cs="仿宋_GB2312"/>
          <w:b w:val="0"/>
          <w:bCs/>
          <w:color w:val="auto"/>
          <w:spacing w:val="0"/>
          <w:kern w:val="21"/>
          <w:sz w:val="32"/>
          <w:szCs w:val="32"/>
        </w:rPr>
        <w:t>全面落实国家制度性开放政策，</w:t>
      </w:r>
      <w:r>
        <w:rPr>
          <w:rFonts w:hint="eastAsia" w:ascii="仿宋_GB2312" w:hAnsi="仿宋_GB2312" w:eastAsia="仿宋_GB2312" w:cs="仿宋_GB2312"/>
          <w:b w:val="0"/>
          <w:bCs/>
          <w:color w:val="auto"/>
          <w:spacing w:val="0"/>
          <w:kern w:val="21"/>
          <w:sz w:val="32"/>
          <w:szCs w:val="32"/>
        </w:rPr>
        <w:t>健全外贸、外资、外经、外事、外宣有机联动机制。持续落实中国</w:t>
      </w:r>
      <w:r>
        <w:rPr>
          <w:rFonts w:hint="eastAsia" w:ascii="仿宋_GB2312" w:hAnsi="仿宋_GB2312" w:cs="仿宋_GB2312"/>
          <w:strike w:val="0"/>
          <w:color w:val="auto"/>
          <w:spacing w:val="0"/>
          <w:kern w:val="21"/>
          <w:sz w:val="32"/>
          <w:szCs w:val="32"/>
          <w:highlight w:val="none"/>
        </w:rPr>
        <w:t>—</w:t>
      </w:r>
      <w:r>
        <w:rPr>
          <w:rFonts w:hint="eastAsia" w:ascii="仿宋_GB2312" w:hAnsi="仿宋_GB2312" w:eastAsia="仿宋_GB2312" w:cs="仿宋_GB2312"/>
          <w:b w:val="0"/>
          <w:bCs/>
          <w:color w:val="auto"/>
          <w:spacing w:val="0"/>
          <w:kern w:val="21"/>
          <w:sz w:val="32"/>
          <w:szCs w:val="32"/>
        </w:rPr>
        <w:t>中亚峰会涉陕成果，以中亚地区为重点积极融入高质量共建“一带一路”</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Cs/>
          <w:color w:val="auto"/>
          <w:spacing w:val="0"/>
          <w:kern w:val="21"/>
          <w:sz w:val="32"/>
          <w:szCs w:val="32"/>
        </w:rPr>
        <w:t>推动项目引进来、产品走出去、有条件的企业出国门</w:t>
      </w:r>
      <w:r>
        <w:rPr>
          <w:rFonts w:hint="eastAsia" w:ascii="仿宋_GB2312" w:hAnsi="仿宋_GB2312" w:eastAsia="仿宋_GB2312" w:cs="仿宋_GB2312"/>
          <w:b w:val="0"/>
          <w:bCs/>
          <w:color w:val="auto"/>
          <w:spacing w:val="0"/>
          <w:kern w:val="21"/>
          <w:sz w:val="32"/>
          <w:szCs w:val="32"/>
        </w:rPr>
        <w:t>。</w:t>
      </w:r>
      <w:r>
        <w:rPr>
          <w:rFonts w:hint="eastAsia" w:ascii="仿宋_GB2312" w:hAnsi="仿宋_GB2312" w:cs="仿宋_GB2312"/>
          <w:color w:val="auto"/>
          <w:spacing w:val="0"/>
          <w:kern w:val="21"/>
          <w:sz w:val="32"/>
          <w:szCs w:val="32"/>
        </w:rPr>
        <w:t>支持本地企业加强国际认证和标准对接，完善出口退税、通关便利、信用保险等服务机制。健全外贸风险防控体系，提升中小企业外贸综合服务能力。强化外语人才、国际贸易人才引育，提升企业跨境经营能力。</w:t>
      </w:r>
    </w:p>
    <w:p w14:paraId="6939DFC4">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优化区域</w:t>
      </w:r>
      <w:r>
        <w:rPr>
          <w:rFonts w:hint="eastAsia" w:ascii="楷体_GB2312" w:hAnsi="楷体_GB2312" w:eastAsia="楷体_GB2312" w:cs="楷体_GB2312"/>
          <w:b w:val="0"/>
          <w:bCs w:val="0"/>
          <w:color w:val="auto"/>
          <w:spacing w:val="0"/>
          <w:kern w:val="21"/>
          <w:sz w:val="32"/>
          <w:szCs w:val="32"/>
          <w:lang w:val="en-US" w:eastAsia="zh-CN"/>
        </w:rPr>
        <w:t>开放</w:t>
      </w:r>
      <w:r>
        <w:rPr>
          <w:rFonts w:hint="eastAsia" w:ascii="楷体_GB2312" w:hAnsi="楷体_GB2312" w:eastAsia="楷体_GB2312" w:cs="楷体_GB2312"/>
          <w:b w:val="0"/>
          <w:bCs w:val="0"/>
          <w:color w:val="auto"/>
          <w:spacing w:val="0"/>
          <w:kern w:val="21"/>
          <w:sz w:val="32"/>
          <w:szCs w:val="32"/>
        </w:rPr>
        <w:t>格局。</w:t>
      </w:r>
      <w:r>
        <w:rPr>
          <w:rFonts w:hint="eastAsia" w:ascii="仿宋_GB2312" w:hAnsi="仿宋_GB2312" w:cs="仿宋_GB2312"/>
          <w:color w:val="auto"/>
          <w:spacing w:val="0"/>
          <w:kern w:val="21"/>
          <w:sz w:val="32"/>
          <w:szCs w:val="32"/>
        </w:rPr>
        <w:t>全面展开“东引、西进、南融、北联”区域合作布局，</w:t>
      </w:r>
      <w:r>
        <w:rPr>
          <w:rFonts w:hint="eastAsia" w:ascii="仿宋_GB2312" w:hAnsi="仿宋_GB2312" w:eastAsia="仿宋_GB2312" w:cs="仿宋_GB2312"/>
          <w:b w:val="0"/>
          <w:bCs/>
          <w:color w:val="auto"/>
          <w:spacing w:val="0"/>
          <w:kern w:val="21"/>
          <w:sz w:val="32"/>
          <w:szCs w:val="32"/>
        </w:rPr>
        <w:t>主动对接国家区域重大战略和区域协调发展战略，</w:t>
      </w:r>
      <w:r>
        <w:rPr>
          <w:rFonts w:hint="eastAsia" w:ascii="仿宋_GB2312" w:hAnsi="仿宋_GB2312" w:cs="仿宋_GB2312"/>
          <w:color w:val="auto"/>
          <w:spacing w:val="0"/>
          <w:kern w:val="21"/>
          <w:sz w:val="32"/>
          <w:szCs w:val="32"/>
        </w:rPr>
        <w:t>深化</w:t>
      </w:r>
      <w:r>
        <w:rPr>
          <w:rFonts w:hint="eastAsia" w:ascii="仿宋_GB2312" w:hAnsi="仿宋_GB2312" w:cs="仿宋_GB2312"/>
          <w:color w:val="auto"/>
          <w:spacing w:val="0"/>
          <w:kern w:val="21"/>
          <w:sz w:val="32"/>
          <w:szCs w:val="32"/>
          <w:lang w:val="en-US" w:eastAsia="zh-CN"/>
        </w:rPr>
        <w:t>区域</w:t>
      </w:r>
      <w:r>
        <w:rPr>
          <w:rFonts w:hint="eastAsia" w:ascii="仿宋_GB2312" w:hAnsi="仿宋_GB2312" w:cs="仿宋_GB2312"/>
          <w:color w:val="auto"/>
          <w:spacing w:val="0"/>
          <w:kern w:val="21"/>
          <w:sz w:val="32"/>
          <w:szCs w:val="32"/>
        </w:rPr>
        <w:t>经济技术协作，积极承接产业转移</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全面加强区域合作。</w:t>
      </w:r>
      <w:r>
        <w:rPr>
          <w:rFonts w:hint="eastAsia" w:ascii="仿宋_GB2312" w:hAnsi="仿宋_GB2312" w:cs="仿宋_GB2312"/>
          <w:color w:val="auto"/>
          <w:spacing w:val="0"/>
          <w:kern w:val="21"/>
          <w:sz w:val="32"/>
          <w:szCs w:val="32"/>
        </w:rPr>
        <w:t>“东引”</w:t>
      </w:r>
      <w:r>
        <w:rPr>
          <w:rFonts w:hint="eastAsia" w:ascii="仿宋_GB2312" w:hAnsi="仿宋_GB2312" w:cs="仿宋_GB2312"/>
          <w:color w:val="auto"/>
          <w:spacing w:val="0"/>
          <w:kern w:val="21"/>
          <w:sz w:val="32"/>
          <w:szCs w:val="32"/>
          <w:lang w:val="en-US" w:eastAsia="zh-CN"/>
        </w:rPr>
        <w:t>东部地区精细化工和新材料产业行业领军企业以及</w:t>
      </w:r>
      <w:r>
        <w:rPr>
          <w:rFonts w:hint="eastAsia" w:ascii="仿宋_GB2312" w:hAnsi="仿宋_GB2312" w:cs="仿宋_GB2312"/>
          <w:color w:val="auto"/>
          <w:spacing w:val="0"/>
          <w:kern w:val="21"/>
          <w:sz w:val="32"/>
          <w:szCs w:val="32"/>
        </w:rPr>
        <w:t>输变电、新能源设备等领域</w:t>
      </w:r>
      <w:r>
        <w:rPr>
          <w:rFonts w:hint="eastAsia" w:ascii="仿宋_GB2312" w:hAnsi="仿宋_GB2312" w:cs="仿宋_GB2312"/>
          <w:color w:val="auto"/>
          <w:spacing w:val="0"/>
          <w:kern w:val="21"/>
          <w:sz w:val="32"/>
          <w:szCs w:val="32"/>
          <w:lang w:val="en-US" w:eastAsia="zh-CN"/>
        </w:rPr>
        <w:t>头部</w:t>
      </w:r>
      <w:r>
        <w:rPr>
          <w:rFonts w:hint="eastAsia" w:ascii="仿宋_GB2312" w:hAnsi="仿宋_GB2312" w:cs="仿宋_GB2312"/>
          <w:color w:val="auto"/>
          <w:spacing w:val="0"/>
          <w:kern w:val="21"/>
          <w:sz w:val="32"/>
          <w:szCs w:val="32"/>
        </w:rPr>
        <w:t>企业</w:t>
      </w:r>
      <w:r>
        <w:rPr>
          <w:rFonts w:hint="eastAsia" w:ascii="仿宋_GB2312" w:hAnsi="仿宋_GB2312" w:cs="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探索</w:t>
      </w:r>
      <w:r>
        <w:rPr>
          <w:rFonts w:hint="eastAsia" w:ascii="仿宋_GB2312" w:hAnsi="仿宋_GB2312"/>
          <w:color w:val="auto"/>
          <w:spacing w:val="0"/>
          <w:kern w:val="21"/>
          <w:sz w:val="32"/>
          <w:szCs w:val="32"/>
        </w:rPr>
        <w:t>与东部地区共建园区，</w:t>
      </w:r>
      <w:r>
        <w:rPr>
          <w:rFonts w:hint="eastAsia"/>
          <w:color w:val="auto"/>
          <w:spacing w:val="0"/>
          <w:kern w:val="21"/>
          <w:sz w:val="32"/>
          <w:szCs w:val="32"/>
        </w:rPr>
        <w:t>推动“无锡—延安”多领域深层次协作，</w:t>
      </w:r>
      <w:r>
        <w:rPr>
          <w:rFonts w:hint="eastAsia" w:ascii="仿宋_GB2312" w:hAnsi="仿宋_GB2312" w:eastAsia="仿宋_GB2312" w:cs="仿宋_GB2312"/>
          <w:b w:val="0"/>
          <w:bCs/>
          <w:color w:val="auto"/>
          <w:spacing w:val="0"/>
          <w:kern w:val="21"/>
          <w:sz w:val="32"/>
          <w:szCs w:val="32"/>
        </w:rPr>
        <w:t>深化与上海化工区的合作，加强与友好城市的宽领域交流，</w:t>
      </w:r>
      <w:r>
        <w:rPr>
          <w:rFonts w:hint="eastAsia" w:ascii="仿宋_GB2312" w:hAnsi="仿宋_GB2312" w:cs="仿宋_GB2312"/>
          <w:b w:val="0"/>
          <w:bCs/>
          <w:color w:val="auto"/>
          <w:spacing w:val="0"/>
          <w:kern w:val="21"/>
          <w:sz w:val="32"/>
          <w:szCs w:val="32"/>
          <w:lang w:val="en-US" w:eastAsia="zh-CN"/>
        </w:rPr>
        <w:t>积极</w:t>
      </w:r>
      <w:r>
        <w:rPr>
          <w:rFonts w:hint="eastAsia" w:ascii="仿宋_GB2312" w:hAnsi="仿宋_GB2312" w:eastAsia="仿宋_GB2312" w:cs="仿宋_GB2312"/>
          <w:b w:val="0"/>
          <w:bCs/>
          <w:color w:val="auto"/>
          <w:spacing w:val="0"/>
          <w:kern w:val="21"/>
          <w:sz w:val="32"/>
          <w:szCs w:val="32"/>
        </w:rPr>
        <w:t>承接</w:t>
      </w:r>
      <w:r>
        <w:rPr>
          <w:rFonts w:hint="eastAsia" w:ascii="仿宋_GB2312" w:hAnsi="仿宋_GB2312" w:cs="仿宋_GB2312"/>
          <w:b w:val="0"/>
          <w:bCs/>
          <w:color w:val="auto"/>
          <w:spacing w:val="0"/>
          <w:kern w:val="21"/>
          <w:sz w:val="32"/>
          <w:szCs w:val="32"/>
          <w:lang w:val="en-US" w:eastAsia="zh-CN"/>
        </w:rPr>
        <w:t>以无锡精细化工为主的</w:t>
      </w:r>
      <w:r>
        <w:rPr>
          <w:rFonts w:hint="eastAsia" w:ascii="仿宋_GB2312" w:hAnsi="仿宋_GB2312" w:eastAsia="仿宋_GB2312" w:cs="仿宋_GB2312"/>
          <w:b w:val="0"/>
          <w:bCs/>
          <w:color w:val="auto"/>
          <w:spacing w:val="0"/>
          <w:kern w:val="21"/>
          <w:sz w:val="32"/>
          <w:szCs w:val="32"/>
        </w:rPr>
        <w:t>更多产业转移</w:t>
      </w:r>
      <w:r>
        <w:rPr>
          <w:rFonts w:hint="eastAsia"/>
          <w:color w:val="auto"/>
          <w:spacing w:val="0"/>
          <w:kern w:val="21"/>
          <w:sz w:val="32"/>
          <w:szCs w:val="32"/>
        </w:rPr>
        <w:t>。“西进”哈萨克斯坦、乌兹别克斯坦等“一带一路”</w:t>
      </w:r>
      <w:r>
        <w:rPr>
          <w:rFonts w:hint="eastAsia"/>
          <w:color w:val="auto"/>
          <w:spacing w:val="0"/>
          <w:kern w:val="21"/>
          <w:sz w:val="32"/>
          <w:szCs w:val="32"/>
          <w:lang w:val="en-US" w:eastAsia="zh-CN"/>
        </w:rPr>
        <w:t>国家和地区</w:t>
      </w:r>
      <w:r>
        <w:rPr>
          <w:rFonts w:hint="eastAsia"/>
          <w:color w:val="auto"/>
          <w:spacing w:val="0"/>
          <w:kern w:val="21"/>
          <w:sz w:val="32"/>
          <w:szCs w:val="32"/>
        </w:rPr>
        <w:t>，将油气钻采</w:t>
      </w:r>
      <w:r>
        <w:rPr>
          <w:rFonts w:hint="eastAsia"/>
          <w:color w:val="auto"/>
          <w:spacing w:val="0"/>
          <w:kern w:val="21"/>
          <w:sz w:val="32"/>
          <w:szCs w:val="32"/>
          <w:lang w:val="en-US" w:eastAsia="zh-CN"/>
        </w:rPr>
        <w:t>和新能源</w:t>
      </w:r>
      <w:r>
        <w:rPr>
          <w:rFonts w:hint="eastAsia"/>
          <w:color w:val="auto"/>
          <w:spacing w:val="0"/>
          <w:kern w:val="21"/>
          <w:sz w:val="32"/>
          <w:szCs w:val="32"/>
        </w:rPr>
        <w:t>设备</w:t>
      </w:r>
      <w:r>
        <w:rPr>
          <w:rFonts w:hint="eastAsia"/>
          <w:color w:val="auto"/>
          <w:spacing w:val="0"/>
          <w:kern w:val="21"/>
          <w:sz w:val="32"/>
          <w:szCs w:val="32"/>
          <w:lang w:eastAsia="zh-CN"/>
        </w:rPr>
        <w:t>、</w:t>
      </w:r>
      <w:r>
        <w:rPr>
          <w:rFonts w:hint="eastAsia"/>
          <w:color w:val="auto"/>
          <w:spacing w:val="0"/>
          <w:kern w:val="21"/>
          <w:sz w:val="32"/>
          <w:szCs w:val="32"/>
          <w:lang w:val="en-US" w:eastAsia="zh-CN"/>
        </w:rPr>
        <w:t>高端化工原料等</w:t>
      </w:r>
      <w:r>
        <w:rPr>
          <w:rFonts w:hint="eastAsia"/>
          <w:color w:val="auto"/>
          <w:spacing w:val="0"/>
          <w:kern w:val="21"/>
          <w:sz w:val="32"/>
          <w:szCs w:val="32"/>
        </w:rPr>
        <w:t>接入国际供应链</w:t>
      </w:r>
      <w:r>
        <w:rPr>
          <w:rFonts w:hint="eastAsia"/>
          <w:color w:val="auto"/>
          <w:spacing w:val="0"/>
          <w:kern w:val="21"/>
          <w:sz w:val="32"/>
          <w:szCs w:val="32"/>
          <w:lang w:eastAsia="zh-CN"/>
        </w:rPr>
        <w:t>，积极参与西部陆海新通道建设，</w:t>
      </w:r>
      <w:r>
        <w:rPr>
          <w:rFonts w:hint="eastAsia" w:ascii="仿宋_GB2312" w:hAnsi="仿宋_GB2312" w:cs="仿宋_GB2312"/>
          <w:bCs/>
          <w:color w:val="auto"/>
          <w:spacing w:val="0"/>
          <w:kern w:val="21"/>
          <w:sz w:val="32"/>
          <w:szCs w:val="32"/>
        </w:rPr>
        <w:t>加强与甘肃、宁夏等毗邻地区交流合作，</w:t>
      </w:r>
      <w:r>
        <w:rPr>
          <w:rFonts w:hint="eastAsia"/>
          <w:color w:val="auto"/>
          <w:spacing w:val="0"/>
          <w:kern w:val="21"/>
          <w:sz w:val="32"/>
          <w:szCs w:val="32"/>
          <w:lang w:eastAsia="zh-CN"/>
        </w:rPr>
        <w:t>强化与西部省区经济合作和文化交流</w:t>
      </w:r>
      <w:r>
        <w:rPr>
          <w:rFonts w:hint="eastAsia" w:ascii="仿宋_GB2312" w:hAnsi="仿宋_GB2312" w:cs="仿宋_GB2312"/>
          <w:b w:val="0"/>
          <w:bCs/>
          <w:color w:val="auto"/>
          <w:spacing w:val="0"/>
          <w:kern w:val="21"/>
          <w:sz w:val="32"/>
          <w:szCs w:val="32"/>
          <w:lang w:eastAsia="zh-CN"/>
        </w:rPr>
        <w:t>，扎实做好对口援藏工作。</w:t>
      </w:r>
      <w:r>
        <w:rPr>
          <w:rFonts w:hint="eastAsia" w:ascii="仿宋_GB2312" w:hAnsi="仿宋_GB2312" w:cs="仿宋_GB2312"/>
          <w:color w:val="auto"/>
          <w:spacing w:val="0"/>
          <w:kern w:val="21"/>
          <w:sz w:val="32"/>
          <w:szCs w:val="32"/>
        </w:rPr>
        <w:t>“南融”</w:t>
      </w:r>
      <w:r>
        <w:rPr>
          <w:rFonts w:hint="eastAsia" w:ascii="仿宋_GB2312" w:hAnsi="仿宋_GB2312" w:eastAsia="仿宋_GB2312" w:cs="仿宋_GB2312"/>
          <w:b w:val="0"/>
          <w:bCs/>
          <w:color w:val="auto"/>
          <w:spacing w:val="0"/>
          <w:kern w:val="21"/>
          <w:sz w:val="32"/>
          <w:szCs w:val="32"/>
        </w:rPr>
        <w:t>西安</w:t>
      </w:r>
      <w:r>
        <w:rPr>
          <w:rFonts w:hint="eastAsia" w:ascii="仿宋_GB2312" w:hAnsi="仿宋_GB2312" w:cs="仿宋_GB2312"/>
          <w:b w:val="0"/>
          <w:bCs/>
          <w:color w:val="auto"/>
          <w:spacing w:val="0"/>
          <w:kern w:val="21"/>
          <w:sz w:val="32"/>
          <w:szCs w:val="32"/>
          <w:lang w:val="en-US" w:eastAsia="zh-CN"/>
        </w:rPr>
        <w:t>都市圈</w:t>
      </w:r>
      <w:r>
        <w:rPr>
          <w:rFonts w:hint="eastAsia" w:ascii="仿宋_GB2312" w:hAnsi="仿宋_GB2312" w:cs="仿宋_GB2312"/>
          <w:color w:val="auto"/>
          <w:spacing w:val="0"/>
          <w:kern w:val="21"/>
          <w:sz w:val="32"/>
          <w:szCs w:val="32"/>
        </w:rPr>
        <w:t>，</w:t>
      </w:r>
      <w:r>
        <w:rPr>
          <w:rFonts w:hint="eastAsia" w:ascii="仿宋_GB2312" w:hAnsi="仿宋_GB2312" w:eastAsia="仿宋_GB2312" w:cs="仿宋_GB2312"/>
          <w:b w:val="0"/>
          <w:bCs/>
          <w:color w:val="auto"/>
          <w:spacing w:val="0"/>
          <w:kern w:val="21"/>
          <w:sz w:val="32"/>
          <w:szCs w:val="32"/>
        </w:rPr>
        <w:t>推动延安能源材料与关中科技制造融合发展</w:t>
      </w:r>
      <w:r>
        <w:rPr>
          <w:rFonts w:hint="eastAsia" w:ascii="仿宋_GB2312" w:hAnsi="仿宋_GB2312" w:cs="仿宋_GB2312"/>
          <w:color w:val="auto"/>
          <w:spacing w:val="0"/>
          <w:kern w:val="21"/>
          <w:sz w:val="32"/>
          <w:szCs w:val="32"/>
        </w:rPr>
        <w:t>，推</w:t>
      </w:r>
      <w:r>
        <w:rPr>
          <w:rFonts w:hint="eastAsia" w:ascii="仿宋_GB2312" w:hAnsi="仿宋_GB2312" w:cs="仿宋_GB2312"/>
          <w:color w:val="auto"/>
          <w:spacing w:val="0"/>
          <w:kern w:val="21"/>
          <w:sz w:val="32"/>
          <w:szCs w:val="32"/>
          <w:lang w:val="en-US" w:eastAsia="zh-CN"/>
        </w:rPr>
        <w:t>进</w:t>
      </w:r>
      <w:r>
        <w:rPr>
          <w:rFonts w:hint="eastAsia" w:ascii="仿宋_GB2312" w:hAnsi="仿宋_GB2312" w:cs="仿宋_GB2312"/>
          <w:color w:val="auto"/>
          <w:spacing w:val="0"/>
          <w:kern w:val="21"/>
          <w:sz w:val="32"/>
          <w:szCs w:val="32"/>
        </w:rPr>
        <w:t>创新资源“西安研发、延安转化”，加快落地</w:t>
      </w:r>
      <w:r>
        <w:rPr>
          <w:rFonts w:hint="eastAsia" w:ascii="仿宋_GB2312" w:hAnsi="仿宋_GB2312" w:cs="仿宋_GB2312"/>
          <w:color w:val="auto"/>
          <w:spacing w:val="0"/>
          <w:kern w:val="21"/>
          <w:sz w:val="32"/>
          <w:szCs w:val="32"/>
          <w:highlight w:val="none"/>
        </w:rPr>
        <w:t>“陕西制造、延安配套”</w:t>
      </w:r>
      <w:r>
        <w:rPr>
          <w:rFonts w:hint="eastAsia" w:ascii="仿宋_GB2312" w:hAnsi="仿宋_GB2312" w:cs="仿宋_GB2312"/>
          <w:color w:val="auto"/>
          <w:spacing w:val="0"/>
          <w:kern w:val="21"/>
          <w:sz w:val="32"/>
          <w:szCs w:val="32"/>
        </w:rPr>
        <w:t>“关中建设、延安增材”产业协作模式。“北联”</w:t>
      </w:r>
      <w:r>
        <w:rPr>
          <w:rFonts w:hint="eastAsia" w:ascii="仿宋_GB2312" w:hAnsi="仿宋_GB2312" w:eastAsia="仿宋_GB2312" w:cs="仿宋_GB2312"/>
          <w:b w:val="0"/>
          <w:bCs/>
          <w:color w:val="auto"/>
          <w:spacing w:val="0"/>
          <w:kern w:val="21"/>
          <w:sz w:val="32"/>
          <w:szCs w:val="32"/>
        </w:rPr>
        <w:t>榆林在能化、文旅、生态等领域联动互补，</w:t>
      </w:r>
      <w:r>
        <w:rPr>
          <w:rFonts w:hint="eastAsia" w:ascii="仿宋_GB2312" w:hAnsi="仿宋_GB2312" w:cs="仿宋_GB2312"/>
          <w:color w:val="auto"/>
          <w:spacing w:val="0"/>
          <w:kern w:val="21"/>
          <w:sz w:val="32"/>
          <w:szCs w:val="32"/>
        </w:rPr>
        <w:t>打通</w:t>
      </w:r>
      <w:r>
        <w:rPr>
          <w:rFonts w:hint="eastAsia" w:ascii="仿宋_GB2312" w:hAnsi="仿宋_GB2312" w:cs="仿宋_GB2312"/>
          <w:color w:val="auto"/>
          <w:spacing w:val="0"/>
          <w:kern w:val="21"/>
          <w:sz w:val="32"/>
          <w:szCs w:val="32"/>
          <w:lang w:val="en-US" w:eastAsia="zh-CN"/>
        </w:rPr>
        <w:t>陕北</w:t>
      </w:r>
      <w:r>
        <w:rPr>
          <w:rFonts w:hint="eastAsia"/>
          <w:color w:val="auto"/>
          <w:spacing w:val="0"/>
          <w:kern w:val="21"/>
          <w:sz w:val="32"/>
          <w:szCs w:val="32"/>
        </w:rPr>
        <w:t>—</w:t>
      </w:r>
      <w:r>
        <w:rPr>
          <w:rFonts w:hint="eastAsia" w:ascii="仿宋_GB2312" w:hAnsi="仿宋_GB2312" w:cs="仿宋_GB2312"/>
          <w:color w:val="auto"/>
          <w:spacing w:val="0"/>
          <w:kern w:val="21"/>
          <w:sz w:val="32"/>
          <w:szCs w:val="32"/>
        </w:rPr>
        <w:t>关中能源输送通道，协同推动陕北高质量发展</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lang w:val="en-US" w:eastAsia="zh-CN"/>
        </w:rPr>
        <w:t>推动与呼包鄂榆城市群联动发展</w:t>
      </w:r>
      <w:r>
        <w:rPr>
          <w:rFonts w:hint="eastAsia" w:ascii="仿宋_GB2312" w:hAnsi="仿宋_GB2312" w:cs="仿宋_GB2312"/>
          <w:b w:val="0"/>
          <w:bCs/>
          <w:color w:val="auto"/>
          <w:spacing w:val="0"/>
          <w:kern w:val="21"/>
          <w:sz w:val="32"/>
          <w:szCs w:val="32"/>
          <w:lang w:val="en-US" w:eastAsia="zh-CN"/>
        </w:rPr>
        <w:t>，积极融入中蒙俄经济走廊</w:t>
      </w:r>
      <w:r>
        <w:rPr>
          <w:rFonts w:hint="eastAsia" w:ascii="仿宋_GB2312" w:hAnsi="仿宋_GB2312" w:eastAsia="仿宋_GB2312" w:cs="仿宋_GB2312"/>
          <w:b w:val="0"/>
          <w:bCs/>
          <w:color w:val="auto"/>
          <w:spacing w:val="0"/>
          <w:kern w:val="21"/>
          <w:sz w:val="32"/>
          <w:szCs w:val="32"/>
        </w:rPr>
        <w:t>。</w:t>
      </w:r>
    </w:p>
    <w:p w14:paraId="785C7824">
      <w:pPr>
        <w:keepNext w:val="0"/>
        <w:keepLines w:val="0"/>
        <w:pageBreakBefore w:val="0"/>
        <w:widowControl w:val="0"/>
        <w:kinsoku/>
        <w:wordWrap/>
        <w:overflowPunct w:val="0"/>
        <w:topLinePunct w:val="0"/>
        <w:autoSpaceDE/>
        <w:autoSpaceDN/>
        <w:bidi w:val="0"/>
        <w:spacing w:afterAutospacing="0"/>
        <w:ind w:left="0"/>
        <w:textAlignment w:val="auto"/>
        <w:rPr>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畅通</w:t>
      </w:r>
      <w:r>
        <w:rPr>
          <w:rFonts w:hint="eastAsia" w:ascii="楷体_GB2312" w:hAnsi="楷体_GB2312" w:eastAsia="楷体_GB2312" w:cs="楷体_GB2312"/>
          <w:b w:val="0"/>
          <w:bCs w:val="0"/>
          <w:color w:val="auto"/>
          <w:spacing w:val="0"/>
          <w:kern w:val="21"/>
          <w:sz w:val="32"/>
          <w:szCs w:val="32"/>
        </w:rPr>
        <w:t>对外</w:t>
      </w:r>
      <w:r>
        <w:rPr>
          <w:rFonts w:ascii="楷体_GB2312" w:hAnsi="楷体_GB2312" w:eastAsia="楷体_GB2312" w:cs="楷体_GB2312"/>
          <w:b w:val="0"/>
          <w:bCs w:val="0"/>
          <w:color w:val="auto"/>
          <w:spacing w:val="0"/>
          <w:kern w:val="21"/>
          <w:sz w:val="32"/>
          <w:szCs w:val="32"/>
        </w:rPr>
        <w:t>开放通道。</w:t>
      </w:r>
      <w:r>
        <w:rPr>
          <w:rFonts w:hint="eastAsia"/>
          <w:color w:val="auto"/>
          <w:spacing w:val="0"/>
          <w:kern w:val="21"/>
          <w:sz w:val="32"/>
          <w:szCs w:val="32"/>
        </w:rPr>
        <w:t>打通“走出去”通道，加强与沿海港口、</w:t>
      </w:r>
      <w:r>
        <w:rPr>
          <w:rFonts w:hint="eastAsia"/>
          <w:color w:val="auto"/>
          <w:spacing w:val="0"/>
          <w:kern w:val="21"/>
          <w:sz w:val="32"/>
          <w:szCs w:val="32"/>
          <w:lang w:val="en-US" w:eastAsia="zh-CN"/>
        </w:rPr>
        <w:t>西部陆海新通道等链接</w:t>
      </w:r>
      <w:r>
        <w:rPr>
          <w:rFonts w:hint="eastAsia"/>
          <w:color w:val="auto"/>
          <w:spacing w:val="0"/>
          <w:kern w:val="21"/>
          <w:sz w:val="32"/>
          <w:szCs w:val="32"/>
        </w:rPr>
        <w:t>，用好中欧班列（延西欧），</w:t>
      </w:r>
      <w:r>
        <w:rPr>
          <w:rFonts w:hint="eastAsia"/>
          <w:color w:val="auto"/>
          <w:spacing w:val="0"/>
          <w:kern w:val="21"/>
          <w:sz w:val="32"/>
          <w:szCs w:val="32"/>
          <w:lang w:val="en-US" w:eastAsia="zh-CN"/>
        </w:rPr>
        <w:t>融入</w:t>
      </w:r>
      <w:r>
        <w:rPr>
          <w:rFonts w:hint="eastAsia"/>
          <w:color w:val="auto"/>
          <w:spacing w:val="0"/>
          <w:kern w:val="21"/>
          <w:sz w:val="32"/>
          <w:szCs w:val="32"/>
        </w:rPr>
        <w:t>国际物流通道，支持装备制造、特色农产品企业拓展海外市场业务</w:t>
      </w:r>
      <w:r>
        <w:rPr>
          <w:rFonts w:hint="eastAsia"/>
          <w:color w:val="auto"/>
          <w:spacing w:val="0"/>
          <w:kern w:val="21"/>
          <w:sz w:val="32"/>
          <w:szCs w:val="32"/>
          <w:lang w:eastAsia="zh-CN"/>
        </w:rPr>
        <w:t>，</w:t>
      </w:r>
      <w:r>
        <w:rPr>
          <w:color w:val="auto"/>
          <w:spacing w:val="0"/>
          <w:kern w:val="21"/>
          <w:sz w:val="32"/>
          <w:szCs w:val="32"/>
        </w:rPr>
        <w:t>引导重点出口企业在主要出口国建立</w:t>
      </w:r>
      <w:r>
        <w:rPr>
          <w:rFonts w:hint="eastAsia" w:ascii="仿宋_GB2312" w:hAnsi="仿宋_GB2312" w:cs="仿宋_GB2312"/>
          <w:color w:val="auto"/>
          <w:spacing w:val="0"/>
          <w:kern w:val="21"/>
          <w:sz w:val="32"/>
          <w:szCs w:val="32"/>
        </w:rPr>
        <w:t>海外营销网络，</w:t>
      </w:r>
      <w:r>
        <w:rPr>
          <w:rFonts w:hint="eastAsia"/>
          <w:color w:val="auto"/>
          <w:spacing w:val="0"/>
          <w:kern w:val="21"/>
          <w:sz w:val="32"/>
          <w:szCs w:val="32"/>
          <w:lang w:val="en-US" w:eastAsia="zh-CN"/>
        </w:rPr>
        <w:t>加快布局</w:t>
      </w:r>
      <w:r>
        <w:rPr>
          <w:rFonts w:hint="eastAsia"/>
          <w:color w:val="auto"/>
          <w:spacing w:val="0"/>
          <w:kern w:val="21"/>
          <w:sz w:val="32"/>
          <w:szCs w:val="32"/>
          <w:highlight w:val="none"/>
          <w:lang w:val="en-US" w:eastAsia="zh-CN"/>
        </w:rPr>
        <w:t>建设苹果海外仓</w:t>
      </w:r>
      <w:r>
        <w:rPr>
          <w:rFonts w:hint="eastAsia"/>
          <w:color w:val="auto"/>
          <w:spacing w:val="0"/>
          <w:kern w:val="21"/>
          <w:sz w:val="32"/>
          <w:szCs w:val="32"/>
        </w:rPr>
        <w:t>。</w:t>
      </w:r>
      <w:r>
        <w:rPr>
          <w:color w:val="auto"/>
          <w:spacing w:val="0"/>
          <w:kern w:val="21"/>
          <w:sz w:val="32"/>
          <w:szCs w:val="32"/>
        </w:rPr>
        <w:t>依托浩吉铁路建成一批物流铁路货运专用线</w:t>
      </w:r>
      <w:r>
        <w:rPr>
          <w:rFonts w:hint="eastAsia"/>
          <w:color w:val="auto"/>
          <w:spacing w:val="0"/>
          <w:kern w:val="21"/>
          <w:sz w:val="32"/>
          <w:szCs w:val="32"/>
        </w:rPr>
        <w:t>，</w:t>
      </w:r>
      <w:r>
        <w:rPr>
          <w:color w:val="auto"/>
          <w:spacing w:val="0"/>
          <w:kern w:val="21"/>
          <w:sz w:val="32"/>
          <w:szCs w:val="32"/>
        </w:rPr>
        <w:t>构建优质便捷的对外开放铁路网。</w:t>
      </w:r>
      <w:r>
        <w:rPr>
          <w:rFonts w:hint="eastAsia" w:ascii="仿宋_GB2312" w:hAnsi="仿宋_GB2312" w:eastAsia="仿宋_GB2312" w:cs="仿宋_GB2312"/>
          <w:b w:val="0"/>
          <w:bCs/>
          <w:color w:val="auto"/>
          <w:spacing w:val="0"/>
          <w:kern w:val="21"/>
          <w:sz w:val="32"/>
          <w:szCs w:val="32"/>
        </w:rPr>
        <w:t>系统升级国家骨干冷链物流基地、陆港型国家物流枢纽承载城市开放通道功能，</w:t>
      </w:r>
      <w:r>
        <w:rPr>
          <w:rFonts w:hint="eastAsia" w:ascii="仿宋_GB2312" w:hAnsi="仿宋_GB2312" w:cs="仿宋_GB2312"/>
          <w:color w:val="auto"/>
          <w:spacing w:val="0"/>
          <w:kern w:val="21"/>
          <w:sz w:val="32"/>
          <w:szCs w:val="32"/>
        </w:rPr>
        <w:t>完善“枢纽对枢纽”合作机制，优化集疏运体系建设</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加快通道网、物流网、数联网三网融合。</w:t>
      </w:r>
      <w:r>
        <w:rPr>
          <w:color w:val="auto"/>
          <w:spacing w:val="0"/>
          <w:kern w:val="21"/>
          <w:sz w:val="32"/>
          <w:szCs w:val="32"/>
        </w:rPr>
        <w:t>鼓励有条件企业积极提升区域集货能力，开拓国际货运业务</w:t>
      </w:r>
      <w:r>
        <w:rPr>
          <w:rFonts w:hint="eastAsia"/>
          <w:color w:val="auto"/>
          <w:spacing w:val="0"/>
          <w:kern w:val="21"/>
          <w:sz w:val="32"/>
          <w:szCs w:val="32"/>
        </w:rPr>
        <w:t>，</w:t>
      </w:r>
      <w:r>
        <w:rPr>
          <w:color w:val="auto"/>
          <w:spacing w:val="0"/>
          <w:kern w:val="21"/>
          <w:sz w:val="32"/>
          <w:szCs w:val="32"/>
        </w:rPr>
        <w:t>探索开通国际公路运输业务。</w:t>
      </w:r>
    </w:p>
    <w:p w14:paraId="0F9CBEA5">
      <w:pPr>
        <w:keepNext w:val="0"/>
        <w:keepLines w:val="0"/>
        <w:pageBreakBefore w:val="0"/>
        <w:widowControl w:val="0"/>
        <w:kinsoku/>
        <w:wordWrap/>
        <w:overflowPunct w:val="0"/>
        <w:topLinePunct w:val="0"/>
        <w:autoSpaceDE/>
        <w:autoSpaceDN/>
        <w:bidi w:val="0"/>
        <w:spacing w:afterAutospacing="0"/>
        <w:ind w:left="0"/>
        <w:textAlignment w:val="auto"/>
        <w:rPr>
          <w:rFonts w:hint="eastAsia"/>
          <w:color w:val="auto"/>
          <w:spacing w:val="0"/>
          <w:kern w:val="21"/>
          <w:sz w:val="32"/>
          <w:szCs w:val="32"/>
        </w:rPr>
      </w:pPr>
      <w:r>
        <w:rPr>
          <w:rFonts w:hint="default" w:ascii="楷体_GB2312" w:hAnsi="楷体_GB2312" w:eastAsia="楷体_GB2312" w:cs="楷体_GB2312"/>
          <w:b w:val="0"/>
          <w:bCs w:val="0"/>
          <w:color w:val="auto"/>
          <w:spacing w:val="0"/>
          <w:kern w:val="21"/>
          <w:sz w:val="32"/>
          <w:szCs w:val="32"/>
          <w:lang w:val="en-US" w:eastAsia="zh-CN"/>
        </w:rPr>
        <w:t>搭建对外开放平台。</w:t>
      </w:r>
      <w:r>
        <w:rPr>
          <w:rFonts w:hint="eastAsia" w:ascii="仿宋_GB2312" w:hAnsi="仿宋_GB2312" w:eastAsia="仿宋_GB2312" w:cs="仿宋_GB2312"/>
          <w:b w:val="0"/>
          <w:bCs/>
          <w:color w:val="auto"/>
          <w:spacing w:val="0"/>
          <w:kern w:val="21"/>
          <w:sz w:val="32"/>
          <w:szCs w:val="32"/>
        </w:rPr>
        <w:t>加快陕西自贸区延安协同创新区建设，</w:t>
      </w:r>
      <w:r>
        <w:rPr>
          <w:rFonts w:hint="eastAsia"/>
          <w:color w:val="auto"/>
          <w:spacing w:val="0"/>
          <w:kern w:val="21"/>
          <w:sz w:val="32"/>
          <w:szCs w:val="32"/>
        </w:rPr>
        <w:t>推动自贸试验区改革创新成果落实落细。</w:t>
      </w:r>
      <w:r>
        <w:rPr>
          <w:rFonts w:hint="eastAsia" w:ascii="仿宋_GB2312" w:hAnsi="仿宋_GB2312" w:cs="仿宋_GB2312"/>
          <w:color w:val="auto"/>
          <w:spacing w:val="0"/>
          <w:kern w:val="21"/>
          <w:sz w:val="32"/>
          <w:szCs w:val="32"/>
        </w:rPr>
        <w:t>有效发挥保税物流中心（B型）对外开放“桥头堡”作用，加快</w:t>
      </w:r>
      <w:r>
        <w:rPr>
          <w:color w:val="auto"/>
          <w:spacing w:val="0"/>
          <w:kern w:val="21"/>
          <w:sz w:val="32"/>
          <w:szCs w:val="32"/>
        </w:rPr>
        <w:t>后期</w:t>
      </w:r>
      <w:r>
        <w:rPr>
          <w:rFonts w:hint="eastAsia"/>
          <w:color w:val="auto"/>
          <w:spacing w:val="0"/>
          <w:kern w:val="21"/>
          <w:sz w:val="32"/>
          <w:szCs w:val="32"/>
          <w:lang w:val="en-US" w:eastAsia="zh-CN"/>
        </w:rPr>
        <w:t>招商和</w:t>
      </w:r>
      <w:r>
        <w:rPr>
          <w:rFonts w:hint="eastAsia" w:ascii="仿宋_GB2312" w:hAnsi="仿宋_GB2312" w:cs="仿宋_GB2312"/>
          <w:color w:val="auto"/>
          <w:spacing w:val="0"/>
          <w:kern w:val="21"/>
          <w:sz w:val="32"/>
          <w:szCs w:val="32"/>
        </w:rPr>
        <w:t>运营管</w:t>
      </w:r>
      <w:r>
        <w:rPr>
          <w:rFonts w:hint="eastAsia"/>
          <w:color w:val="auto"/>
          <w:spacing w:val="0"/>
          <w:kern w:val="21"/>
          <w:sz w:val="32"/>
          <w:szCs w:val="32"/>
        </w:rPr>
        <w:t>理工作。加强</w:t>
      </w:r>
      <w:r>
        <w:rPr>
          <w:color w:val="auto"/>
          <w:spacing w:val="0"/>
          <w:kern w:val="21"/>
          <w:sz w:val="32"/>
          <w:szCs w:val="32"/>
        </w:rPr>
        <w:t>跨境电商产业园</w:t>
      </w:r>
      <w:r>
        <w:rPr>
          <w:rFonts w:hint="eastAsia"/>
          <w:color w:val="auto"/>
          <w:spacing w:val="0"/>
          <w:kern w:val="21"/>
          <w:sz w:val="32"/>
          <w:szCs w:val="32"/>
        </w:rPr>
        <w:t>区建设</w:t>
      </w:r>
      <w:r>
        <w:rPr>
          <w:color w:val="auto"/>
          <w:spacing w:val="0"/>
          <w:kern w:val="21"/>
          <w:sz w:val="32"/>
          <w:szCs w:val="32"/>
        </w:rPr>
        <w:t>，</w:t>
      </w:r>
      <w:r>
        <w:rPr>
          <w:rFonts w:hint="eastAsia" w:ascii="仿宋_GB2312" w:hAnsi="仿宋_GB2312" w:eastAsia="仿宋_GB2312" w:cs="仿宋_GB2312"/>
          <w:b w:val="0"/>
          <w:bCs/>
          <w:color w:val="auto"/>
          <w:spacing w:val="0"/>
          <w:kern w:val="21"/>
          <w:sz w:val="32"/>
          <w:szCs w:val="32"/>
        </w:rPr>
        <w:t>提升跨境电商综试区等平台功能，培育引进外贸龙头企业、综合性外贸服务企业。</w:t>
      </w:r>
      <w:r>
        <w:rPr>
          <w:rFonts w:hint="eastAsia"/>
          <w:color w:val="auto"/>
          <w:spacing w:val="0"/>
          <w:kern w:val="21"/>
          <w:sz w:val="32"/>
          <w:szCs w:val="32"/>
        </w:rPr>
        <w:t>加快提升国际经贸能级，拓展多层次开放平台，组织企业深度参与进博会、链博会、陕粤港澳</w:t>
      </w:r>
      <w:r>
        <w:rPr>
          <w:rFonts w:hint="eastAsia"/>
          <w:color w:val="auto"/>
          <w:spacing w:val="0"/>
          <w:kern w:val="21"/>
          <w:sz w:val="32"/>
          <w:szCs w:val="32"/>
          <w:lang w:eastAsia="zh-CN"/>
        </w:rPr>
        <w:t>、</w:t>
      </w:r>
      <w:r>
        <w:rPr>
          <w:rFonts w:hint="eastAsia"/>
          <w:color w:val="auto"/>
          <w:spacing w:val="0"/>
          <w:kern w:val="21"/>
          <w:sz w:val="32"/>
          <w:szCs w:val="32"/>
        </w:rPr>
        <w:t>“</w:t>
      </w:r>
      <w:r>
        <w:rPr>
          <w:color w:val="auto"/>
          <w:spacing w:val="0"/>
          <w:kern w:val="21"/>
          <w:sz w:val="32"/>
          <w:szCs w:val="32"/>
        </w:rPr>
        <w:t>陕耀全球</w:t>
      </w:r>
      <w:r>
        <w:rPr>
          <w:rFonts w:hint="eastAsia"/>
          <w:color w:val="auto"/>
          <w:spacing w:val="0"/>
          <w:kern w:val="21"/>
          <w:sz w:val="32"/>
          <w:szCs w:val="32"/>
        </w:rPr>
        <w:t>”等重点经贸展会，持续扩大本地优势产品出口。</w:t>
      </w:r>
    </w:p>
    <w:p w14:paraId="42F86E4B">
      <w:pPr>
        <w:keepNext w:val="0"/>
        <w:keepLines w:val="0"/>
        <w:pageBreakBefore w:val="0"/>
        <w:widowControl w:val="0"/>
        <w:kinsoku/>
        <w:wordWrap/>
        <w:overflowPunct w:val="0"/>
        <w:topLinePunct w:val="0"/>
        <w:autoSpaceDE/>
        <w:autoSpaceDN/>
        <w:bidi w:val="0"/>
        <w:spacing w:afterAutospacing="0"/>
        <w:ind w:left="0"/>
        <w:textAlignment w:val="auto"/>
        <w:rPr>
          <w:rFonts w:hint="default" w:ascii="仿宋_GB2312" w:hAnsi="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创新</w:t>
      </w:r>
      <w:r>
        <w:rPr>
          <w:rFonts w:hint="eastAsia" w:ascii="楷体_GB2312" w:hAnsi="楷体_GB2312" w:eastAsia="楷体_GB2312" w:cs="楷体_GB2312"/>
          <w:b w:val="0"/>
          <w:bCs w:val="0"/>
          <w:color w:val="auto"/>
          <w:spacing w:val="0"/>
          <w:kern w:val="21"/>
          <w:sz w:val="32"/>
          <w:szCs w:val="32"/>
        </w:rPr>
        <w:t>招商引资</w:t>
      </w:r>
      <w:r>
        <w:rPr>
          <w:rFonts w:hint="eastAsia" w:ascii="楷体_GB2312" w:hAnsi="楷体_GB2312" w:eastAsia="楷体_GB2312" w:cs="楷体_GB2312"/>
          <w:b w:val="0"/>
          <w:bCs w:val="0"/>
          <w:color w:val="auto"/>
          <w:spacing w:val="0"/>
          <w:kern w:val="21"/>
          <w:sz w:val="32"/>
          <w:szCs w:val="32"/>
          <w:lang w:val="en-US" w:eastAsia="zh-CN"/>
        </w:rPr>
        <w:t>模式</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eastAsia="仿宋_GB2312" w:cs="仿宋_GB2312"/>
          <w:b w:val="0"/>
          <w:bCs/>
          <w:color w:val="auto"/>
          <w:spacing w:val="0"/>
          <w:kern w:val="21"/>
          <w:sz w:val="32"/>
          <w:szCs w:val="32"/>
        </w:rPr>
        <w:t>实施招商引资创新发展工程，</w:t>
      </w:r>
      <w:r>
        <w:rPr>
          <w:rFonts w:hint="eastAsia" w:ascii="仿宋_GB2312" w:hAnsi="仿宋_GB2312" w:cs="仿宋_GB2312"/>
          <w:color w:val="auto"/>
          <w:spacing w:val="0"/>
          <w:kern w:val="21"/>
          <w:sz w:val="32"/>
          <w:szCs w:val="32"/>
        </w:rPr>
        <w:t>聚焦产业链群关键环节，</w:t>
      </w:r>
      <w:r>
        <w:rPr>
          <w:rFonts w:hint="eastAsia" w:ascii="仿宋_GB2312" w:hAnsi="仿宋_GB2312" w:eastAsia="仿宋_GB2312" w:cs="仿宋_GB2312"/>
          <w:b w:val="0"/>
          <w:bCs/>
          <w:color w:val="auto"/>
          <w:spacing w:val="0"/>
          <w:kern w:val="21"/>
          <w:sz w:val="32"/>
          <w:szCs w:val="32"/>
        </w:rPr>
        <w:t>制定并定期更新产业链全景图、招商图谱和重点目标企业库</w:t>
      </w:r>
      <w:r>
        <w:rPr>
          <w:rFonts w:hint="eastAsia" w:ascii="仿宋_GB2312" w:hAnsi="仿宋_GB2312" w:cs="仿宋_GB2312"/>
          <w:color w:val="auto"/>
          <w:spacing w:val="0"/>
          <w:kern w:val="21"/>
          <w:sz w:val="32"/>
          <w:szCs w:val="32"/>
        </w:rPr>
        <w:t>。拓展“引进来”空间，吸引国内外和省内重点物流、贸易、加工企业落户，形成“以平台聚产业、以产业促开放”的良性循环。发挥延长石油、陕煤集团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延能集团</w:t>
      </w:r>
      <w:r>
        <w:rPr>
          <w:rFonts w:hint="eastAsia" w:ascii="仿宋_GB2312" w:hAnsi="仿宋_GB2312" w:cs="仿宋_GB2312"/>
          <w:color w:val="auto"/>
          <w:spacing w:val="0"/>
          <w:kern w:val="21"/>
          <w:sz w:val="32"/>
          <w:szCs w:val="32"/>
        </w:rPr>
        <w:t>等龙头企业链主作用，梳理供应链需求清单，靶向招引上下游配套企业。</w:t>
      </w:r>
      <w:r>
        <w:rPr>
          <w:rFonts w:hint="eastAsia" w:ascii="仿宋_GB2312" w:hAnsi="仿宋_GB2312" w:cs="仿宋_GB2312"/>
          <w:color w:val="auto"/>
          <w:spacing w:val="0"/>
          <w:kern w:val="21"/>
          <w:sz w:val="32"/>
          <w:szCs w:val="32"/>
          <w:lang w:val="en-US" w:eastAsia="zh-CN"/>
        </w:rPr>
        <w:t>强化投行思维、链式思维、闭环思维，</w:t>
      </w:r>
      <w:r>
        <w:rPr>
          <w:rFonts w:hint="eastAsia" w:ascii="仿宋_GB2312" w:hAnsi="仿宋_GB2312" w:cs="仿宋_GB2312"/>
          <w:color w:val="auto"/>
          <w:spacing w:val="0"/>
          <w:kern w:val="21"/>
          <w:sz w:val="32"/>
          <w:szCs w:val="32"/>
        </w:rPr>
        <w:t>创新多元化招商模式，</w:t>
      </w:r>
      <w:r>
        <w:rPr>
          <w:rFonts w:hint="eastAsia" w:ascii="仿宋_GB2312" w:hAnsi="仿宋_GB2312" w:eastAsia="仿宋_GB2312" w:cs="仿宋_GB2312"/>
          <w:b w:val="0"/>
          <w:bCs/>
          <w:color w:val="auto"/>
          <w:spacing w:val="0"/>
          <w:kern w:val="21"/>
          <w:sz w:val="32"/>
          <w:szCs w:val="32"/>
        </w:rPr>
        <w:t>提升驻点招商、资本招商、依培招商实效</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发挥驻外招商机构作用</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建立长三角、粤港澳大湾区、成渝地区等重点区域的常态化驻点招商工作机制，提升驻点招商网络效能。开展基金招商，探索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科技+产业+资本</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融合招商模式，运用产业基金、创业投资、资本对接等多种形式，引导社会资本</w:t>
      </w:r>
      <w:r>
        <w:rPr>
          <w:rFonts w:hint="eastAsia" w:ascii="仿宋_GB2312" w:hAnsi="仿宋_GB2312" w:cs="仿宋_GB2312"/>
          <w:color w:val="auto"/>
          <w:spacing w:val="0"/>
          <w:kern w:val="21"/>
          <w:sz w:val="32"/>
          <w:szCs w:val="32"/>
          <w:lang w:val="en-US" w:eastAsia="zh-CN"/>
        </w:rPr>
        <w:t>更多</w:t>
      </w:r>
      <w:r>
        <w:rPr>
          <w:rFonts w:hint="eastAsia" w:ascii="仿宋_GB2312" w:hAnsi="仿宋_GB2312" w:cs="仿宋_GB2312"/>
          <w:color w:val="auto"/>
          <w:spacing w:val="0"/>
          <w:kern w:val="21"/>
          <w:sz w:val="32"/>
          <w:szCs w:val="32"/>
        </w:rPr>
        <w:t>投向</w:t>
      </w:r>
      <w:r>
        <w:rPr>
          <w:rFonts w:hint="eastAsia" w:ascii="仿宋_GB2312" w:hAnsi="仿宋_GB2312" w:cs="仿宋_GB2312"/>
          <w:color w:val="auto"/>
          <w:spacing w:val="0"/>
          <w:kern w:val="21"/>
          <w:sz w:val="32"/>
          <w:szCs w:val="32"/>
          <w:lang w:val="en-US" w:eastAsia="zh-CN"/>
        </w:rPr>
        <w:t>全市</w:t>
      </w:r>
      <w:r>
        <w:rPr>
          <w:rFonts w:hint="eastAsia" w:ascii="仿宋_GB2312" w:hAnsi="仿宋_GB2312" w:cs="仿宋_GB2312"/>
          <w:color w:val="auto"/>
          <w:spacing w:val="0"/>
          <w:kern w:val="21"/>
          <w:sz w:val="32"/>
          <w:szCs w:val="32"/>
        </w:rPr>
        <w:t>重点产业链。完善依培招商路径，精准对接来延培训企业。</w:t>
      </w:r>
      <w:r>
        <w:rPr>
          <w:rFonts w:hint="eastAsia" w:ascii="仿宋_GB2312" w:hAnsi="仿宋_GB2312" w:eastAsia="仿宋_GB2312" w:cs="仿宋_GB2312"/>
          <w:b w:val="0"/>
          <w:bCs/>
          <w:color w:val="auto"/>
          <w:spacing w:val="0"/>
          <w:kern w:val="21"/>
          <w:sz w:val="32"/>
          <w:szCs w:val="32"/>
        </w:rPr>
        <w:t>探索“以投带引”</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引进培育一批产业链核心企业，推动招商引资量质齐升。</w:t>
      </w:r>
      <w:r>
        <w:rPr>
          <w:rFonts w:hint="eastAsia" w:ascii="仿宋_GB2312" w:hAnsi="仿宋_GB2312" w:cs="仿宋_GB2312"/>
          <w:color w:val="auto"/>
          <w:spacing w:val="0"/>
          <w:kern w:val="21"/>
          <w:sz w:val="32"/>
          <w:szCs w:val="32"/>
        </w:rPr>
        <w:t>强化土地、标准化厂房、产业基金等关键要素的统筹配置与协同保障。</w:t>
      </w:r>
      <w:r>
        <w:rPr>
          <w:rFonts w:hint="eastAsia" w:ascii="仿宋_GB2312" w:hAnsi="仿宋_GB2312" w:cs="仿宋_GB2312"/>
          <w:color w:val="auto"/>
          <w:spacing w:val="0"/>
          <w:kern w:val="21"/>
          <w:sz w:val="32"/>
          <w:szCs w:val="32"/>
          <w:lang w:val="en-US" w:eastAsia="zh-CN"/>
        </w:rPr>
        <w:t>建立定期调度晾晒机制，坚持“招商”和“稳商”并重，</w:t>
      </w:r>
      <w:r>
        <w:rPr>
          <w:rFonts w:hint="eastAsia" w:ascii="仿宋_GB2312" w:hAnsi="仿宋_GB2312" w:cs="仿宋_GB2312"/>
          <w:color w:val="auto"/>
          <w:spacing w:val="0"/>
          <w:kern w:val="21"/>
          <w:sz w:val="32"/>
          <w:szCs w:val="32"/>
        </w:rPr>
        <w:t>优化从签约、开工到达产的全周期服务链条，</w:t>
      </w:r>
      <w:r>
        <w:rPr>
          <w:rFonts w:hint="eastAsia" w:ascii="仿宋_GB2312" w:hAnsi="仿宋_GB2312" w:cs="仿宋_GB2312"/>
          <w:color w:val="auto"/>
          <w:spacing w:val="0"/>
          <w:kern w:val="21"/>
          <w:sz w:val="32"/>
          <w:szCs w:val="32"/>
          <w:lang w:val="en-US" w:eastAsia="zh-CN"/>
        </w:rPr>
        <w:t>提升企业诉求事项响应率、办结率和满意率。</w:t>
      </w:r>
    </w:p>
    <w:p w14:paraId="74B828FE">
      <w:pPr>
        <w:keepNext w:val="0"/>
        <w:keepLines w:val="0"/>
        <w:pageBreakBefore w:val="0"/>
        <w:widowControl w:val="0"/>
        <w:kinsoku/>
        <w:wordWrap/>
        <w:overflowPunct w:val="0"/>
        <w:topLinePunct w:val="0"/>
        <w:autoSpaceDE/>
        <w:autoSpaceDN/>
        <w:bidi w:val="0"/>
        <w:spacing w:afterAutospacing="0"/>
        <w:ind w:left="0" w:firstLine="0"/>
        <w:textAlignment w:val="auto"/>
        <w:rPr>
          <w:rFonts w:hint="eastAsia" w:asciiTheme="minorHAnsi" w:hAnsiTheme="minorHAnsi" w:cstheme="minorBidi"/>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大力发展开放型经济。</w:t>
      </w:r>
      <w:r>
        <w:rPr>
          <w:rFonts w:hint="eastAsia" w:asciiTheme="minorHAnsi" w:hAnsiTheme="minorHAnsi" w:cstheme="minorBidi"/>
          <w:color w:val="auto"/>
          <w:spacing w:val="0"/>
          <w:kern w:val="21"/>
          <w:sz w:val="32"/>
          <w:szCs w:val="32"/>
          <w:lang w:val="en-US" w:eastAsia="zh-CN"/>
        </w:rPr>
        <w:t>抓住加工贸易梯度转移机遇，依托各类产业园区建设加工贸易产业园。依托延安跨境电商综合试验区建设，打造跨境电商产业带。提高内外资利用水平。积极参与</w:t>
      </w:r>
      <w:r>
        <w:rPr>
          <w:rFonts w:hint="eastAsia" w:cstheme="minorBidi"/>
          <w:color w:val="auto"/>
          <w:spacing w:val="0"/>
          <w:kern w:val="21"/>
          <w:sz w:val="32"/>
          <w:szCs w:val="32"/>
          <w:lang w:val="en-US" w:eastAsia="zh-CN"/>
        </w:rPr>
        <w:t>“</w:t>
      </w:r>
      <w:r>
        <w:rPr>
          <w:rFonts w:hint="eastAsia" w:asciiTheme="minorHAnsi" w:hAnsiTheme="minorHAnsi" w:cstheme="minorBidi"/>
          <w:color w:val="auto"/>
          <w:spacing w:val="0"/>
          <w:kern w:val="21"/>
          <w:sz w:val="32"/>
          <w:szCs w:val="32"/>
          <w:lang w:val="en-US" w:eastAsia="zh-CN"/>
        </w:rPr>
        <w:t>投资中国·选择陕西</w:t>
      </w:r>
      <w:r>
        <w:rPr>
          <w:rFonts w:hint="eastAsia" w:cstheme="minorBidi"/>
          <w:color w:val="auto"/>
          <w:spacing w:val="0"/>
          <w:kern w:val="21"/>
          <w:sz w:val="32"/>
          <w:szCs w:val="32"/>
          <w:lang w:val="en-US" w:eastAsia="zh-CN"/>
        </w:rPr>
        <w:t>”</w:t>
      </w:r>
      <w:r>
        <w:rPr>
          <w:rFonts w:hint="eastAsia" w:asciiTheme="minorHAnsi" w:hAnsiTheme="minorHAnsi" w:cstheme="minorBidi"/>
          <w:color w:val="auto"/>
          <w:spacing w:val="0"/>
          <w:kern w:val="21"/>
          <w:sz w:val="32"/>
          <w:szCs w:val="32"/>
          <w:lang w:val="en-US" w:eastAsia="zh-CN"/>
        </w:rPr>
        <w:t>招商活动，引进更多外资投向</w:t>
      </w:r>
      <w:r>
        <w:rPr>
          <w:rFonts w:hint="eastAsia" w:cstheme="minorBidi"/>
          <w:color w:val="auto"/>
          <w:spacing w:val="0"/>
          <w:kern w:val="21"/>
          <w:sz w:val="32"/>
          <w:szCs w:val="32"/>
          <w:lang w:val="en-US" w:eastAsia="zh-CN"/>
        </w:rPr>
        <w:t>全</w:t>
      </w:r>
      <w:r>
        <w:rPr>
          <w:rFonts w:hint="eastAsia" w:asciiTheme="minorHAnsi" w:hAnsiTheme="minorHAnsi" w:cstheme="minorBidi"/>
          <w:color w:val="auto"/>
          <w:spacing w:val="0"/>
          <w:kern w:val="21"/>
          <w:sz w:val="32"/>
          <w:szCs w:val="32"/>
          <w:lang w:val="en-US" w:eastAsia="zh-CN"/>
        </w:rPr>
        <w:t>市七大产业集群。加强内资引进力度，</w:t>
      </w:r>
      <w:r>
        <w:rPr>
          <w:rFonts w:hint="eastAsia" w:asciiTheme="minorHAnsi" w:hAnsiTheme="minorHAnsi" w:cstheme="minorBidi"/>
          <w:color w:val="auto"/>
          <w:spacing w:val="0"/>
          <w:kern w:val="21"/>
          <w:sz w:val="32"/>
          <w:szCs w:val="32"/>
          <w:highlight w:val="none"/>
          <w:lang w:val="en-US" w:eastAsia="zh-CN"/>
        </w:rPr>
        <w:t>积极</w:t>
      </w:r>
      <w:r>
        <w:rPr>
          <w:rFonts w:hint="eastAsia" w:asciiTheme="minorHAnsi" w:hAnsiTheme="minorHAnsi" w:cstheme="minorBidi"/>
          <w:color w:val="auto"/>
          <w:spacing w:val="0"/>
          <w:kern w:val="21"/>
          <w:sz w:val="32"/>
          <w:szCs w:val="32"/>
          <w:lang w:val="en-US" w:eastAsia="zh-CN"/>
        </w:rPr>
        <w:t>参与央企进陕、民企进陕、秦商大会等活动，探索开展央省企进延、民企进延等活动。鼓励引导有条件的企业</w:t>
      </w:r>
      <w:r>
        <w:rPr>
          <w:rFonts w:hint="eastAsia" w:cstheme="minorBidi"/>
          <w:color w:val="auto"/>
          <w:spacing w:val="0"/>
          <w:kern w:val="21"/>
          <w:sz w:val="32"/>
          <w:szCs w:val="32"/>
          <w:lang w:val="en-US" w:eastAsia="zh-CN"/>
        </w:rPr>
        <w:t>“</w:t>
      </w:r>
      <w:r>
        <w:rPr>
          <w:rFonts w:hint="eastAsia" w:asciiTheme="minorHAnsi" w:hAnsiTheme="minorHAnsi" w:cstheme="minorBidi"/>
          <w:color w:val="auto"/>
          <w:spacing w:val="0"/>
          <w:kern w:val="21"/>
          <w:sz w:val="32"/>
          <w:szCs w:val="32"/>
          <w:lang w:val="en-US" w:eastAsia="zh-CN"/>
        </w:rPr>
        <w:t>借船出海</w:t>
      </w:r>
      <w:r>
        <w:rPr>
          <w:rFonts w:hint="eastAsia" w:cstheme="minorBidi"/>
          <w:color w:val="auto"/>
          <w:spacing w:val="0"/>
          <w:kern w:val="21"/>
          <w:sz w:val="32"/>
          <w:szCs w:val="32"/>
          <w:lang w:val="en-US" w:eastAsia="zh-CN"/>
        </w:rPr>
        <w:t>”“</w:t>
      </w:r>
      <w:r>
        <w:rPr>
          <w:rFonts w:hint="eastAsia" w:asciiTheme="minorHAnsi" w:hAnsiTheme="minorHAnsi" w:cstheme="minorBidi"/>
          <w:color w:val="auto"/>
          <w:spacing w:val="0"/>
          <w:kern w:val="21"/>
          <w:sz w:val="32"/>
          <w:szCs w:val="32"/>
          <w:lang w:val="en-US" w:eastAsia="zh-CN"/>
        </w:rPr>
        <w:t>抱团出海</w:t>
      </w:r>
      <w:r>
        <w:rPr>
          <w:rFonts w:hint="eastAsia" w:cstheme="minorBidi"/>
          <w:color w:val="auto"/>
          <w:spacing w:val="0"/>
          <w:kern w:val="21"/>
          <w:sz w:val="32"/>
          <w:szCs w:val="32"/>
          <w:lang w:val="en-US" w:eastAsia="zh-CN"/>
        </w:rPr>
        <w:t>”</w:t>
      </w:r>
      <w:r>
        <w:rPr>
          <w:rFonts w:hint="eastAsia" w:asciiTheme="minorHAnsi" w:hAnsiTheme="minorHAnsi" w:cstheme="minorBidi"/>
          <w:color w:val="auto"/>
          <w:spacing w:val="0"/>
          <w:kern w:val="21"/>
          <w:sz w:val="32"/>
          <w:szCs w:val="32"/>
          <w:lang w:val="en-US" w:eastAsia="zh-CN"/>
        </w:rPr>
        <w:t>，开展境外经贸合作。</w:t>
      </w:r>
    </w:p>
    <w:p w14:paraId="3432122A">
      <w:pPr>
        <w:keepNext w:val="0"/>
        <w:keepLines w:val="0"/>
        <w:pageBreakBefore w:val="0"/>
        <w:widowControl w:val="0"/>
        <w:kinsoku/>
        <w:wordWrap/>
        <w:overflowPunct w:val="0"/>
        <w:topLinePunct w:val="0"/>
        <w:autoSpaceDE/>
        <w:autoSpaceDN/>
        <w:bidi w:val="0"/>
        <w:spacing w:afterAutospacing="0"/>
        <w:ind w:left="0" w:firstLine="0"/>
        <w:textAlignment w:val="auto"/>
        <w:rPr>
          <w:rFonts w:hint="eastAsia" w:asciiTheme="minorHAnsi" w:hAnsiTheme="minorHAnsi" w:cstheme="minorBidi"/>
          <w:color w:val="auto"/>
          <w:spacing w:val="0"/>
          <w:kern w:val="21"/>
          <w:sz w:val="30"/>
          <w:szCs w:val="30"/>
        </w:rPr>
      </w:pPr>
      <w:r>
        <w:rPr>
          <w:rFonts w:hint="eastAsia" w:asciiTheme="minorHAnsi" w:hAnsiTheme="minorHAnsi" w:cstheme="minorBidi"/>
          <w:color w:val="auto"/>
          <w:spacing w:val="0"/>
          <w:kern w:val="21"/>
          <w:sz w:val="30"/>
          <w:szCs w:val="30"/>
        </w:rPr>
        <w:br w:type="page"/>
      </w:r>
    </w:p>
    <w:p w14:paraId="3FE7F5C3">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4" w:lineRule="exact"/>
        <w:ind w:left="0"/>
        <w:textAlignment w:val="auto"/>
        <w:rPr>
          <w:rFonts w:hint="eastAsia" w:ascii="仿宋_GB2312" w:hAnsi="仿宋_GB2312"/>
          <w:color w:val="auto"/>
          <w:spacing w:val="0"/>
          <w:kern w:val="21"/>
          <w:sz w:val="30"/>
          <w:szCs w:val="30"/>
        </w:rPr>
      </w:pPr>
      <w:bookmarkStart w:id="80" w:name="_Toc5291"/>
      <w:bookmarkStart w:id="81" w:name="_Toc8193"/>
      <w:bookmarkStart w:id="82" w:name="_Toc10270"/>
    </w:p>
    <w:p w14:paraId="5A32EDD6">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4"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第六篇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推动城乡融合区域联动发展</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协调推进新型</w:t>
      </w:r>
    </w:p>
    <w:p w14:paraId="703D4022">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4"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城镇化和乡村全面振兴</w:t>
      </w:r>
      <w:bookmarkEnd w:id="80"/>
      <w:bookmarkEnd w:id="81"/>
      <w:bookmarkEnd w:id="82"/>
    </w:p>
    <w:p w14:paraId="23DA72D3">
      <w:pPr>
        <w:keepNext w:val="0"/>
        <w:keepLines w:val="0"/>
        <w:pageBreakBefore w:val="0"/>
        <w:widowControl w:val="0"/>
        <w:kinsoku/>
        <w:wordWrap/>
        <w:overflowPunct w:val="0"/>
        <w:topLinePunct w:val="0"/>
        <w:autoSpaceDE/>
        <w:autoSpaceDN/>
        <w:bidi w:val="0"/>
        <w:adjustRightInd/>
        <w:snapToGrid/>
        <w:spacing w:afterAutospacing="0" w:line="544" w:lineRule="exact"/>
        <w:ind w:left="0" w:firstLine="640"/>
        <w:textAlignment w:val="auto"/>
        <w:rPr>
          <w:rFonts w:hint="eastAsia" w:ascii="仿宋_GB2312" w:hAnsi="仿宋_GB2312" w:eastAsia="仿宋_GB2312" w:cs="仿宋_GB2312"/>
          <w:b w:val="0"/>
          <w:bCs/>
          <w:color w:val="auto"/>
          <w:spacing w:val="0"/>
          <w:kern w:val="21"/>
          <w:sz w:val="30"/>
          <w:szCs w:val="30"/>
        </w:rPr>
      </w:pPr>
    </w:p>
    <w:p w14:paraId="1A55D587">
      <w:pPr>
        <w:keepNext w:val="0"/>
        <w:keepLines w:val="0"/>
        <w:pageBreakBefore w:val="0"/>
        <w:widowControl w:val="0"/>
        <w:kinsoku/>
        <w:wordWrap/>
        <w:overflowPunct w:val="0"/>
        <w:topLinePunct w:val="0"/>
        <w:autoSpaceDE/>
        <w:autoSpaceDN/>
        <w:bidi w:val="0"/>
        <w:adjustRightInd/>
        <w:snapToGrid/>
        <w:spacing w:afterAutospacing="0" w:line="544"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rPr>
        <w:t>加快以人为本、以县城为重要载体的新型城镇化建设，推进城区</w:t>
      </w:r>
      <w:r>
        <w:rPr>
          <w:rFonts w:hint="eastAsia" w:ascii="仿宋_GB2312" w:hAnsi="仿宋_GB2312" w:eastAsia="仿宋_GB2312" w:cs="仿宋_GB2312"/>
          <w:b w:val="0"/>
          <w:bCs/>
          <w:color w:val="auto"/>
          <w:spacing w:val="0"/>
          <w:kern w:val="21"/>
          <w:sz w:val="32"/>
          <w:szCs w:val="32"/>
          <w:lang w:val="en-US" w:eastAsia="zh-CN"/>
        </w:rPr>
        <w:t>提</w:t>
      </w:r>
      <w:r>
        <w:rPr>
          <w:rFonts w:hint="eastAsia" w:ascii="仿宋_GB2312" w:hAnsi="仿宋_GB2312" w:eastAsia="仿宋_GB2312" w:cs="仿宋_GB2312"/>
          <w:b w:val="0"/>
          <w:bCs/>
          <w:color w:val="auto"/>
          <w:spacing w:val="0"/>
          <w:kern w:val="21"/>
          <w:sz w:val="32"/>
          <w:szCs w:val="32"/>
        </w:rPr>
        <w:t>能级、镇区强功能、乡村促和美，优化全市生产力布局，构建各地各展所长且优势互补、全市“一盘棋”的城乡区域发展新布局。</w:t>
      </w:r>
    </w:p>
    <w:p w14:paraId="5CDF12B5">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4" w:lineRule="exact"/>
        <w:ind w:left="0"/>
        <w:textAlignment w:val="auto"/>
        <w:rPr>
          <w:rFonts w:hint="eastAsia" w:ascii="仿宋_GB2312" w:hAnsi="仿宋_GB2312"/>
          <w:color w:val="auto"/>
          <w:spacing w:val="0"/>
          <w:kern w:val="21"/>
          <w:sz w:val="32"/>
          <w:szCs w:val="32"/>
        </w:rPr>
      </w:pPr>
      <w:bookmarkStart w:id="83" w:name="_Toc245"/>
      <w:bookmarkStart w:id="84" w:name="_Toc28477"/>
      <w:bookmarkStart w:id="85" w:name="_Toc2401"/>
    </w:p>
    <w:p w14:paraId="5191EC48">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4"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三</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优化区域联动发展</w:t>
      </w:r>
      <w:r>
        <w:rPr>
          <w:rFonts w:hint="eastAsia" w:ascii="仿宋_GB2312" w:hAnsi="仿宋_GB2312"/>
          <w:color w:val="auto"/>
          <w:spacing w:val="0"/>
          <w:kern w:val="21"/>
          <w:sz w:val="32"/>
          <w:szCs w:val="32"/>
          <w:lang w:val="en-US" w:eastAsia="zh-CN"/>
        </w:rPr>
        <w:t>布</w:t>
      </w:r>
      <w:r>
        <w:rPr>
          <w:rFonts w:hint="eastAsia" w:ascii="仿宋_GB2312" w:hAnsi="仿宋_GB2312"/>
          <w:color w:val="auto"/>
          <w:spacing w:val="0"/>
          <w:kern w:val="21"/>
          <w:sz w:val="32"/>
          <w:szCs w:val="32"/>
        </w:rPr>
        <w:t>局</w:t>
      </w:r>
      <w:bookmarkEnd w:id="83"/>
      <w:bookmarkEnd w:id="84"/>
      <w:bookmarkEnd w:id="85"/>
    </w:p>
    <w:p w14:paraId="2396C2F4">
      <w:pPr>
        <w:keepNext w:val="0"/>
        <w:keepLines w:val="0"/>
        <w:pageBreakBefore w:val="0"/>
        <w:widowControl w:val="0"/>
        <w:kinsoku/>
        <w:wordWrap/>
        <w:overflowPunct w:val="0"/>
        <w:topLinePunct w:val="0"/>
        <w:autoSpaceDE/>
        <w:autoSpaceDN/>
        <w:bidi w:val="0"/>
        <w:adjustRightInd/>
        <w:snapToGrid/>
        <w:spacing w:afterAutospacing="0" w:line="544" w:lineRule="exact"/>
        <w:ind w:left="0" w:firstLine="640"/>
        <w:textAlignment w:val="auto"/>
        <w:rPr>
          <w:rFonts w:hint="eastAsia" w:ascii="楷体_GB2312" w:hAnsi="楷体_GB2312" w:eastAsia="楷体_GB2312" w:cs="楷体_GB2312"/>
          <w:b w:val="0"/>
          <w:bCs w:val="0"/>
          <w:color w:val="auto"/>
          <w:spacing w:val="0"/>
          <w:kern w:val="21"/>
          <w:sz w:val="32"/>
          <w:szCs w:val="32"/>
        </w:rPr>
      </w:pPr>
    </w:p>
    <w:p w14:paraId="45B4C99E">
      <w:pPr>
        <w:keepNext w:val="0"/>
        <w:keepLines w:val="0"/>
        <w:pageBreakBefore w:val="0"/>
        <w:widowControl w:val="0"/>
        <w:kinsoku/>
        <w:wordWrap/>
        <w:overflowPunct w:val="0"/>
        <w:topLinePunct w:val="0"/>
        <w:autoSpaceDE/>
        <w:autoSpaceDN/>
        <w:bidi w:val="0"/>
        <w:adjustRightInd/>
        <w:snapToGrid/>
        <w:spacing w:afterAutospacing="0" w:line="544" w:lineRule="exact"/>
        <w:ind w:left="0" w:firstLine="640"/>
        <w:textAlignment w:val="auto"/>
        <w:rPr>
          <w:rFonts w:hint="default" w:ascii="仿宋_GB2312" w:hAnsi="仿宋_GB2312" w:eastAsia="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构建城镇发展新格局。</w:t>
      </w:r>
      <w:r>
        <w:rPr>
          <w:rFonts w:hint="eastAsia" w:ascii="仿宋_GB2312" w:hAnsi="仿宋_GB2312" w:eastAsia="仿宋_GB2312" w:cs="仿宋_GB2312"/>
          <w:b w:val="0"/>
          <w:bCs/>
          <w:color w:val="auto"/>
          <w:spacing w:val="0"/>
          <w:kern w:val="21"/>
          <w:sz w:val="32"/>
          <w:szCs w:val="32"/>
        </w:rPr>
        <w:t>高标准对接国家和全省区域发展战略。完善国土空间规划体系，做好“一张图”建设和管理。实施“宝塞同城、中心带动、组团发展”战略，推进“宝塔</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安塞”同城化发展，</w:t>
      </w:r>
      <w:r>
        <w:rPr>
          <w:rFonts w:hint="eastAsia" w:ascii="仿宋_GB2312" w:hAnsi="仿宋_GB2312" w:cs="仿宋_GB2312"/>
          <w:b w:val="0"/>
          <w:bCs/>
          <w:color w:val="auto"/>
          <w:spacing w:val="0"/>
          <w:kern w:val="21"/>
          <w:sz w:val="32"/>
          <w:szCs w:val="32"/>
          <w:lang w:val="en-US" w:eastAsia="zh-CN"/>
        </w:rPr>
        <w:t>发挥中心城区引领带动作用，</w:t>
      </w:r>
      <w:r>
        <w:rPr>
          <w:rFonts w:hint="eastAsia" w:ascii="仿宋_GB2312" w:hAnsi="仿宋_GB2312" w:cs="仿宋_GB2312"/>
          <w:color w:val="auto"/>
          <w:spacing w:val="0"/>
          <w:kern w:val="21"/>
          <w:sz w:val="32"/>
          <w:szCs w:val="32"/>
        </w:rPr>
        <w:t>推动各县（市）成为中心城区的功能性城市组团，</w:t>
      </w:r>
      <w:r>
        <w:rPr>
          <w:rFonts w:hint="eastAsia" w:ascii="仿宋_GB2312" w:hAnsi="仿宋_GB2312" w:eastAsia="仿宋_GB2312" w:cstheme="minorBidi"/>
          <w:color w:val="auto"/>
          <w:spacing w:val="0"/>
          <w:kern w:val="21"/>
          <w:sz w:val="32"/>
          <w:szCs w:val="32"/>
        </w:rPr>
        <w:t>以“组团式”发展提升城市整体功能</w:t>
      </w:r>
      <w:r>
        <w:rPr>
          <w:rFonts w:hint="eastAsia" w:ascii="仿宋_GB2312" w:hAnsi="仿宋_GB2312" w:cstheme="minorBidi"/>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优化生产力布局，打造共享式平台。</w:t>
      </w:r>
      <w:r>
        <w:rPr>
          <w:rFonts w:hint="eastAsia" w:ascii="仿宋_GB2312" w:hAnsi="仿宋_GB2312" w:cs="仿宋_GB2312"/>
          <w:color w:val="auto"/>
          <w:spacing w:val="0"/>
          <w:kern w:val="21"/>
          <w:sz w:val="32"/>
          <w:szCs w:val="32"/>
        </w:rPr>
        <w:t>落实主体功能区战略，</w:t>
      </w:r>
      <w:r>
        <w:rPr>
          <w:rFonts w:hint="eastAsia" w:ascii="仿宋_GB2312" w:hAnsi="仿宋_GB2312" w:eastAsia="仿宋_GB2312" w:cstheme="minorBidi"/>
          <w:color w:val="auto"/>
          <w:spacing w:val="0"/>
          <w:kern w:val="21"/>
          <w:sz w:val="32"/>
          <w:szCs w:val="32"/>
        </w:rPr>
        <w:t>科学确定中心城区和县域组团的功能定位</w:t>
      </w:r>
      <w:r>
        <w:rPr>
          <w:rFonts w:hint="eastAsia" w:ascii="仿宋_GB2312" w:hAnsi="仿宋_GB2312" w:cstheme="minorBidi"/>
          <w:color w:val="auto"/>
          <w:spacing w:val="0"/>
          <w:kern w:val="21"/>
          <w:sz w:val="32"/>
          <w:szCs w:val="32"/>
          <w:lang w:eastAsia="zh-CN"/>
        </w:rPr>
        <w:t>，</w:t>
      </w:r>
      <w:r>
        <w:rPr>
          <w:rFonts w:hint="eastAsia" w:ascii="仿宋_GB2312" w:hAnsi="仿宋_GB2312" w:cs="仿宋_GB2312"/>
          <w:color w:val="auto"/>
          <w:spacing w:val="0"/>
          <w:kern w:val="21"/>
          <w:sz w:val="32"/>
          <w:szCs w:val="32"/>
        </w:rPr>
        <w:t>持续推进甘泉、黄龙生态功能区建设。</w:t>
      </w:r>
      <w:r>
        <w:rPr>
          <w:rFonts w:ascii="仿宋_GB2312" w:hAnsi="仿宋_GB2312"/>
          <w:color w:val="auto"/>
          <w:spacing w:val="0"/>
          <w:kern w:val="21"/>
          <w:sz w:val="32"/>
          <w:szCs w:val="32"/>
        </w:rPr>
        <w:t>推动中心城区与各县</w:t>
      </w:r>
      <w:r>
        <w:rPr>
          <w:rFonts w:hint="eastAsia" w:ascii="仿宋_GB2312" w:hAnsi="仿宋_GB2312"/>
          <w:color w:val="auto"/>
          <w:spacing w:val="0"/>
          <w:kern w:val="21"/>
          <w:sz w:val="32"/>
          <w:szCs w:val="32"/>
        </w:rPr>
        <w:t>（</w:t>
      </w:r>
      <w:r>
        <w:rPr>
          <w:rFonts w:ascii="仿宋_GB2312" w:hAnsi="仿宋_GB2312"/>
          <w:color w:val="auto"/>
          <w:spacing w:val="0"/>
          <w:kern w:val="21"/>
          <w:sz w:val="32"/>
          <w:szCs w:val="32"/>
        </w:rPr>
        <w:t>市</w:t>
      </w:r>
      <w:r>
        <w:rPr>
          <w:rFonts w:hint="eastAsia" w:ascii="仿宋_GB2312" w:hAnsi="仿宋_GB2312"/>
          <w:color w:val="auto"/>
          <w:spacing w:val="0"/>
          <w:kern w:val="21"/>
          <w:sz w:val="32"/>
          <w:szCs w:val="32"/>
        </w:rPr>
        <w:t>）</w:t>
      </w:r>
      <w:r>
        <w:rPr>
          <w:rFonts w:ascii="仿宋_GB2312" w:hAnsi="仿宋_GB2312"/>
          <w:color w:val="auto"/>
          <w:spacing w:val="0"/>
          <w:kern w:val="21"/>
          <w:sz w:val="32"/>
          <w:szCs w:val="32"/>
        </w:rPr>
        <w:t>规划共绘、产业共链、交通共联、生态共治、平台共享，</w:t>
      </w:r>
      <w:r>
        <w:rPr>
          <w:rFonts w:hint="eastAsia" w:ascii="仿宋_GB2312" w:hAnsi="仿宋_GB2312" w:cs="仿宋_GB2312"/>
          <w:color w:val="auto"/>
          <w:spacing w:val="0"/>
          <w:kern w:val="21"/>
          <w:sz w:val="32"/>
          <w:szCs w:val="32"/>
        </w:rPr>
        <w:t>在全市形成向心发展、错位发展、互补发展的生动局面。</w:t>
      </w:r>
    </w:p>
    <w:p w14:paraId="24E19FCB">
      <w:pPr>
        <w:keepNext w:val="0"/>
        <w:keepLines w:val="0"/>
        <w:pageBreakBefore w:val="0"/>
        <w:widowControl w:val="0"/>
        <w:kinsoku/>
        <w:wordWrap/>
        <w:overflowPunct w:val="0"/>
        <w:topLinePunct w:val="0"/>
        <w:autoSpaceDE/>
        <w:autoSpaceDN/>
        <w:bidi w:val="0"/>
        <w:adjustRightInd/>
        <w:snapToGrid/>
        <w:spacing w:afterAutospacing="0" w:line="544"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强化中心城区引领性支撑。</w:t>
      </w:r>
      <w:r>
        <w:rPr>
          <w:rFonts w:hint="eastAsia" w:ascii="仿宋_GB2312" w:hAnsi="仿宋_GB2312" w:eastAsia="仿宋_GB2312" w:cs="仿宋_GB2312"/>
          <w:b w:val="0"/>
          <w:bCs/>
          <w:color w:val="auto"/>
          <w:spacing w:val="0"/>
          <w:kern w:val="21"/>
          <w:sz w:val="32"/>
          <w:szCs w:val="32"/>
        </w:rPr>
        <w:t>构建宝塔、安塞、新区、高新区“一体规划、</w:t>
      </w:r>
      <w:r>
        <w:rPr>
          <w:rFonts w:hint="eastAsia" w:ascii="仿宋_GB2312" w:hAnsi="仿宋_GB2312" w:cs="仿宋_GB2312"/>
          <w:bCs/>
          <w:color w:val="auto"/>
          <w:spacing w:val="0"/>
          <w:kern w:val="21"/>
          <w:sz w:val="32"/>
          <w:szCs w:val="32"/>
        </w:rPr>
        <w:t>便捷联通、产业互补</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融合发展”的中心城区格局。</w:t>
      </w:r>
      <w:r>
        <w:rPr>
          <w:rFonts w:hint="eastAsia" w:ascii="仿宋_GB2312" w:hAnsi="仿宋_GB2312" w:cs="仿宋_GB2312"/>
          <w:color w:val="auto"/>
          <w:spacing w:val="0"/>
          <w:kern w:val="21"/>
          <w:sz w:val="32"/>
          <w:szCs w:val="32"/>
          <w:lang w:val="en-US" w:eastAsia="zh-CN"/>
        </w:rPr>
        <w:t>统筹推进新区建设和老城更新，</w:t>
      </w:r>
      <w:r>
        <w:rPr>
          <w:rFonts w:hint="eastAsia" w:ascii="仿宋_GB2312" w:hAnsi="仿宋_GB2312"/>
          <w:color w:val="auto"/>
          <w:spacing w:val="0"/>
          <w:kern w:val="21"/>
          <w:sz w:val="32"/>
          <w:szCs w:val="32"/>
          <w:lang w:val="en-US" w:eastAsia="zh-CN"/>
        </w:rPr>
        <w:t>有序推进中心城区功能完善和品质提升</w:t>
      </w:r>
      <w:r>
        <w:rPr>
          <w:rFonts w:hint="eastAsia" w:ascii="仿宋_GB2312" w:hAnsi="仿宋_GB2312"/>
          <w:color w:val="auto"/>
          <w:spacing w:val="0"/>
          <w:kern w:val="21"/>
          <w:sz w:val="32"/>
          <w:szCs w:val="32"/>
          <w:lang w:eastAsia="zh-CN"/>
        </w:rPr>
        <w:t>，</w:t>
      </w:r>
      <w:r>
        <w:rPr>
          <w:rFonts w:ascii="仿宋_GB2312" w:hAnsi="仿宋_GB2312"/>
          <w:color w:val="auto"/>
          <w:spacing w:val="0"/>
          <w:kern w:val="21"/>
          <w:sz w:val="32"/>
          <w:szCs w:val="32"/>
        </w:rPr>
        <w:t>提升中心城区能级</w:t>
      </w:r>
      <w:r>
        <w:rPr>
          <w:rFonts w:hint="eastAsia" w:ascii="仿宋_GB2312" w:hAnsi="仿宋_GB2312"/>
          <w:color w:val="auto"/>
          <w:spacing w:val="0"/>
          <w:kern w:val="21"/>
          <w:sz w:val="32"/>
          <w:szCs w:val="32"/>
          <w:lang w:val="en-US" w:eastAsia="zh-CN"/>
        </w:rPr>
        <w:t>。</w:t>
      </w:r>
      <w:r>
        <w:rPr>
          <w:rFonts w:ascii="仿宋_GB2312" w:hAnsi="仿宋_GB2312"/>
          <w:color w:val="auto"/>
          <w:spacing w:val="0"/>
          <w:kern w:val="21"/>
          <w:sz w:val="32"/>
          <w:szCs w:val="32"/>
        </w:rPr>
        <w:t>坚持产业兴市，持续做大</w:t>
      </w:r>
      <w:r>
        <w:rPr>
          <w:rFonts w:hint="eastAsia" w:ascii="仿宋_GB2312" w:hAnsi="仿宋_GB2312"/>
          <w:color w:val="auto"/>
          <w:spacing w:val="0"/>
          <w:kern w:val="21"/>
          <w:sz w:val="32"/>
          <w:szCs w:val="32"/>
          <w:lang w:val="en-US" w:eastAsia="zh-CN"/>
        </w:rPr>
        <w:t>做强</w:t>
      </w:r>
      <w:r>
        <w:rPr>
          <w:rFonts w:ascii="仿宋_GB2312" w:hAnsi="仿宋_GB2312"/>
          <w:color w:val="auto"/>
          <w:spacing w:val="0"/>
          <w:kern w:val="21"/>
          <w:sz w:val="32"/>
          <w:szCs w:val="32"/>
        </w:rPr>
        <w:t>城区经济总量，</w:t>
      </w:r>
      <w:r>
        <w:rPr>
          <w:rFonts w:hint="eastAsia" w:ascii="仿宋_GB2312" w:hAnsi="仿宋_GB2312"/>
          <w:color w:val="auto"/>
          <w:spacing w:val="0"/>
          <w:kern w:val="21"/>
          <w:sz w:val="32"/>
          <w:szCs w:val="32"/>
        </w:rPr>
        <w:t>打造</w:t>
      </w:r>
      <w:r>
        <w:rPr>
          <w:rFonts w:ascii="仿宋_GB2312" w:hAnsi="仿宋_GB2312"/>
          <w:color w:val="auto"/>
          <w:spacing w:val="0"/>
          <w:kern w:val="21"/>
          <w:sz w:val="32"/>
          <w:szCs w:val="32"/>
        </w:rPr>
        <w:t>全市</w:t>
      </w:r>
      <w:r>
        <w:rPr>
          <w:rFonts w:hint="eastAsia" w:ascii="仿宋_GB2312" w:hAnsi="仿宋_GB2312"/>
          <w:color w:val="auto"/>
          <w:spacing w:val="0"/>
          <w:kern w:val="21"/>
          <w:sz w:val="32"/>
          <w:szCs w:val="32"/>
        </w:rPr>
        <w:t>高质量发展主引擎</w:t>
      </w:r>
      <w:r>
        <w:rPr>
          <w:rFonts w:hint="eastAsia" w:ascii="仿宋_GB2312" w:hAnsi="仿宋_GB2312"/>
          <w:color w:val="auto"/>
          <w:spacing w:val="0"/>
          <w:kern w:val="21"/>
          <w:sz w:val="32"/>
          <w:szCs w:val="32"/>
          <w:lang w:eastAsia="zh-CN"/>
        </w:rPr>
        <w:t>，</w:t>
      </w:r>
      <w:r>
        <w:rPr>
          <w:rFonts w:hint="eastAsia" w:ascii="仿宋_GB2312" w:hAnsi="仿宋_GB2312" w:cs="仿宋_GB2312"/>
          <w:color w:val="auto"/>
          <w:spacing w:val="0"/>
          <w:kern w:val="21"/>
          <w:sz w:val="32"/>
          <w:szCs w:val="32"/>
        </w:rPr>
        <w:t>提升对全市经济发展的辐射带动作用。</w:t>
      </w:r>
    </w:p>
    <w:p w14:paraId="34F5144E">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加快宝塔安塞同城化发展。</w:t>
      </w:r>
      <w:r>
        <w:rPr>
          <w:rFonts w:hint="eastAsia" w:ascii="仿宋_GB2312" w:hAnsi="仿宋_GB2312"/>
          <w:color w:val="auto"/>
          <w:spacing w:val="0"/>
          <w:kern w:val="21"/>
          <w:sz w:val="32"/>
          <w:szCs w:val="32"/>
        </w:rPr>
        <w:t>宝塔区以城市更新为主，安塞区以开发建设为主，聚焦统筹谋划和集聚集约发展。建立一体化体制机制，推进</w:t>
      </w:r>
      <w:r>
        <w:rPr>
          <w:rFonts w:hint="eastAsia" w:ascii="仿宋_GB2312" w:hAnsi="仿宋_GB2312"/>
          <w:color w:val="auto"/>
          <w:spacing w:val="0"/>
          <w:kern w:val="21"/>
          <w:sz w:val="32"/>
          <w:szCs w:val="32"/>
          <w:lang w:val="en-US" w:eastAsia="zh-CN"/>
        </w:rPr>
        <w:t>两区</w:t>
      </w:r>
      <w:r>
        <w:rPr>
          <w:rFonts w:hint="eastAsia" w:ascii="仿宋_GB2312" w:hAnsi="仿宋_GB2312"/>
          <w:color w:val="auto"/>
          <w:spacing w:val="0"/>
          <w:kern w:val="21"/>
          <w:sz w:val="32"/>
          <w:szCs w:val="32"/>
        </w:rPr>
        <w:t>空间规划一体化编制，构建同城化顶层设计。推动宝塔安塞在先进制造、文化旅游、数字经济等产业一体化发展</w:t>
      </w:r>
      <w:r>
        <w:rPr>
          <w:rFonts w:hint="eastAsia" w:ascii="仿宋_GB2312" w:hAnsi="仿宋_GB2312"/>
          <w:color w:val="auto"/>
          <w:spacing w:val="0"/>
          <w:kern w:val="21"/>
          <w:sz w:val="32"/>
          <w:szCs w:val="32"/>
          <w:lang w:val="en-US" w:eastAsia="zh-CN"/>
        </w:rPr>
        <w:t>，谋划推进宝塞</w:t>
      </w:r>
      <w:r>
        <w:rPr>
          <w:rFonts w:hint="eastAsia" w:ascii="仿宋_GB2312" w:hAnsi="仿宋_GB2312"/>
          <w:color w:val="auto"/>
          <w:spacing w:val="0"/>
          <w:kern w:val="21"/>
          <w:sz w:val="32"/>
          <w:szCs w:val="32"/>
        </w:rPr>
        <w:t>万亩工业走廊</w:t>
      </w:r>
      <w:r>
        <w:rPr>
          <w:rFonts w:hint="eastAsia" w:ascii="仿宋_GB2312" w:hAnsi="仿宋_GB2312"/>
          <w:color w:val="auto"/>
          <w:spacing w:val="0"/>
          <w:kern w:val="21"/>
          <w:sz w:val="32"/>
          <w:szCs w:val="32"/>
          <w:lang w:val="en-US" w:eastAsia="zh-CN"/>
        </w:rPr>
        <w:t>建设</w:t>
      </w:r>
      <w:r>
        <w:rPr>
          <w:rFonts w:hint="eastAsia" w:ascii="仿宋_GB2312" w:hAnsi="仿宋_GB2312"/>
          <w:color w:val="auto"/>
          <w:spacing w:val="0"/>
          <w:kern w:val="21"/>
          <w:sz w:val="32"/>
          <w:szCs w:val="32"/>
        </w:rPr>
        <w:t>。建成</w:t>
      </w:r>
      <w:r>
        <w:rPr>
          <w:rFonts w:hint="eastAsia" w:ascii="仿宋_GB2312" w:hAnsi="仿宋_GB2312"/>
          <w:color w:val="auto"/>
          <w:spacing w:val="0"/>
          <w:kern w:val="21"/>
          <w:sz w:val="32"/>
          <w:szCs w:val="32"/>
          <w:lang w:val="en-US" w:eastAsia="zh-CN"/>
        </w:rPr>
        <w:t>210国道建华寺至延安公路改扩建工程</w:t>
      </w:r>
      <w:r>
        <w:rPr>
          <w:rFonts w:hint="eastAsia" w:ascii="仿宋_GB2312" w:hAnsi="仿宋_GB2312"/>
          <w:color w:val="auto"/>
          <w:spacing w:val="0"/>
          <w:kern w:val="21"/>
          <w:sz w:val="32"/>
          <w:szCs w:val="32"/>
        </w:rPr>
        <w:t>，谋划建设集通行和防洪功能于一体的“平急两用”通道，开</w:t>
      </w:r>
      <w:r>
        <w:rPr>
          <w:rFonts w:hint="eastAsia" w:ascii="仿宋_GB2312" w:hAnsi="仿宋_GB2312"/>
          <w:color w:val="auto"/>
          <w:spacing w:val="0"/>
          <w:kern w:val="21"/>
          <w:sz w:val="32"/>
          <w:szCs w:val="32"/>
          <w:lang w:val="en-US" w:eastAsia="zh-CN"/>
        </w:rPr>
        <w:t>通</w:t>
      </w:r>
      <w:r>
        <w:rPr>
          <w:rFonts w:hint="eastAsia" w:ascii="仿宋_GB2312" w:hAnsi="仿宋_GB2312"/>
          <w:color w:val="auto"/>
          <w:spacing w:val="0"/>
          <w:kern w:val="21"/>
          <w:sz w:val="32"/>
          <w:szCs w:val="32"/>
        </w:rPr>
        <w:t>延塞公交线路</w:t>
      </w:r>
      <w:r>
        <w:rPr>
          <w:rFonts w:hint="eastAsia" w:ascii="仿宋_GB2312" w:hAnsi="仿宋_GB2312"/>
          <w:color w:val="auto"/>
          <w:spacing w:val="0"/>
          <w:kern w:val="21"/>
          <w:sz w:val="32"/>
          <w:szCs w:val="32"/>
          <w:lang w:val="en-US" w:eastAsia="zh-CN"/>
        </w:rPr>
        <w:t>和一卡通</w:t>
      </w:r>
      <w:r>
        <w:rPr>
          <w:rFonts w:hint="eastAsia" w:ascii="仿宋_GB2312" w:hAnsi="仿宋_GB2312"/>
          <w:color w:val="auto"/>
          <w:spacing w:val="0"/>
          <w:kern w:val="21"/>
          <w:sz w:val="32"/>
          <w:szCs w:val="32"/>
        </w:rPr>
        <w:t>，协同构建现代化交通网络</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推动给排水、供电、供热、供气等市政配套设施一体化发展。引导宝塔优质教育</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医疗资源向</w:t>
      </w:r>
      <w:r>
        <w:rPr>
          <w:rFonts w:hint="eastAsia" w:ascii="仿宋_GB2312" w:hAnsi="仿宋_GB2312"/>
          <w:color w:val="auto"/>
          <w:spacing w:val="0"/>
          <w:kern w:val="21"/>
          <w:sz w:val="32"/>
          <w:szCs w:val="32"/>
          <w:lang w:val="en-US" w:eastAsia="zh-CN"/>
        </w:rPr>
        <w:t>宝</w:t>
      </w:r>
      <w:r>
        <w:rPr>
          <w:rFonts w:hint="eastAsia" w:ascii="仿宋_GB2312" w:hAnsi="仿宋_GB2312"/>
          <w:color w:val="auto"/>
          <w:spacing w:val="0"/>
          <w:kern w:val="21"/>
          <w:sz w:val="32"/>
          <w:szCs w:val="32"/>
        </w:rPr>
        <w:t>塞</w:t>
      </w:r>
      <w:r>
        <w:rPr>
          <w:rFonts w:hint="eastAsia" w:ascii="仿宋_GB2312" w:hAnsi="仿宋_GB2312"/>
          <w:color w:val="auto"/>
          <w:spacing w:val="0"/>
          <w:kern w:val="21"/>
          <w:sz w:val="32"/>
          <w:szCs w:val="32"/>
          <w:lang w:val="en-US" w:eastAsia="zh-CN"/>
        </w:rPr>
        <w:t>发展走廊</w:t>
      </w:r>
      <w:r>
        <w:rPr>
          <w:rFonts w:hint="eastAsia" w:ascii="仿宋_GB2312" w:hAnsi="仿宋_GB2312"/>
          <w:color w:val="auto"/>
          <w:spacing w:val="0"/>
          <w:kern w:val="21"/>
          <w:sz w:val="32"/>
          <w:szCs w:val="32"/>
        </w:rPr>
        <w:t>延伸，推进教育、医疗、养老、文体等公共服务一体化发展。提升延河安塞至宝塔段防汛能力，推进生态环境协同治理，筑牢城市安全屏障。</w:t>
      </w:r>
    </w:p>
    <w:p w14:paraId="5D6C546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firstLine="320" w:firstLineChars="100"/>
        <w:textAlignment w:val="auto"/>
        <w:rPr>
          <w:rFonts w:hint="eastAsia" w:ascii="仿宋_GB2312" w:hAnsi="仿宋_GB2312"/>
          <w:color w:val="auto"/>
          <w:spacing w:val="0"/>
          <w:kern w:val="21"/>
          <w:sz w:val="32"/>
          <w:szCs w:val="32"/>
        </w:rPr>
      </w:pPr>
      <w:bookmarkStart w:id="86" w:name="_Toc28079"/>
      <w:bookmarkStart w:id="87" w:name="_Toc25258"/>
      <w:bookmarkStart w:id="88" w:name="_Toc11382"/>
    </w:p>
    <w:p w14:paraId="1EFBC80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firstLine="320" w:firstLineChars="10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四</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推动城市高质量发展</w:t>
      </w:r>
      <w:bookmarkEnd w:id="86"/>
      <w:bookmarkEnd w:id="87"/>
      <w:bookmarkEnd w:id="88"/>
    </w:p>
    <w:p w14:paraId="4C14EBE9">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eastAsia="仿宋_GB2312" w:cs="仿宋_GB2312"/>
          <w:b w:val="0"/>
          <w:bCs/>
          <w:color w:val="auto"/>
          <w:spacing w:val="0"/>
          <w:kern w:val="21"/>
          <w:sz w:val="32"/>
          <w:szCs w:val="32"/>
        </w:rPr>
      </w:pPr>
    </w:p>
    <w:p w14:paraId="74A09BED">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仿宋_GB2312" w:hAnsi="仿宋_GB2312" w:eastAsia="仿宋_GB2312" w:cs="仿宋_GB2312"/>
          <w:b w:val="0"/>
          <w:bCs/>
          <w:color w:val="auto"/>
          <w:spacing w:val="0"/>
          <w:kern w:val="21"/>
          <w:sz w:val="32"/>
          <w:szCs w:val="32"/>
        </w:rPr>
        <w:t>健全城市规划体系，合理配置生产生活生态空间，积极推动城市结构优化、动能转换、品质提升、绿色转型、文脉赓续、治理增效，加快建设创新、宜居、美丽、韧性、文明、智慧的现代化</w:t>
      </w:r>
      <w:r>
        <w:rPr>
          <w:rFonts w:hint="eastAsia" w:ascii="仿宋_GB2312" w:hAnsi="仿宋_GB2312" w:cs="仿宋_GB2312"/>
          <w:bCs/>
          <w:color w:val="auto"/>
          <w:spacing w:val="0"/>
          <w:kern w:val="21"/>
          <w:sz w:val="32"/>
          <w:szCs w:val="32"/>
        </w:rPr>
        <w:t>人民</w:t>
      </w:r>
      <w:r>
        <w:rPr>
          <w:rFonts w:hint="eastAsia" w:ascii="仿宋_GB2312" w:hAnsi="仿宋_GB2312" w:eastAsia="仿宋_GB2312" w:cs="仿宋_GB2312"/>
          <w:b w:val="0"/>
          <w:bCs/>
          <w:color w:val="auto"/>
          <w:spacing w:val="0"/>
          <w:kern w:val="21"/>
          <w:sz w:val="32"/>
          <w:szCs w:val="32"/>
        </w:rPr>
        <w:t>城市。</w:t>
      </w:r>
    </w:p>
    <w:p w14:paraId="3882ACF5">
      <w:pPr>
        <w:keepNext w:val="0"/>
        <w:keepLines w:val="0"/>
        <w:pageBreakBefore w:val="0"/>
        <w:widowControl w:val="0"/>
        <w:kinsoku/>
        <w:wordWrap/>
        <w:overflowPunct w:val="0"/>
        <w:topLinePunct w:val="0"/>
        <w:autoSpaceDE/>
        <w:autoSpaceDN/>
        <w:bidi w:val="0"/>
        <w:adjustRightInd/>
        <w:snapToGrid/>
        <w:spacing w:afterAutospacing="0" w:line="55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营造高品质城市生活空间。</w:t>
      </w:r>
      <w:r>
        <w:rPr>
          <w:rFonts w:hint="eastAsia" w:ascii="仿宋_GB2312" w:hAnsi="仿宋_GB2312" w:eastAsia="仿宋_GB2312" w:cstheme="minorBidi"/>
          <w:b w:val="0"/>
          <w:bCs w:val="0"/>
          <w:color w:val="auto"/>
          <w:spacing w:val="0"/>
          <w:kern w:val="21"/>
          <w:sz w:val="32"/>
          <w:szCs w:val="32"/>
        </w:rPr>
        <w:t>坚持</w:t>
      </w:r>
      <w:r>
        <w:rPr>
          <w:rFonts w:hint="eastAsia" w:ascii="仿宋_GB2312" w:hAnsi="仿宋_GB2312" w:cstheme="minorBidi"/>
          <w:b w:val="0"/>
          <w:bCs w:val="0"/>
          <w:color w:val="auto"/>
          <w:spacing w:val="0"/>
          <w:kern w:val="21"/>
          <w:sz w:val="32"/>
          <w:szCs w:val="32"/>
          <w:lang w:eastAsia="zh-CN"/>
        </w:rPr>
        <w:t>“</w:t>
      </w:r>
      <w:r>
        <w:rPr>
          <w:rFonts w:hint="eastAsia" w:ascii="仿宋_GB2312" w:hAnsi="仿宋_GB2312" w:eastAsia="仿宋_GB2312" w:cstheme="minorBidi"/>
          <w:b w:val="0"/>
          <w:bCs w:val="0"/>
          <w:color w:val="auto"/>
          <w:spacing w:val="0"/>
          <w:kern w:val="21"/>
          <w:sz w:val="32"/>
          <w:szCs w:val="32"/>
        </w:rPr>
        <w:t>方便于人、舒适于人、安全于人、幸福于人</w:t>
      </w:r>
      <w:r>
        <w:rPr>
          <w:rFonts w:hint="eastAsia" w:ascii="仿宋_GB2312" w:hAnsi="仿宋_GB2312" w:cstheme="minorBidi"/>
          <w:b w:val="0"/>
          <w:bCs w:val="0"/>
          <w:color w:val="auto"/>
          <w:spacing w:val="0"/>
          <w:kern w:val="21"/>
          <w:sz w:val="32"/>
          <w:szCs w:val="32"/>
          <w:lang w:eastAsia="zh-CN"/>
        </w:rPr>
        <w:t>”</w:t>
      </w:r>
      <w:r>
        <w:rPr>
          <w:rFonts w:hint="eastAsia" w:ascii="仿宋_GB2312" w:hAnsi="仿宋_GB2312" w:eastAsia="仿宋_GB2312" w:cstheme="minorBidi"/>
          <w:b w:val="0"/>
          <w:bCs w:val="0"/>
          <w:color w:val="auto"/>
          <w:spacing w:val="0"/>
          <w:kern w:val="21"/>
          <w:sz w:val="32"/>
          <w:szCs w:val="32"/>
        </w:rPr>
        <w:t>推进城市更新，</w:t>
      </w:r>
      <w:r>
        <w:rPr>
          <w:rFonts w:hint="eastAsia" w:ascii="仿宋_GB2312" w:hAnsi="仿宋_GB2312"/>
          <w:color w:val="auto"/>
          <w:spacing w:val="0"/>
          <w:kern w:val="21"/>
          <w:sz w:val="32"/>
          <w:szCs w:val="32"/>
        </w:rPr>
        <w:t>健全</w:t>
      </w:r>
      <w:r>
        <w:rPr>
          <w:rFonts w:hint="eastAsia" w:ascii="仿宋_GB2312" w:hAnsi="仿宋_GB2312"/>
          <w:color w:val="auto"/>
          <w:spacing w:val="0"/>
          <w:kern w:val="21"/>
          <w:sz w:val="32"/>
          <w:szCs w:val="32"/>
          <w:highlight w:val="none"/>
        </w:rPr>
        <w:t>城市体检</w:t>
      </w:r>
      <w:r>
        <w:rPr>
          <w:rFonts w:hint="eastAsia" w:ascii="仿宋_GB2312" w:hAnsi="仿宋_GB2312"/>
          <w:color w:val="auto"/>
          <w:spacing w:val="0"/>
          <w:kern w:val="21"/>
          <w:sz w:val="32"/>
          <w:szCs w:val="32"/>
        </w:rPr>
        <w:t>和城市更新一体化推进工作机制，不断提高</w:t>
      </w:r>
      <w:r>
        <w:rPr>
          <w:rFonts w:hint="eastAsia" w:ascii="仿宋_GB2312" w:hAnsi="仿宋_GB2312"/>
          <w:color w:val="auto"/>
          <w:spacing w:val="0"/>
          <w:kern w:val="21"/>
          <w:sz w:val="32"/>
          <w:szCs w:val="32"/>
          <w:lang w:val="en-US" w:eastAsia="zh-CN"/>
        </w:rPr>
        <w:t>城市</w:t>
      </w:r>
      <w:r>
        <w:rPr>
          <w:rFonts w:hint="eastAsia" w:ascii="仿宋_GB2312" w:hAnsi="仿宋_GB2312"/>
          <w:color w:val="auto"/>
          <w:spacing w:val="0"/>
          <w:kern w:val="21"/>
          <w:sz w:val="32"/>
          <w:szCs w:val="32"/>
        </w:rPr>
        <w:t>承载力。统筹人口、产业、城镇、交通一体规划，</w:t>
      </w:r>
      <w:r>
        <w:rPr>
          <w:rFonts w:hint="eastAsia" w:ascii="仿宋_GB2312" w:hAnsi="仿宋_GB2312"/>
          <w:color w:val="auto"/>
          <w:spacing w:val="0"/>
          <w:kern w:val="21"/>
          <w:sz w:val="32"/>
          <w:szCs w:val="32"/>
          <w:lang w:val="en-US" w:eastAsia="zh-CN"/>
        </w:rPr>
        <w:t>推动城市功能强化、产业提升、周边发展协同。</w:t>
      </w:r>
      <w:r>
        <w:rPr>
          <w:rFonts w:hint="eastAsia" w:ascii="仿宋_GB2312" w:hAnsi="仿宋_GB2312"/>
          <w:color w:val="auto"/>
          <w:spacing w:val="0"/>
          <w:kern w:val="21"/>
          <w:sz w:val="32"/>
          <w:szCs w:val="32"/>
        </w:rPr>
        <w:t>以“一老一小”人群为重点，因地制宜实施小区环境及配套设施改造，推进社区嵌入式服务设施建设，构建城市便民生活圈。</w:t>
      </w:r>
      <w:r>
        <w:rPr>
          <w:rFonts w:hint="eastAsia" w:ascii="仿宋_GB2312" w:hAnsi="仿宋_GB2312" w:eastAsia="仿宋_GB2312" w:cs="仿宋_GB2312"/>
          <w:b w:val="0"/>
          <w:bCs/>
          <w:color w:val="auto"/>
          <w:spacing w:val="0"/>
          <w:kern w:val="21"/>
          <w:sz w:val="32"/>
          <w:szCs w:val="32"/>
          <w:u w:val="none"/>
          <w:lang w:val="en-US" w:eastAsia="zh-CN"/>
        </w:rPr>
        <w:t>加快构建房地产发展新模式，</w:t>
      </w:r>
      <w:r>
        <w:rPr>
          <w:rFonts w:hint="eastAsia" w:ascii="仿宋_GB2312" w:hAnsi="仿宋_GB2312" w:cs="仿宋_GB2312"/>
          <w:bCs/>
          <w:color w:val="auto"/>
          <w:spacing w:val="0"/>
          <w:kern w:val="21"/>
          <w:sz w:val="32"/>
          <w:szCs w:val="32"/>
          <w:u w:val="none"/>
        </w:rPr>
        <w:t>开展房屋品质提升工程和物业服务质量提升行动，</w:t>
      </w:r>
      <w:r>
        <w:rPr>
          <w:rFonts w:hint="eastAsia" w:ascii="仿宋_GB2312" w:hAnsi="仿宋_GB2312"/>
          <w:color w:val="auto"/>
          <w:spacing w:val="0"/>
          <w:kern w:val="21"/>
          <w:sz w:val="32"/>
          <w:szCs w:val="32"/>
          <w:lang w:val="en-US" w:eastAsia="zh-CN"/>
        </w:rPr>
        <w:t>一体推进好房子、好小区、好社区和好城区建设。</w:t>
      </w:r>
      <w:r>
        <w:rPr>
          <w:rFonts w:hint="eastAsia" w:ascii="仿宋_GB2312" w:hAnsi="仿宋_GB2312"/>
          <w:color w:val="auto"/>
          <w:spacing w:val="0"/>
          <w:kern w:val="21"/>
          <w:sz w:val="32"/>
          <w:szCs w:val="32"/>
        </w:rPr>
        <w:t>引导房企将“好房子”建设与城市更新有机结合，支持老旧住房自主更新、原拆原建，</w:t>
      </w:r>
      <w:r>
        <w:rPr>
          <w:rFonts w:hint="eastAsia" w:ascii="仿宋_GB2312" w:hAnsi="仿宋_GB2312"/>
          <w:color w:val="auto"/>
          <w:spacing w:val="0"/>
          <w:kern w:val="21"/>
          <w:sz w:val="32"/>
          <w:szCs w:val="32"/>
          <w:highlight w:val="none"/>
          <w:lang w:val="en-US" w:eastAsia="zh-CN"/>
        </w:rPr>
        <w:t>提升</w:t>
      </w:r>
      <w:r>
        <w:rPr>
          <w:rFonts w:hint="eastAsia" w:ascii="仿宋_GB2312" w:hAnsi="仿宋_GB2312"/>
          <w:color w:val="auto"/>
          <w:spacing w:val="0"/>
          <w:kern w:val="21"/>
          <w:sz w:val="32"/>
          <w:szCs w:val="32"/>
          <w:highlight w:val="none"/>
        </w:rPr>
        <w:t>老城区发展</w:t>
      </w:r>
      <w:r>
        <w:rPr>
          <w:rFonts w:hint="eastAsia" w:ascii="仿宋_GB2312" w:hAnsi="仿宋_GB2312"/>
          <w:color w:val="auto"/>
          <w:spacing w:val="0"/>
          <w:kern w:val="21"/>
          <w:sz w:val="32"/>
          <w:szCs w:val="32"/>
          <w:highlight w:val="none"/>
          <w:lang w:val="en-US" w:eastAsia="zh-CN"/>
        </w:rPr>
        <w:t>能级</w:t>
      </w:r>
      <w:r>
        <w:rPr>
          <w:rFonts w:hint="eastAsia" w:ascii="仿宋_GB2312" w:hAnsi="仿宋_GB2312"/>
          <w:color w:val="auto"/>
          <w:spacing w:val="0"/>
          <w:kern w:val="21"/>
          <w:sz w:val="32"/>
          <w:szCs w:val="32"/>
          <w:highlight w:val="none"/>
        </w:rPr>
        <w:t>。强化新区产业植入、</w:t>
      </w:r>
      <w:r>
        <w:rPr>
          <w:rFonts w:hint="eastAsia" w:ascii="仿宋_GB2312" w:hAnsi="仿宋_GB2312"/>
          <w:color w:val="auto"/>
          <w:spacing w:val="0"/>
          <w:kern w:val="21"/>
          <w:sz w:val="32"/>
          <w:szCs w:val="32"/>
          <w:highlight w:val="none"/>
          <w:lang w:val="en-US" w:eastAsia="zh-CN"/>
        </w:rPr>
        <w:t>产城融合</w:t>
      </w:r>
      <w:r>
        <w:rPr>
          <w:rFonts w:hint="eastAsia" w:ascii="仿宋_GB2312" w:hAnsi="仿宋_GB2312"/>
          <w:color w:val="auto"/>
          <w:spacing w:val="0"/>
          <w:kern w:val="21"/>
          <w:sz w:val="32"/>
          <w:szCs w:val="32"/>
        </w:rPr>
        <w:t>，</w:t>
      </w:r>
      <w:r>
        <w:rPr>
          <w:rFonts w:hint="eastAsia" w:ascii="仿宋_GB2312" w:hAnsi="仿宋_GB2312"/>
          <w:color w:val="auto"/>
          <w:spacing w:val="0"/>
          <w:kern w:val="21"/>
          <w:sz w:val="32"/>
          <w:szCs w:val="32"/>
          <w:lang w:val="en-US" w:eastAsia="zh-CN"/>
        </w:rPr>
        <w:t>推进</w:t>
      </w:r>
      <w:r>
        <w:rPr>
          <w:rFonts w:hint="eastAsia" w:ascii="仿宋_GB2312" w:hAnsi="仿宋_GB2312"/>
          <w:color w:val="auto"/>
          <w:spacing w:val="0"/>
          <w:kern w:val="21"/>
          <w:sz w:val="32"/>
          <w:szCs w:val="32"/>
        </w:rPr>
        <w:t>核桃树塔、杜家沟、杨家岭、流水沟等片区开发建设</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盘活存量资产，完善城市功能。实施城市生态修复工程，持续增加公园绿地、体育健身、休闲游憩等公共场所，进一步改善市容市貌，提升延安旅游城市形象品质。</w:t>
      </w:r>
    </w:p>
    <w:p w14:paraId="60A5C78B">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系统推进</w:t>
      </w:r>
      <w:r>
        <w:rPr>
          <w:rFonts w:hint="eastAsia" w:ascii="楷体_GB2312" w:hAnsi="楷体_GB2312" w:eastAsia="楷体_GB2312" w:cs="楷体_GB2312"/>
          <w:b w:val="0"/>
          <w:bCs w:val="0"/>
          <w:color w:val="auto"/>
          <w:spacing w:val="0"/>
          <w:kern w:val="21"/>
          <w:sz w:val="32"/>
          <w:szCs w:val="32"/>
        </w:rPr>
        <w:t>城区交通拥堵治理。</w:t>
      </w:r>
      <w:r>
        <w:rPr>
          <w:rFonts w:hint="eastAsia" w:ascii="仿宋_GB2312" w:hAnsi="仿宋_GB2312" w:cs="仿宋_GB2312"/>
          <w:b w:val="0"/>
          <w:bCs/>
          <w:color w:val="auto"/>
          <w:spacing w:val="0"/>
          <w:kern w:val="21"/>
          <w:sz w:val="32"/>
          <w:szCs w:val="32"/>
          <w:lang w:val="en-US" w:eastAsia="zh-CN"/>
        </w:rPr>
        <w:t>以</w:t>
      </w:r>
      <w:r>
        <w:rPr>
          <w:rFonts w:hint="eastAsia" w:ascii="仿宋_GB2312" w:hAnsi="仿宋_GB2312" w:eastAsia="仿宋_GB2312" w:cs="仿宋_GB2312"/>
          <w:b w:val="0"/>
          <w:bCs/>
          <w:color w:val="auto"/>
          <w:spacing w:val="0"/>
          <w:kern w:val="21"/>
          <w:sz w:val="32"/>
          <w:szCs w:val="32"/>
        </w:rPr>
        <w:t>老城区缓堵保畅</w:t>
      </w:r>
      <w:r>
        <w:rPr>
          <w:rFonts w:hint="eastAsia" w:ascii="仿宋_GB2312" w:hAnsi="仿宋_GB2312" w:cs="仿宋_GB2312"/>
          <w:b w:val="0"/>
          <w:bCs/>
          <w:color w:val="auto"/>
          <w:spacing w:val="0"/>
          <w:kern w:val="21"/>
          <w:sz w:val="32"/>
          <w:szCs w:val="32"/>
          <w:lang w:val="en-US" w:eastAsia="zh-CN"/>
        </w:rPr>
        <w:t>系统治理为抓手</w:t>
      </w:r>
      <w:r>
        <w:rPr>
          <w:rFonts w:hint="eastAsia" w:ascii="仿宋_GB2312" w:hAnsi="仿宋_GB2312" w:eastAsia="仿宋_GB2312" w:cs="仿宋_GB2312"/>
          <w:b w:val="0"/>
          <w:bCs/>
          <w:color w:val="auto"/>
          <w:spacing w:val="0"/>
          <w:kern w:val="21"/>
          <w:sz w:val="32"/>
          <w:szCs w:val="32"/>
        </w:rPr>
        <w:t>，推进城市</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微改造</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，完善基础设施</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硬支撑</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提升城市功能品质。</w:t>
      </w:r>
      <w:r>
        <w:rPr>
          <w:rFonts w:hint="eastAsia" w:ascii="仿宋_GB2312" w:hAnsi="仿宋_GB2312" w:eastAsia="仿宋_GB2312" w:cs="仿宋_GB2312"/>
          <w:b w:val="0"/>
          <w:bCs/>
          <w:color w:val="auto"/>
          <w:spacing w:val="0"/>
          <w:kern w:val="21"/>
          <w:sz w:val="32"/>
          <w:szCs w:val="32"/>
        </w:rPr>
        <w:t>加快城区外围快速环线、快速路、主次干道建设，</w:t>
      </w:r>
      <w:r>
        <w:rPr>
          <w:rFonts w:hint="eastAsia" w:ascii="仿宋_GB2312" w:hAnsi="仿宋_GB2312" w:cs="仿宋_GB2312"/>
          <w:b w:val="0"/>
          <w:bCs/>
          <w:color w:val="auto"/>
          <w:spacing w:val="0"/>
          <w:kern w:val="21"/>
          <w:sz w:val="32"/>
          <w:szCs w:val="32"/>
          <w:lang w:eastAsia="zh-CN"/>
        </w:rPr>
        <w:t>开工建设小砭沟至杜家沟快速环线、尹家沟至双拥大道立体交通，实施新区至高新区、高新区至高铁站、高铁站上跨环线等快速干道项目，</w:t>
      </w:r>
      <w:r>
        <w:rPr>
          <w:rFonts w:hint="eastAsia" w:ascii="仿宋_GB2312" w:hAnsi="仿宋_GB2312" w:eastAsia="仿宋_GB2312" w:cs="仿宋_GB2312"/>
          <w:b w:val="0"/>
          <w:bCs/>
          <w:color w:val="auto"/>
          <w:spacing w:val="0"/>
          <w:kern w:val="21"/>
          <w:sz w:val="32"/>
          <w:szCs w:val="32"/>
        </w:rPr>
        <w:t>推进中心城区“环线+网络状交通廊道”道路路网建设</w:t>
      </w:r>
      <w:r>
        <w:rPr>
          <w:rFonts w:hint="eastAsia" w:ascii="仿宋_GB2312" w:hAnsi="仿宋_GB2312" w:cs="仿宋_GB2312"/>
          <w:b w:val="0"/>
          <w:bCs/>
          <w:color w:val="auto"/>
          <w:spacing w:val="0"/>
          <w:kern w:val="21"/>
          <w:sz w:val="32"/>
          <w:szCs w:val="32"/>
          <w:lang w:val="en-US" w:eastAsia="zh-CN"/>
        </w:rPr>
        <w:t>，</w:t>
      </w:r>
      <w:r>
        <w:rPr>
          <w:rFonts w:hint="eastAsia" w:ascii="仿宋_GB2312" w:hAnsi="仿宋_GB2312" w:eastAsia="仿宋_GB2312" w:cs="仿宋_GB2312"/>
          <w:b w:val="0"/>
          <w:bCs/>
          <w:color w:val="auto"/>
          <w:spacing w:val="0"/>
          <w:kern w:val="21"/>
          <w:sz w:val="32"/>
          <w:szCs w:val="32"/>
        </w:rPr>
        <w:t>全面打通“肠梗阻”路段</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实施城市地下管网改造、市政道路、弱电入地、智慧交通、口袋公园等项目</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优化公共交通体系，</w:t>
      </w:r>
      <w:r>
        <w:rPr>
          <w:rFonts w:hint="eastAsia" w:ascii="仿宋_GB2312" w:hAnsi="仿宋_GB2312"/>
          <w:color w:val="auto"/>
          <w:spacing w:val="0"/>
          <w:kern w:val="21"/>
          <w:sz w:val="32"/>
          <w:szCs w:val="32"/>
          <w:lang w:val="en-US" w:eastAsia="zh-CN"/>
        </w:rPr>
        <w:t>优化调整</w:t>
      </w:r>
      <w:r>
        <w:rPr>
          <w:rFonts w:hint="eastAsia" w:ascii="仿宋_GB2312" w:hAnsi="仿宋_GB2312"/>
          <w:color w:val="auto"/>
          <w:spacing w:val="0"/>
          <w:kern w:val="21"/>
          <w:sz w:val="32"/>
          <w:szCs w:val="32"/>
        </w:rPr>
        <w:t>公交车次站点线路，完善城市慢行系统。</w:t>
      </w:r>
      <w:r>
        <w:rPr>
          <w:rFonts w:hint="eastAsia" w:ascii="仿宋_GB2312" w:hAnsi="仿宋_GB2312" w:cs="仿宋_GB2312"/>
          <w:b w:val="0"/>
          <w:bCs/>
          <w:color w:val="auto"/>
          <w:spacing w:val="0"/>
          <w:kern w:val="21"/>
          <w:sz w:val="32"/>
          <w:szCs w:val="32"/>
          <w:lang w:eastAsia="zh-CN"/>
        </w:rPr>
        <w:t>开展出租车、网约车行业专项整治。</w:t>
      </w:r>
      <w:r>
        <w:rPr>
          <w:rFonts w:hint="eastAsia" w:ascii="仿宋_GB2312" w:hAnsi="仿宋_GB2312"/>
          <w:color w:val="auto"/>
          <w:spacing w:val="0"/>
          <w:kern w:val="21"/>
          <w:sz w:val="32"/>
          <w:szCs w:val="32"/>
        </w:rPr>
        <w:t>挖掘公共停车资源，完善交通标志、标线等设施</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强化交通秩序管理</w:t>
      </w:r>
      <w:r>
        <w:rPr>
          <w:rFonts w:hint="eastAsia" w:ascii="仿宋_GB2312" w:hAnsi="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完善智慧交通出行服务体系，提升居民出行便捷度。</w:t>
      </w:r>
    </w:p>
    <w:p w14:paraId="1E9C365C">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建设安全可靠的韧性城市。</w:t>
      </w:r>
      <w:r>
        <w:rPr>
          <w:rFonts w:hint="eastAsia" w:ascii="仿宋_GB2312" w:hAnsi="仿宋_GB2312" w:eastAsia="仿宋_GB2312" w:cs="仿宋_GB2312"/>
          <w:b w:val="0"/>
          <w:bCs/>
          <w:color w:val="auto"/>
          <w:spacing w:val="0"/>
          <w:kern w:val="21"/>
          <w:sz w:val="32"/>
          <w:szCs w:val="32"/>
        </w:rPr>
        <w:t>扎实推进城市基础设施生命线安全工程，</w:t>
      </w:r>
      <w:r>
        <w:rPr>
          <w:rFonts w:hint="eastAsia" w:ascii="仿宋_GB2312" w:hAnsi="仿宋_GB2312"/>
          <w:color w:val="auto"/>
          <w:spacing w:val="0"/>
          <w:kern w:val="21"/>
          <w:sz w:val="32"/>
          <w:szCs w:val="32"/>
        </w:rPr>
        <w:t>加强城市地下综合管廊建设和老旧管线改造升级，开展燃气管道“带病运行”专项整治行动</w:t>
      </w:r>
      <w:r>
        <w:rPr>
          <w:rFonts w:hint="eastAsia" w:ascii="仿宋_GB2312" w:hAnsi="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严格限制超高层建筑，限制民用建筑高度，提升建筑本质安全水平和高空消防能力。</w:t>
      </w:r>
      <w:r>
        <w:rPr>
          <w:rFonts w:hint="eastAsia" w:ascii="仿宋_GB2312" w:hAnsi="仿宋_GB2312"/>
          <w:color w:val="auto"/>
          <w:spacing w:val="0"/>
          <w:kern w:val="21"/>
          <w:sz w:val="32"/>
          <w:szCs w:val="32"/>
        </w:rPr>
        <w:t>实施</w:t>
      </w:r>
      <w:r>
        <w:rPr>
          <w:rFonts w:hint="eastAsia" w:ascii="仿宋_GB2312" w:hAnsi="仿宋_GB2312"/>
          <w:color w:val="auto"/>
          <w:spacing w:val="0"/>
          <w:kern w:val="21"/>
          <w:sz w:val="32"/>
          <w:szCs w:val="32"/>
          <w:lang w:eastAsia="zh-CN"/>
        </w:rPr>
        <w:t>好</w:t>
      </w:r>
      <w:r>
        <w:rPr>
          <w:rFonts w:hint="eastAsia" w:ascii="仿宋_GB2312" w:hAnsi="仿宋_GB2312"/>
          <w:color w:val="auto"/>
          <w:spacing w:val="0"/>
          <w:kern w:val="21"/>
          <w:sz w:val="32"/>
          <w:szCs w:val="32"/>
        </w:rPr>
        <w:t>山体沟道人居环境综合治理，提升城区综合承载力。</w:t>
      </w:r>
      <w:r>
        <w:rPr>
          <w:rFonts w:hint="eastAsia" w:ascii="仿宋_GB2312" w:hAnsi="仿宋_GB2312" w:eastAsia="仿宋_GB2312" w:cs="仿宋_GB2312"/>
          <w:b w:val="0"/>
          <w:bCs/>
          <w:color w:val="auto"/>
          <w:spacing w:val="0"/>
          <w:kern w:val="21"/>
          <w:sz w:val="32"/>
          <w:szCs w:val="32"/>
        </w:rPr>
        <w:t>统筹城市防洪体系和内涝治理，实施县城防洪排涝能力提升工程</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olor w:val="auto"/>
          <w:spacing w:val="0"/>
          <w:kern w:val="21"/>
          <w:sz w:val="32"/>
          <w:szCs w:val="32"/>
        </w:rPr>
        <w:t>推进雨污分流改造。加强城市治理中的风险防控，</w:t>
      </w:r>
      <w:r>
        <w:rPr>
          <w:rFonts w:hint="eastAsia" w:ascii="仿宋_GB2312" w:hAnsi="仿宋_GB2312"/>
          <w:color w:val="auto"/>
          <w:spacing w:val="0"/>
          <w:kern w:val="21"/>
          <w:sz w:val="32"/>
          <w:szCs w:val="32"/>
          <w:lang w:val="en-US" w:eastAsia="zh-CN"/>
        </w:rPr>
        <w:t>构建城市安全风险谱系，增强城市综合防灾减灾救灾能力。</w:t>
      </w:r>
      <w:r>
        <w:rPr>
          <w:rFonts w:hint="eastAsia" w:ascii="仿宋_GB2312" w:hAnsi="仿宋_GB2312" w:eastAsia="仿宋_GB2312" w:cs="仿宋_GB2312"/>
          <w:b w:val="0"/>
          <w:bCs/>
          <w:color w:val="auto"/>
          <w:spacing w:val="0"/>
          <w:kern w:val="21"/>
          <w:sz w:val="32"/>
          <w:szCs w:val="32"/>
        </w:rPr>
        <w:t>推动平急两用公共基础设施建设，</w:t>
      </w:r>
      <w:r>
        <w:rPr>
          <w:rFonts w:hint="eastAsia" w:ascii="仿宋_GB2312" w:hAnsi="仿宋_GB2312"/>
          <w:color w:val="auto"/>
          <w:spacing w:val="0"/>
          <w:kern w:val="21"/>
          <w:sz w:val="32"/>
          <w:szCs w:val="32"/>
        </w:rPr>
        <w:t>构建总量充足、布局合理的应急避难场所体系。</w:t>
      </w:r>
    </w:p>
    <w:p w14:paraId="55617C79">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坚守城市文脉赓续。</w:t>
      </w:r>
      <w:r>
        <w:rPr>
          <w:rFonts w:hint="eastAsia" w:ascii="仿宋_GB2312" w:hAnsi="仿宋_GB2312"/>
          <w:color w:val="auto"/>
          <w:spacing w:val="0"/>
          <w:kern w:val="21"/>
          <w:sz w:val="32"/>
          <w:szCs w:val="32"/>
          <w:lang w:val="en-US" w:eastAsia="zh-CN"/>
        </w:rPr>
        <w:t>统筹抓好风貌管控和文脉延续，</w:t>
      </w:r>
      <w:r>
        <w:rPr>
          <w:rFonts w:hint="eastAsia" w:ascii="仿宋_GB2312" w:hAnsi="仿宋_GB2312"/>
          <w:color w:val="auto"/>
          <w:spacing w:val="0"/>
          <w:kern w:val="21"/>
          <w:sz w:val="32"/>
          <w:szCs w:val="32"/>
        </w:rPr>
        <w:t>加强对城市独特的历史文脉、人文地理、自然景观保护。活化利用不可移动文物、历史建筑，结合实际开展文化展示、特色商业、休闲体验等，推动城市历史文化保护利用传承。加强建筑设计管理，推动城市建筑更好体现中华美学和</w:t>
      </w:r>
      <w:r>
        <w:rPr>
          <w:rFonts w:hint="eastAsia" w:ascii="仿宋_GB2312" w:hAnsi="仿宋_GB2312"/>
          <w:color w:val="auto"/>
          <w:spacing w:val="0"/>
          <w:kern w:val="21"/>
          <w:sz w:val="32"/>
          <w:szCs w:val="32"/>
          <w:lang w:val="en-US" w:eastAsia="zh-CN"/>
        </w:rPr>
        <w:t>地方特色</w:t>
      </w:r>
      <w:r>
        <w:rPr>
          <w:rFonts w:hint="eastAsia" w:ascii="仿宋_GB2312" w:hAnsi="仿宋_GB2312"/>
          <w:color w:val="auto"/>
          <w:spacing w:val="0"/>
          <w:kern w:val="21"/>
          <w:sz w:val="32"/>
          <w:szCs w:val="32"/>
        </w:rPr>
        <w:t>，塑造延安城市特色风貌。让文脉元素自然融入城市日常生活，实现文化保护与城市功能升级良性循环。</w:t>
      </w:r>
    </w:p>
    <w:p w14:paraId="3480C014">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推进</w:t>
      </w:r>
      <w:r>
        <w:rPr>
          <w:rFonts w:hint="eastAsia" w:ascii="楷体_GB2312" w:hAnsi="楷体_GB2312" w:eastAsia="楷体_GB2312" w:cs="楷体_GB2312"/>
          <w:b w:val="0"/>
          <w:bCs w:val="0"/>
          <w:color w:val="auto"/>
          <w:spacing w:val="0"/>
          <w:kern w:val="21"/>
          <w:sz w:val="32"/>
          <w:szCs w:val="32"/>
        </w:rPr>
        <w:t>城市治理</w:t>
      </w:r>
      <w:r>
        <w:rPr>
          <w:rFonts w:hint="eastAsia" w:ascii="楷体_GB2312" w:hAnsi="楷体_GB2312" w:eastAsia="楷体_GB2312" w:cs="楷体_GB2312"/>
          <w:b w:val="0"/>
          <w:bCs w:val="0"/>
          <w:color w:val="auto"/>
          <w:spacing w:val="0"/>
          <w:kern w:val="21"/>
          <w:sz w:val="32"/>
          <w:szCs w:val="32"/>
          <w:lang w:val="en-US" w:eastAsia="zh-CN"/>
        </w:rPr>
        <w:t>现代化</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olor w:val="auto"/>
          <w:spacing w:val="0"/>
          <w:kern w:val="21"/>
          <w:sz w:val="32"/>
          <w:szCs w:val="32"/>
        </w:rPr>
        <w:t>健全城市管理与市场监管、生态环境、交通运输、应急管理等领域权责清晰、协同高效的综合行政执法体制</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完善居民、企业、群团组织、社会组织参与城市治理制度机制，</w:t>
      </w:r>
      <w:r>
        <w:rPr>
          <w:rFonts w:hint="eastAsia" w:ascii="仿宋_GB2312" w:hAnsi="仿宋_GB2312"/>
          <w:color w:val="auto"/>
          <w:spacing w:val="0"/>
          <w:kern w:val="21"/>
          <w:sz w:val="32"/>
          <w:szCs w:val="32"/>
          <w:lang w:val="en-US" w:eastAsia="zh-CN"/>
        </w:rPr>
        <w:t>优化</w:t>
      </w:r>
      <w:r>
        <w:rPr>
          <w:rFonts w:hint="eastAsia" w:ascii="仿宋_GB2312" w:hAnsi="仿宋_GB2312"/>
          <w:color w:val="auto"/>
          <w:spacing w:val="0"/>
          <w:kern w:val="21"/>
          <w:sz w:val="32"/>
          <w:szCs w:val="32"/>
        </w:rPr>
        <w:t>城市治理工作体系。支持有条件的住区结合完整社区建设，实施公共设施数字化、网络化、智能化改造与管理，提高智慧化安全防范、监测预警和应急处置能力</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完善网格化治理机制，</w:t>
      </w:r>
      <w:r>
        <w:rPr>
          <w:rFonts w:hint="eastAsia" w:ascii="仿宋_GB2312" w:hAnsi="仿宋_GB2312" w:eastAsia="仿宋_GB2312" w:cs="仿宋_GB2312"/>
          <w:b w:val="0"/>
          <w:bCs/>
          <w:color w:val="auto"/>
          <w:spacing w:val="0"/>
          <w:kern w:val="21"/>
          <w:sz w:val="32"/>
          <w:szCs w:val="32"/>
        </w:rPr>
        <w:t>加快城市智能感知体系建设，推进大数据、人工智能在城市治理中的应用</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olor w:val="auto"/>
          <w:spacing w:val="0"/>
          <w:kern w:val="21"/>
          <w:sz w:val="32"/>
          <w:szCs w:val="32"/>
        </w:rPr>
        <w:t>推动城市治理智慧化精细化。</w:t>
      </w:r>
      <w:r>
        <w:rPr>
          <w:rFonts w:hint="eastAsia" w:ascii="仿宋_GB2312" w:hAnsi="仿宋_GB2312"/>
          <w:color w:val="auto"/>
          <w:spacing w:val="0"/>
          <w:kern w:val="21"/>
          <w:sz w:val="32"/>
          <w:szCs w:val="32"/>
          <w:lang w:val="en-US" w:eastAsia="zh-CN"/>
        </w:rPr>
        <w:t>加强</w:t>
      </w:r>
      <w:r>
        <w:rPr>
          <w:rFonts w:hint="eastAsia" w:ascii="仿宋_GB2312" w:hAnsi="仿宋_GB2312"/>
          <w:color w:val="auto"/>
          <w:spacing w:val="0"/>
          <w:kern w:val="21"/>
          <w:sz w:val="32"/>
          <w:szCs w:val="32"/>
        </w:rPr>
        <w:t>社区服务体系建设</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推</w:t>
      </w:r>
      <w:r>
        <w:rPr>
          <w:rFonts w:hint="eastAsia" w:ascii="仿宋_GB2312" w:hAnsi="仿宋_GB2312"/>
          <w:color w:val="auto"/>
          <w:spacing w:val="0"/>
          <w:kern w:val="21"/>
          <w:sz w:val="32"/>
          <w:szCs w:val="32"/>
          <w:lang w:val="en-US" w:eastAsia="zh-CN"/>
        </w:rPr>
        <w:t>进</w:t>
      </w:r>
      <w:r>
        <w:rPr>
          <w:rFonts w:hint="eastAsia" w:ascii="仿宋_GB2312" w:hAnsi="仿宋_GB2312"/>
          <w:color w:val="auto"/>
          <w:spacing w:val="0"/>
          <w:kern w:val="21"/>
          <w:sz w:val="32"/>
          <w:szCs w:val="32"/>
        </w:rPr>
        <w:t>城市管理进社区，持续</w:t>
      </w:r>
      <w:r>
        <w:rPr>
          <w:rFonts w:hint="eastAsia" w:ascii="仿宋_GB2312" w:hAnsi="仿宋_GB2312"/>
          <w:color w:val="auto"/>
          <w:spacing w:val="0"/>
          <w:kern w:val="21"/>
          <w:sz w:val="32"/>
          <w:szCs w:val="32"/>
          <w:lang w:val="en-US" w:eastAsia="zh-CN"/>
        </w:rPr>
        <w:t>提升</w:t>
      </w:r>
      <w:r>
        <w:rPr>
          <w:rFonts w:hint="eastAsia" w:ascii="仿宋_GB2312" w:hAnsi="仿宋_GB2312"/>
          <w:color w:val="auto"/>
          <w:spacing w:val="0"/>
          <w:kern w:val="21"/>
          <w:sz w:val="32"/>
          <w:szCs w:val="32"/>
        </w:rPr>
        <w:t>城市社会治理</w:t>
      </w:r>
      <w:r>
        <w:rPr>
          <w:rFonts w:hint="eastAsia" w:ascii="仿宋_GB2312" w:hAnsi="仿宋_GB2312"/>
          <w:color w:val="auto"/>
          <w:spacing w:val="0"/>
          <w:kern w:val="21"/>
          <w:sz w:val="32"/>
          <w:szCs w:val="32"/>
          <w:lang w:val="en-US" w:eastAsia="zh-CN"/>
        </w:rPr>
        <w:t>水平</w:t>
      </w:r>
      <w:r>
        <w:rPr>
          <w:rFonts w:hint="eastAsia" w:ascii="仿宋_GB2312" w:hAnsi="仿宋_GB2312"/>
          <w:color w:val="auto"/>
          <w:spacing w:val="0"/>
          <w:kern w:val="21"/>
          <w:sz w:val="32"/>
          <w:szCs w:val="32"/>
        </w:rPr>
        <w:t>。</w:t>
      </w:r>
    </w:p>
    <w:p w14:paraId="2F5BFD33">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tbl>
      <w:tblPr>
        <w:tblStyle w:val="16"/>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4"/>
      </w:tblGrid>
      <w:tr w14:paraId="0350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764" w:type="dxa"/>
            <w:vAlign w:val="center"/>
          </w:tcPr>
          <w:p w14:paraId="1A3749C3">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lang w:val="en-US" w:eastAsia="zh-CN"/>
              </w:rPr>
              <w:t>专栏21 城市高质量发展重点项目</w:t>
            </w:r>
          </w:p>
        </w:tc>
      </w:tr>
      <w:tr w14:paraId="6867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0" w:hRule="atLeast"/>
          <w:jc w:val="center"/>
        </w:trPr>
        <w:tc>
          <w:tcPr>
            <w:tcW w:w="8764" w:type="dxa"/>
          </w:tcPr>
          <w:p w14:paraId="3A3742DE">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城市更新。</w:t>
            </w:r>
            <w:r>
              <w:rPr>
                <w:rFonts w:hint="eastAsia" w:ascii="宋体" w:hAnsi="宋体" w:eastAsia="宋体" w:cs="宋体"/>
                <w:color w:val="auto"/>
                <w:spacing w:val="0"/>
                <w:kern w:val="21"/>
                <w:sz w:val="22"/>
                <w:szCs w:val="22"/>
                <w:highlight w:val="none"/>
                <w:u w:val="none"/>
              </w:rPr>
              <w:t>重点实施延安市老旧小区改造</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老旧厂区、街区改造提升，</w:t>
            </w:r>
            <w:r>
              <w:rPr>
                <w:rFonts w:hint="eastAsia" w:ascii="宋体" w:hAnsi="宋体" w:eastAsia="宋体" w:cs="宋体"/>
                <w:color w:val="auto"/>
                <w:spacing w:val="0"/>
                <w:kern w:val="21"/>
                <w:sz w:val="22"/>
                <w:szCs w:val="22"/>
                <w:highlight w:val="none"/>
                <w:u w:val="none"/>
                <w:lang w:val="en-US" w:eastAsia="zh-CN"/>
              </w:rPr>
              <w:t>排水、燃气、热力改造提升，道路改造、停车场建设，沟道治理、口袋公园、杆线入地等工程</w:t>
            </w:r>
            <w:r>
              <w:rPr>
                <w:rFonts w:hint="eastAsia" w:ascii="宋体" w:hAnsi="宋体" w:eastAsia="宋体" w:cs="宋体"/>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lang w:val="en-US" w:eastAsia="zh-CN"/>
              </w:rPr>
              <w:t>实施</w:t>
            </w:r>
            <w:r>
              <w:rPr>
                <w:rFonts w:hint="eastAsia" w:ascii="宋体" w:hAnsi="宋体" w:eastAsia="宋体" w:cs="宋体"/>
                <w:color w:val="auto"/>
                <w:spacing w:val="0"/>
                <w:kern w:val="21"/>
                <w:sz w:val="22"/>
                <w:szCs w:val="22"/>
                <w:highlight w:val="none"/>
                <w:u w:val="none"/>
              </w:rPr>
              <w:t>棚改腾退土地便民市场及停车场建设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旧机场区域</w:t>
            </w:r>
            <w:r>
              <w:rPr>
                <w:rFonts w:hint="eastAsia" w:ascii="宋体" w:hAnsi="宋体" w:eastAsia="宋体" w:cs="宋体"/>
                <w:color w:val="auto"/>
                <w:spacing w:val="0"/>
                <w:kern w:val="21"/>
                <w:sz w:val="22"/>
                <w:szCs w:val="22"/>
                <w:highlight w:val="none"/>
                <w:u w:val="none"/>
                <w:lang w:val="en-US" w:eastAsia="zh-CN"/>
              </w:rPr>
              <w:t>改造</w:t>
            </w:r>
            <w:r>
              <w:rPr>
                <w:rFonts w:hint="eastAsia" w:ascii="宋体" w:hAnsi="宋体" w:eastAsia="宋体" w:cs="宋体"/>
                <w:color w:val="auto"/>
                <w:spacing w:val="0"/>
                <w:kern w:val="21"/>
                <w:sz w:val="22"/>
                <w:szCs w:val="22"/>
                <w:highlight w:val="none"/>
                <w:u w:val="none"/>
              </w:rPr>
              <w:t>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延安新区公共停车场</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延安新区4A级鲁艺生态文化园景区改造提升</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lang w:eastAsia="zh-CN"/>
              </w:rPr>
              <w:t>项目。</w:t>
            </w:r>
          </w:p>
          <w:p w14:paraId="45948162">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城市</w:t>
            </w:r>
            <w:r>
              <w:rPr>
                <w:rFonts w:hint="eastAsia" w:ascii="楷体_GB2312" w:hAnsi="楷体_GB2312" w:eastAsia="楷体_GB2312" w:cs="楷体_GB2312"/>
                <w:b w:val="0"/>
                <w:bCs w:val="0"/>
                <w:color w:val="auto"/>
                <w:spacing w:val="0"/>
                <w:kern w:val="21"/>
                <w:sz w:val="22"/>
                <w:szCs w:val="22"/>
                <w:highlight w:val="none"/>
                <w:u w:val="none"/>
                <w:lang w:val="en-US" w:eastAsia="zh-CN"/>
              </w:rPr>
              <w:t>基础设施</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实施城市道路建设及改造，排水防涝、污水处理厂等基础设施配套建设及功能提升，污水、供热、排水等市政公用设施管线建设及改造</w:t>
            </w:r>
            <w:r>
              <w:rPr>
                <w:rFonts w:hint="eastAsia" w:ascii="宋体" w:hAnsi="宋体" w:eastAsia="宋体" w:cs="宋体"/>
                <w:color w:val="auto"/>
                <w:spacing w:val="0"/>
                <w:kern w:val="21"/>
                <w:sz w:val="22"/>
                <w:szCs w:val="22"/>
                <w:highlight w:val="none"/>
                <w:u w:val="none"/>
                <w:lang w:val="en-US" w:eastAsia="zh-CN"/>
              </w:rPr>
              <w:t>。重点</w:t>
            </w:r>
            <w:r>
              <w:rPr>
                <w:rFonts w:hint="eastAsia" w:ascii="宋体" w:hAnsi="宋体" w:eastAsia="宋体" w:cs="宋体"/>
                <w:color w:val="auto"/>
                <w:spacing w:val="0"/>
                <w:kern w:val="21"/>
                <w:sz w:val="22"/>
                <w:szCs w:val="22"/>
                <w:highlight w:val="none"/>
                <w:u w:val="none"/>
              </w:rPr>
              <w:t>实施百米大道延伸段道路及管线工程、延榆高铁延安新区站至东绕城高速连接线工程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快速环线（小砭沟至杜家沟道路工程）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尹家沟—双拥大道立体交通、杨家岭大桥两侧出入口提升改造工程、西沟至尹家沟道路、城区地下交通设施建设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延安高新区东区基础设施配套</w:t>
            </w:r>
            <w:r>
              <w:rPr>
                <w:rFonts w:hint="eastAsia" w:ascii="宋体" w:hAnsi="宋体" w:eastAsia="宋体" w:cs="宋体"/>
                <w:color w:val="auto"/>
                <w:spacing w:val="0"/>
                <w:kern w:val="21"/>
                <w:sz w:val="22"/>
                <w:szCs w:val="22"/>
                <w:highlight w:val="none"/>
                <w:u w:val="none"/>
                <w:lang w:eastAsia="zh-CN"/>
              </w:rPr>
              <w:t>、长青路道路拓宽及市政配套改造工程、</w:t>
            </w:r>
            <w:r>
              <w:rPr>
                <w:rFonts w:hint="eastAsia" w:ascii="宋体" w:hAnsi="宋体" w:eastAsia="宋体" w:cs="宋体"/>
                <w:color w:val="auto"/>
                <w:spacing w:val="0"/>
                <w:kern w:val="21"/>
                <w:sz w:val="22"/>
                <w:szCs w:val="22"/>
                <w:highlight w:val="none"/>
                <w:u w:val="none"/>
              </w:rPr>
              <w:t>延安新区北环路东段工程（生命通道）、新区至高新区快速干道（高新段）</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延安高新区方塔片区至东绕城方塔出入口连接线工程、延安高新区</w:t>
            </w:r>
            <w:r>
              <w:rPr>
                <w:rFonts w:hint="eastAsia" w:ascii="宋体" w:hAnsi="宋体" w:eastAsia="宋体" w:cs="宋体"/>
                <w:color w:val="auto"/>
                <w:spacing w:val="0"/>
                <w:kern w:val="21"/>
                <w:sz w:val="22"/>
                <w:szCs w:val="22"/>
                <w:highlight w:val="none"/>
                <w:u w:val="none"/>
                <w:lang w:val="en-US" w:eastAsia="zh-CN"/>
              </w:rPr>
              <w:t>东区</w:t>
            </w:r>
            <w:r>
              <w:rPr>
                <w:rFonts w:hint="eastAsia" w:ascii="宋体" w:hAnsi="宋体" w:eastAsia="宋体" w:cs="宋体"/>
                <w:color w:val="auto"/>
                <w:spacing w:val="0"/>
                <w:kern w:val="21"/>
                <w:sz w:val="22"/>
                <w:szCs w:val="22"/>
                <w:highlight w:val="none"/>
                <w:u w:val="none"/>
              </w:rPr>
              <w:t>方泽路道路及配套设施建设</w:t>
            </w:r>
            <w:r>
              <w:rPr>
                <w:rFonts w:hint="eastAsia" w:ascii="宋体" w:hAnsi="宋体" w:eastAsia="宋体" w:cs="宋体"/>
                <w:color w:val="auto"/>
                <w:spacing w:val="0"/>
                <w:kern w:val="21"/>
                <w:sz w:val="22"/>
                <w:szCs w:val="22"/>
                <w:highlight w:val="none"/>
                <w:u w:val="none"/>
                <w:lang w:eastAsia="zh-CN"/>
              </w:rPr>
              <w:t>、延安新区道路基础设施、</w:t>
            </w:r>
            <w:r>
              <w:rPr>
                <w:rFonts w:hint="eastAsia" w:ascii="宋体" w:hAnsi="宋体" w:eastAsia="宋体" w:cs="宋体"/>
                <w:color w:val="auto"/>
                <w:spacing w:val="0"/>
                <w:kern w:val="21"/>
                <w:sz w:val="22"/>
                <w:szCs w:val="22"/>
                <w:highlight w:val="none"/>
                <w:u w:val="none"/>
              </w:rPr>
              <w:t>新区中水回用工程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城区再生水循环利用工矿企业供水</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中心城区高品质再生水厂、</w:t>
            </w:r>
            <w:r>
              <w:rPr>
                <w:rFonts w:hint="eastAsia" w:ascii="宋体" w:hAnsi="宋体" w:eastAsia="宋体" w:cs="宋体"/>
                <w:color w:val="auto"/>
                <w:spacing w:val="0"/>
                <w:kern w:val="21"/>
                <w:sz w:val="22"/>
                <w:szCs w:val="22"/>
                <w:highlight w:val="none"/>
                <w:u w:val="none"/>
              </w:rPr>
              <w:t>延安新区东片区刘万家沟排水排洪工程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市</w:t>
            </w:r>
            <w:r>
              <w:rPr>
                <w:rFonts w:hint="eastAsia" w:ascii="宋体" w:hAnsi="宋体" w:eastAsia="宋体" w:cs="宋体"/>
                <w:color w:val="auto"/>
                <w:spacing w:val="0"/>
                <w:kern w:val="21"/>
                <w:sz w:val="22"/>
                <w:szCs w:val="22"/>
                <w:highlight w:val="none"/>
                <w:u w:val="none"/>
                <w:lang w:val="en-US" w:eastAsia="zh-CN"/>
              </w:rPr>
              <w:t>区</w:t>
            </w:r>
            <w:r>
              <w:rPr>
                <w:rFonts w:hint="eastAsia" w:ascii="宋体" w:hAnsi="宋体" w:eastAsia="宋体" w:cs="宋体"/>
                <w:color w:val="auto"/>
                <w:spacing w:val="0"/>
                <w:kern w:val="21"/>
                <w:sz w:val="22"/>
                <w:szCs w:val="22"/>
                <w:highlight w:val="none"/>
                <w:u w:val="none"/>
              </w:rPr>
              <w:t>道路排水（雨水）设施改造工程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延安市污水处理厂迁建、</w:t>
            </w:r>
            <w:r>
              <w:rPr>
                <w:rFonts w:hint="eastAsia" w:ascii="宋体" w:hAnsi="宋体" w:eastAsia="宋体" w:cs="宋体"/>
                <w:color w:val="auto"/>
                <w:spacing w:val="0"/>
                <w:kern w:val="21"/>
                <w:sz w:val="22"/>
                <w:szCs w:val="22"/>
                <w:highlight w:val="none"/>
                <w:u w:val="none"/>
              </w:rPr>
              <w:t>延安高新区东区污水处理厂、子长市第二污水处理厂</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延安新区污水处理厂尾水净化及资源化利用工程</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延安高新区蒸汽热力能源一体化供给保障、</w:t>
            </w:r>
            <w:r>
              <w:rPr>
                <w:rFonts w:hint="eastAsia" w:ascii="宋体" w:hAnsi="宋体" w:eastAsia="宋体" w:cs="宋体"/>
                <w:color w:val="auto"/>
                <w:spacing w:val="0"/>
                <w:kern w:val="21"/>
                <w:sz w:val="22"/>
                <w:szCs w:val="22"/>
                <w:highlight w:val="none"/>
                <w:u w:val="none"/>
                <w:lang w:val="en-US" w:eastAsia="zh-CN"/>
              </w:rPr>
              <w:t>老城区供热管网提升改造、</w:t>
            </w:r>
            <w:r>
              <w:rPr>
                <w:rFonts w:hint="eastAsia" w:ascii="宋体" w:hAnsi="宋体" w:eastAsia="宋体" w:cs="宋体"/>
                <w:color w:val="auto"/>
                <w:spacing w:val="0"/>
                <w:kern w:val="21"/>
                <w:sz w:val="22"/>
                <w:szCs w:val="22"/>
                <w:highlight w:val="none"/>
                <w:u w:val="none"/>
              </w:rPr>
              <w:t>延安新区智慧路灯</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lang w:eastAsia="zh-CN"/>
              </w:rPr>
              <w:t>项目</w:t>
            </w:r>
            <w:r>
              <w:rPr>
                <w:rFonts w:hint="eastAsia" w:ascii="宋体" w:hAnsi="宋体" w:eastAsia="宋体" w:cs="宋体"/>
                <w:color w:val="auto"/>
                <w:spacing w:val="0"/>
                <w:kern w:val="21"/>
                <w:sz w:val="22"/>
                <w:szCs w:val="22"/>
                <w:highlight w:val="none"/>
                <w:u w:val="none"/>
              </w:rPr>
              <w:t>。</w:t>
            </w:r>
          </w:p>
        </w:tc>
      </w:tr>
    </w:tbl>
    <w:p w14:paraId="009C0D7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仿宋_GB2312" w:hAnsi="仿宋_GB2312"/>
          <w:color w:val="auto"/>
          <w:spacing w:val="0"/>
          <w:kern w:val="21"/>
          <w:sz w:val="32"/>
          <w:szCs w:val="32"/>
        </w:rPr>
      </w:pPr>
      <w:bookmarkStart w:id="89" w:name="_Toc20040"/>
      <w:bookmarkStart w:id="90" w:name="_Toc30213"/>
      <w:bookmarkStart w:id="91" w:name="_Toc28571"/>
    </w:p>
    <w:p w14:paraId="1D148A4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仿宋_GB2312" w:hAnsi="仿宋_GB2312"/>
          <w:color w:val="auto"/>
          <w:spacing w:val="0"/>
          <w:kern w:val="21"/>
          <w:sz w:val="32"/>
          <w:szCs w:val="32"/>
        </w:rPr>
      </w:pPr>
    </w:p>
    <w:p w14:paraId="2D0A68B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60" w:lineRule="exact"/>
        <w:ind w:left="0"/>
        <w:textAlignment w:val="auto"/>
        <w:rPr>
          <w:rFonts w:hint="eastAsia" w:ascii="仿宋_GB2312" w:hAnsi="仿宋_GB2312"/>
          <w:color w:val="auto"/>
          <w:spacing w:val="0"/>
          <w:kern w:val="21"/>
          <w:sz w:val="32"/>
          <w:szCs w:val="32"/>
        </w:rPr>
      </w:pPr>
    </w:p>
    <w:p w14:paraId="2498CDF9">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0" w:lineRule="exact"/>
        <w:ind w:left="0"/>
        <w:textAlignment w:val="auto"/>
        <w:rPr>
          <w:rFonts w:hint="eastAsia" w:ascii="仿宋_GB2312" w:hAnsi="仿宋_GB2312"/>
          <w:color w:val="auto"/>
          <w:spacing w:val="0"/>
          <w:kern w:val="21"/>
          <w:sz w:val="32"/>
          <w:szCs w:val="32"/>
        </w:rPr>
      </w:pPr>
    </w:p>
    <w:p w14:paraId="05A6BCF2">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40"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五</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发展壮大县域经济</w:t>
      </w:r>
      <w:bookmarkEnd w:id="89"/>
      <w:bookmarkEnd w:id="90"/>
      <w:bookmarkEnd w:id="91"/>
    </w:p>
    <w:p w14:paraId="1926A591">
      <w:pPr>
        <w:keepNext w:val="0"/>
        <w:keepLines w:val="0"/>
        <w:pageBreakBefore w:val="0"/>
        <w:widowControl w:val="0"/>
        <w:kinsoku/>
        <w:wordWrap/>
        <w:overflowPunct w:val="0"/>
        <w:topLinePunct w:val="0"/>
        <w:autoSpaceDE/>
        <w:autoSpaceDN/>
        <w:bidi w:val="0"/>
        <w:adjustRightInd/>
        <w:snapToGrid/>
        <w:spacing w:afterAutospacing="0" w:line="540" w:lineRule="exact"/>
        <w:ind w:left="0" w:firstLine="640"/>
        <w:textAlignment w:val="auto"/>
        <w:rPr>
          <w:rFonts w:hint="eastAsia" w:ascii="楷体_GB2312" w:hAnsi="楷体_GB2312" w:eastAsia="楷体_GB2312" w:cs="楷体_GB2312"/>
          <w:b w:val="0"/>
          <w:bCs w:val="0"/>
          <w:color w:val="auto"/>
          <w:spacing w:val="0"/>
          <w:kern w:val="21"/>
          <w:sz w:val="32"/>
          <w:szCs w:val="32"/>
        </w:rPr>
      </w:pPr>
    </w:p>
    <w:p w14:paraId="60775F3A">
      <w:pPr>
        <w:keepNext w:val="0"/>
        <w:keepLines w:val="0"/>
        <w:pageBreakBefore w:val="0"/>
        <w:widowControl w:val="0"/>
        <w:kinsoku/>
        <w:wordWrap/>
        <w:overflowPunct w:val="0"/>
        <w:topLinePunct w:val="0"/>
        <w:autoSpaceDE/>
        <w:autoSpaceDN/>
        <w:bidi w:val="0"/>
        <w:adjustRightInd/>
        <w:snapToGrid/>
        <w:spacing w:afterAutospacing="0" w:line="540" w:lineRule="exact"/>
        <w:ind w:left="0" w:firstLine="640"/>
        <w:textAlignment w:val="auto"/>
        <w:rPr>
          <w:rFonts w:hint="eastAsia" w:ascii="仿宋_GB2312" w:hAnsi="仿宋_GB2312" w:eastAsia="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培育壮大县域特色主导产业。</w:t>
      </w:r>
      <w:r>
        <w:rPr>
          <w:rFonts w:hint="eastAsia" w:ascii="仿宋_GB2312" w:hAnsi="仿宋_GB2312" w:eastAsia="仿宋_GB2312" w:cs="仿宋_GB2312"/>
          <w:b w:val="0"/>
          <w:bCs/>
          <w:color w:val="auto"/>
          <w:spacing w:val="0"/>
          <w:kern w:val="21"/>
          <w:sz w:val="32"/>
          <w:szCs w:val="32"/>
          <w:lang w:val="en-US" w:eastAsia="zh-CN"/>
        </w:rPr>
        <w:t>实施县域特色产业发展提升行动，</w:t>
      </w:r>
      <w:r>
        <w:rPr>
          <w:rFonts w:hint="eastAsia" w:ascii="仿宋_GB2312" w:hAnsi="仿宋_GB2312" w:cs="仿宋_GB2312"/>
          <w:b w:val="0"/>
          <w:bCs/>
          <w:color w:val="auto"/>
          <w:spacing w:val="0"/>
          <w:kern w:val="21"/>
          <w:sz w:val="32"/>
          <w:szCs w:val="32"/>
          <w:lang w:val="en-US" w:eastAsia="zh-CN"/>
        </w:rPr>
        <w:t>分类推进县域经济提档升级，</w:t>
      </w:r>
      <w:r>
        <w:rPr>
          <w:rFonts w:hint="eastAsia" w:ascii="仿宋_GB2312" w:hAnsi="仿宋_GB2312" w:eastAsia="仿宋_GB2312" w:cs="仿宋_GB2312"/>
          <w:b w:val="0"/>
          <w:bCs/>
          <w:color w:val="auto"/>
          <w:spacing w:val="0"/>
          <w:kern w:val="21"/>
          <w:sz w:val="32"/>
          <w:szCs w:val="32"/>
          <w:lang w:val="en-US" w:eastAsia="zh-CN"/>
        </w:rPr>
        <w:t>不断提高县域主导产业贡献度，县域经济增速高于全市平均水平。</w:t>
      </w:r>
      <w:r>
        <w:rPr>
          <w:rFonts w:hint="eastAsia" w:ascii="仿宋_GB2312" w:hAnsi="仿宋_GB2312" w:eastAsia="仿宋_GB2312" w:cs="仿宋_GB2312"/>
          <w:b w:val="0"/>
          <w:bCs/>
          <w:color w:val="auto"/>
          <w:spacing w:val="0"/>
          <w:kern w:val="21"/>
          <w:sz w:val="32"/>
          <w:szCs w:val="32"/>
        </w:rPr>
        <w:t>持续推进县域城镇、产业、创新等平台建设，指导县（市、区）按功能定位加快特色</w:t>
      </w:r>
      <w:r>
        <w:rPr>
          <w:rFonts w:hint="eastAsia" w:ascii="仿宋_GB2312" w:hAnsi="仿宋_GB2312" w:cs="仿宋_GB2312"/>
          <w:b w:val="0"/>
          <w:bCs/>
          <w:color w:val="auto"/>
          <w:spacing w:val="0"/>
          <w:kern w:val="21"/>
          <w:sz w:val="32"/>
          <w:szCs w:val="32"/>
          <w:lang w:val="en-US" w:eastAsia="zh-CN"/>
        </w:rPr>
        <w:t>产业</w:t>
      </w:r>
      <w:r>
        <w:rPr>
          <w:rFonts w:hint="eastAsia" w:ascii="仿宋_GB2312" w:hAnsi="仿宋_GB2312" w:eastAsia="仿宋_GB2312" w:cs="仿宋_GB2312"/>
          <w:b w:val="0"/>
          <w:bCs/>
          <w:color w:val="auto"/>
          <w:spacing w:val="0"/>
          <w:kern w:val="21"/>
          <w:sz w:val="32"/>
          <w:szCs w:val="32"/>
        </w:rPr>
        <w:t>园区建设，“一县一策、一县一业”发展主导产业，大力发展特色经济、联农带农经济、新型农村集体经济、民营经济。</w:t>
      </w:r>
      <w:r>
        <w:rPr>
          <w:rFonts w:hint="eastAsia" w:ascii="仿宋_GB2312" w:hAnsi="仿宋_GB2312"/>
          <w:color w:val="auto"/>
          <w:spacing w:val="0"/>
          <w:kern w:val="21"/>
          <w:sz w:val="32"/>
          <w:szCs w:val="32"/>
        </w:rPr>
        <w:t>积极对接省</w:t>
      </w:r>
      <w:r>
        <w:rPr>
          <w:rFonts w:hint="eastAsia" w:ascii="仿宋_GB2312" w:hAnsi="仿宋_GB2312"/>
          <w:color w:val="auto"/>
          <w:spacing w:val="0"/>
          <w:kern w:val="21"/>
          <w:sz w:val="32"/>
          <w:szCs w:val="32"/>
          <w:lang w:val="en-US" w:eastAsia="zh-CN"/>
        </w:rPr>
        <w:t>市</w:t>
      </w:r>
      <w:r>
        <w:rPr>
          <w:rFonts w:hint="eastAsia" w:ascii="仿宋_GB2312" w:hAnsi="仿宋_GB2312"/>
          <w:color w:val="auto"/>
          <w:spacing w:val="0"/>
          <w:kern w:val="21"/>
          <w:sz w:val="32"/>
          <w:szCs w:val="32"/>
        </w:rPr>
        <w:t>重点产业链（群），培育县域品牌示范企业。优化县域基础设施网络、商贸物流网络、公共服务网络、社会治理网络。按照功能定位，持续培育引进兴业、强县、富民产业项目，建设一批现代农业大县、工业经济强县、文化旅游名县</w:t>
      </w:r>
      <w:r>
        <w:rPr>
          <w:rFonts w:hint="eastAsia" w:ascii="仿宋_GB2312" w:hAnsi="仿宋_GB2312"/>
          <w:color w:val="auto"/>
          <w:spacing w:val="0"/>
          <w:kern w:val="21"/>
          <w:sz w:val="32"/>
          <w:szCs w:val="32"/>
          <w:lang w:eastAsia="zh-CN"/>
        </w:rPr>
        <w:t>。</w:t>
      </w:r>
    </w:p>
    <w:p w14:paraId="6587DD91">
      <w:pPr>
        <w:keepNext w:val="0"/>
        <w:keepLines w:val="0"/>
        <w:pageBreakBefore w:val="0"/>
        <w:widowControl w:val="0"/>
        <w:kinsoku/>
        <w:wordWrap/>
        <w:overflowPunct w:val="0"/>
        <w:topLinePunct w:val="0"/>
        <w:autoSpaceDE/>
        <w:autoSpaceDN/>
        <w:bidi w:val="0"/>
        <w:adjustRightInd/>
        <w:snapToGrid/>
        <w:spacing w:afterAutospacing="0" w:line="540" w:lineRule="exact"/>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提高</w:t>
      </w:r>
      <w:r>
        <w:rPr>
          <w:rFonts w:hint="eastAsia" w:ascii="楷体_GB2312" w:hAnsi="楷体_GB2312" w:eastAsia="楷体_GB2312" w:cs="楷体_GB2312"/>
          <w:b w:val="0"/>
          <w:bCs w:val="0"/>
          <w:color w:val="auto"/>
          <w:spacing w:val="0"/>
          <w:kern w:val="21"/>
          <w:sz w:val="32"/>
          <w:szCs w:val="32"/>
        </w:rPr>
        <w:t>县城</w:t>
      </w:r>
      <w:r>
        <w:rPr>
          <w:rFonts w:hint="eastAsia" w:ascii="楷体_GB2312" w:hAnsi="楷体_GB2312" w:eastAsia="楷体_GB2312" w:cs="楷体_GB2312"/>
          <w:b w:val="0"/>
          <w:bCs w:val="0"/>
          <w:color w:val="auto"/>
          <w:spacing w:val="0"/>
          <w:kern w:val="21"/>
          <w:sz w:val="32"/>
          <w:szCs w:val="32"/>
          <w:lang w:val="en-US" w:eastAsia="zh-CN"/>
        </w:rPr>
        <w:t>和城镇承载能力</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eastAsia="仿宋_GB2312" w:cs="仿宋_GB2312"/>
          <w:b w:val="0"/>
          <w:bCs/>
          <w:color w:val="auto"/>
          <w:spacing w:val="0"/>
          <w:kern w:val="21"/>
          <w:sz w:val="32"/>
          <w:szCs w:val="32"/>
        </w:rPr>
        <w:t>加快推进县城和重点镇建设发展，构建以县城为枢纽、小城镇为节点的县域经济体系。</w:t>
      </w:r>
      <w:r>
        <w:rPr>
          <w:rFonts w:hint="eastAsia" w:ascii="仿宋_GB2312" w:hAnsi="仿宋_GB2312"/>
          <w:color w:val="auto"/>
          <w:spacing w:val="0"/>
          <w:kern w:val="21"/>
          <w:sz w:val="32"/>
          <w:szCs w:val="32"/>
        </w:rPr>
        <w:t>深入实施县城城镇化补短板强弱项行动，推动市政公用设施提档升级、公共服务设施提标扩面、环境卫生设施提级扩能、产业发展设施提质增效，增强县城综合承载能力和治理能力。完善</w:t>
      </w:r>
      <w:r>
        <w:rPr>
          <w:rFonts w:hint="eastAsia" w:ascii="仿宋_GB2312" w:hAnsi="仿宋_GB2312"/>
          <w:color w:val="auto"/>
          <w:spacing w:val="0"/>
          <w:kern w:val="21"/>
          <w:sz w:val="32"/>
          <w:szCs w:val="32"/>
          <w:lang w:val="en-US" w:eastAsia="zh-CN"/>
        </w:rPr>
        <w:t>镇区</w:t>
      </w:r>
      <w:r>
        <w:rPr>
          <w:rFonts w:hint="eastAsia" w:ascii="仿宋_GB2312" w:hAnsi="仿宋_GB2312"/>
          <w:color w:val="auto"/>
          <w:spacing w:val="0"/>
          <w:kern w:val="21"/>
          <w:sz w:val="32"/>
          <w:szCs w:val="32"/>
        </w:rPr>
        <w:t>生产</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生活配套服务功能</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织牢织密水电路气讯暖等设施网络，</w:t>
      </w:r>
      <w:r>
        <w:rPr>
          <w:rFonts w:hint="eastAsia" w:ascii="仿宋_GB2312" w:hAnsi="仿宋_GB2312"/>
          <w:color w:val="auto"/>
          <w:spacing w:val="0"/>
          <w:kern w:val="21"/>
          <w:sz w:val="32"/>
          <w:szCs w:val="32"/>
          <w:lang w:val="en-US" w:eastAsia="zh-CN"/>
        </w:rPr>
        <w:t>优化商贸物流网络，</w:t>
      </w:r>
      <w:r>
        <w:rPr>
          <w:rFonts w:hint="eastAsia" w:ascii="仿宋_GB2312" w:hAnsi="仿宋_GB2312"/>
          <w:color w:val="auto"/>
          <w:spacing w:val="0"/>
          <w:kern w:val="21"/>
          <w:sz w:val="32"/>
          <w:szCs w:val="32"/>
        </w:rPr>
        <w:t>提升教育</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医疗</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养老</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文化等公共服务</w:t>
      </w:r>
      <w:r>
        <w:rPr>
          <w:rFonts w:hint="eastAsia" w:ascii="仿宋_GB2312" w:hAnsi="仿宋_GB2312"/>
          <w:color w:val="auto"/>
          <w:spacing w:val="0"/>
          <w:kern w:val="21"/>
          <w:sz w:val="32"/>
          <w:szCs w:val="32"/>
          <w:lang w:val="en-US" w:eastAsia="zh-CN"/>
        </w:rPr>
        <w:t>供给</w:t>
      </w:r>
      <w:r>
        <w:rPr>
          <w:rFonts w:hint="eastAsia" w:ascii="仿宋_GB2312" w:hAnsi="仿宋_GB2312"/>
          <w:color w:val="auto"/>
          <w:spacing w:val="0"/>
          <w:kern w:val="21"/>
          <w:sz w:val="32"/>
          <w:szCs w:val="32"/>
        </w:rPr>
        <w:t>品质。做好镇区净化</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美化</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绿</w:t>
      </w:r>
      <w:r>
        <w:rPr>
          <w:rFonts w:hint="eastAsia" w:ascii="仿宋_GB2312" w:hAnsi="仿宋_GB2312"/>
          <w:color w:val="auto"/>
          <w:spacing w:val="0"/>
          <w:kern w:val="21"/>
          <w:sz w:val="32"/>
          <w:szCs w:val="32"/>
          <w:lang w:val="en-US" w:eastAsia="zh-CN"/>
        </w:rPr>
        <w:t>化</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rPr>
        <w:t>亮化，增强人居环境的宜居性。实施基层治理创新工程，强化乡镇扩权赋能减负。加快培育一批工业重镇、农业大镇、商贸强镇和文旅名镇。</w:t>
      </w:r>
    </w:p>
    <w:tbl>
      <w:tblPr>
        <w:tblStyle w:val="16"/>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14:paraId="001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834" w:type="dxa"/>
            <w:vAlign w:val="center"/>
          </w:tcPr>
          <w:p w14:paraId="49AB5E39">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default"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lang w:val="en-US" w:eastAsia="zh-CN"/>
              </w:rPr>
              <w:t>专栏22 各县（市、区）产业发展重点</w:t>
            </w:r>
          </w:p>
        </w:tc>
      </w:tr>
      <w:tr w14:paraId="6B78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0" w:hRule="atLeast"/>
          <w:jc w:val="center"/>
        </w:trPr>
        <w:tc>
          <w:tcPr>
            <w:tcW w:w="8834" w:type="dxa"/>
            <w:vAlign w:val="center"/>
          </w:tcPr>
          <w:p w14:paraId="54BDC993">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子长市。</w:t>
            </w:r>
            <w:r>
              <w:rPr>
                <w:rFonts w:hint="eastAsia" w:ascii="宋体" w:hAnsi="宋体" w:eastAsia="宋体" w:cs="宋体"/>
                <w:color w:val="auto"/>
                <w:spacing w:val="0"/>
                <w:kern w:val="21"/>
                <w:sz w:val="22"/>
                <w:szCs w:val="22"/>
                <w:highlight w:val="none"/>
                <w:u w:val="none"/>
                <w:lang w:val="en-US" w:eastAsia="zh-CN"/>
              </w:rPr>
              <w:t>重点发展以优质配焦煤为主的煤油气产业，积极发展红色旅游产业，做优薯类产品、特色小杂粮、蚕桑为主的土特产。</w:t>
            </w:r>
          </w:p>
          <w:p w14:paraId="24993B20">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宝塔区。</w:t>
            </w:r>
            <w:r>
              <w:rPr>
                <w:rFonts w:hint="eastAsia" w:ascii="宋体" w:hAnsi="宋体" w:eastAsia="宋体" w:cs="宋体"/>
                <w:color w:val="auto"/>
                <w:spacing w:val="0"/>
                <w:kern w:val="21"/>
                <w:sz w:val="22"/>
                <w:szCs w:val="22"/>
                <w:highlight w:val="none"/>
                <w:u w:val="none"/>
                <w:lang w:val="en-US" w:eastAsia="zh-CN"/>
              </w:rPr>
              <w:t>重点发展红色文化旅游，积极发展现代商贸、能源化工、新材料，做优山地苹果、设施蔬菜为主的土特产。</w:t>
            </w:r>
          </w:p>
          <w:p w14:paraId="7EAC43E5">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安塞区。</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油气精细化工及装备制造产业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果畜菜现代循环农业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地椒羊肉、优选蔬菜</w:t>
            </w:r>
            <w:r>
              <w:rPr>
                <w:rFonts w:hint="eastAsia" w:ascii="宋体" w:hAnsi="宋体" w:eastAsia="宋体" w:cs="宋体"/>
                <w:color w:val="auto"/>
                <w:spacing w:val="0"/>
                <w:kern w:val="21"/>
                <w:sz w:val="22"/>
                <w:szCs w:val="22"/>
                <w:highlight w:val="none"/>
                <w:u w:val="none"/>
                <w:lang w:val="en-US" w:eastAsia="zh-CN"/>
              </w:rPr>
              <w:t>为主的土特产。</w:t>
            </w:r>
          </w:p>
          <w:p w14:paraId="10838BC4">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吴起县。</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油气精细化工及其配套产业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果畜产业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山地苹果、山羊肉</w:t>
            </w:r>
            <w:r>
              <w:rPr>
                <w:rFonts w:hint="eastAsia" w:ascii="宋体" w:hAnsi="宋体" w:eastAsia="宋体" w:cs="宋体"/>
                <w:color w:val="auto"/>
                <w:spacing w:val="0"/>
                <w:kern w:val="21"/>
                <w:sz w:val="22"/>
                <w:szCs w:val="22"/>
                <w:highlight w:val="none"/>
                <w:u w:val="none"/>
                <w:lang w:val="en-US" w:eastAsia="zh-CN"/>
              </w:rPr>
              <w:t>为主的土特产。</w:t>
            </w:r>
          </w:p>
          <w:p w14:paraId="344C88F6">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志丹县。</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以油气开采及精细化工为主的能</w:t>
            </w:r>
            <w:r>
              <w:rPr>
                <w:rFonts w:hint="eastAsia" w:ascii="宋体" w:hAnsi="宋体" w:eastAsia="宋体" w:cs="宋体"/>
                <w:color w:val="auto"/>
                <w:spacing w:val="0"/>
                <w:kern w:val="21"/>
                <w:sz w:val="22"/>
                <w:szCs w:val="22"/>
                <w:highlight w:val="none"/>
                <w:u w:val="none"/>
                <w:lang w:val="en-US" w:eastAsia="zh-CN"/>
              </w:rPr>
              <w:t>化产业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以山地苹果、现代生猪养殖为主的现代农业产业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做优小米为主的土特产。</w:t>
            </w:r>
          </w:p>
          <w:p w14:paraId="279A1D1C">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延川县。</w:t>
            </w:r>
            <w:r>
              <w:rPr>
                <w:rFonts w:hint="eastAsia" w:ascii="宋体" w:hAnsi="宋体" w:eastAsia="宋体" w:cs="宋体"/>
                <w:color w:val="auto"/>
                <w:spacing w:val="0"/>
                <w:kern w:val="21"/>
                <w:sz w:val="22"/>
                <w:szCs w:val="22"/>
                <w:highlight w:val="none"/>
                <w:u w:val="none"/>
              </w:rPr>
              <w:t>重点发展油气精细化工及其配套产业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红色和黄河文化旅游业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苹果、红枣</w:t>
            </w:r>
            <w:r>
              <w:rPr>
                <w:rFonts w:hint="eastAsia" w:ascii="宋体" w:hAnsi="宋体" w:eastAsia="宋体" w:cs="宋体"/>
                <w:color w:val="auto"/>
                <w:spacing w:val="0"/>
                <w:kern w:val="21"/>
                <w:sz w:val="22"/>
                <w:szCs w:val="22"/>
                <w:highlight w:val="none"/>
                <w:u w:val="none"/>
                <w:lang w:val="en-US" w:eastAsia="zh-CN"/>
              </w:rPr>
              <w:t>为主的土特产。</w:t>
            </w:r>
          </w:p>
          <w:p w14:paraId="6EFD6CA2">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延长县。</w:t>
            </w:r>
            <w:r>
              <w:rPr>
                <w:rFonts w:hint="eastAsia" w:ascii="宋体" w:hAnsi="宋体" w:eastAsia="宋体" w:cs="宋体"/>
                <w:color w:val="auto"/>
                <w:spacing w:val="0"/>
                <w:kern w:val="21"/>
                <w:sz w:val="22"/>
                <w:szCs w:val="22"/>
                <w:highlight w:val="none"/>
                <w:u w:val="none"/>
              </w:rPr>
              <w:t>重点发展能源化工及配套产业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苹果产业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红薯、西甜瓜</w:t>
            </w:r>
            <w:r>
              <w:rPr>
                <w:rFonts w:hint="eastAsia" w:ascii="宋体" w:hAnsi="宋体" w:eastAsia="宋体" w:cs="宋体"/>
                <w:color w:val="auto"/>
                <w:spacing w:val="0"/>
                <w:kern w:val="21"/>
                <w:sz w:val="22"/>
                <w:szCs w:val="22"/>
                <w:highlight w:val="none"/>
                <w:u w:val="none"/>
                <w:lang w:val="en-US" w:eastAsia="zh-CN"/>
              </w:rPr>
              <w:t>为主的土特产。</w:t>
            </w:r>
          </w:p>
          <w:p w14:paraId="3333C96D">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甘泉县。</w:t>
            </w:r>
            <w:r>
              <w:rPr>
                <w:rFonts w:hint="eastAsia" w:ascii="宋体" w:hAnsi="宋体" w:eastAsia="宋体" w:cs="宋体"/>
                <w:color w:val="auto"/>
                <w:spacing w:val="0"/>
                <w:kern w:val="21"/>
                <w:sz w:val="22"/>
                <w:szCs w:val="22"/>
                <w:highlight w:val="none"/>
                <w:u w:val="none"/>
              </w:rPr>
              <w:t>重点发展以豆制品为</w:t>
            </w:r>
            <w:r>
              <w:rPr>
                <w:rFonts w:hint="eastAsia" w:ascii="宋体" w:hAnsi="宋体" w:eastAsia="宋体" w:cs="宋体"/>
                <w:color w:val="auto"/>
                <w:spacing w:val="0"/>
                <w:kern w:val="21"/>
                <w:sz w:val="22"/>
                <w:szCs w:val="22"/>
                <w:highlight w:val="none"/>
                <w:u w:val="none"/>
                <w:lang w:val="en-US" w:eastAsia="zh-CN"/>
              </w:rPr>
              <w:t>主</w:t>
            </w:r>
            <w:r>
              <w:rPr>
                <w:rFonts w:hint="eastAsia" w:ascii="宋体" w:hAnsi="宋体" w:eastAsia="宋体" w:cs="宋体"/>
                <w:color w:val="auto"/>
                <w:spacing w:val="0"/>
                <w:kern w:val="21"/>
                <w:sz w:val="22"/>
                <w:szCs w:val="22"/>
                <w:highlight w:val="none"/>
                <w:u w:val="none"/>
              </w:rPr>
              <w:t>的农副食品加工产业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生态康养旅游业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甘泉豆腐干</w:t>
            </w:r>
            <w:r>
              <w:rPr>
                <w:rFonts w:hint="eastAsia" w:ascii="宋体" w:hAnsi="宋体" w:eastAsia="宋体" w:cs="宋体"/>
                <w:color w:val="auto"/>
                <w:spacing w:val="0"/>
                <w:kern w:val="21"/>
                <w:sz w:val="22"/>
                <w:szCs w:val="22"/>
                <w:highlight w:val="none"/>
                <w:u w:val="none"/>
                <w:lang w:val="en-US" w:eastAsia="zh-CN"/>
              </w:rPr>
              <w:t>为主的土特产。</w:t>
            </w:r>
          </w:p>
          <w:p w14:paraId="29E120A8">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富县。</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煤油气电、化工及其上下游关联</w:t>
            </w:r>
            <w:r>
              <w:rPr>
                <w:rFonts w:hint="eastAsia" w:ascii="宋体" w:hAnsi="宋体" w:eastAsia="宋体" w:cs="宋体"/>
                <w:color w:val="auto"/>
                <w:spacing w:val="0"/>
                <w:kern w:val="21"/>
                <w:sz w:val="22"/>
                <w:szCs w:val="22"/>
                <w:highlight w:val="none"/>
                <w:u w:val="none"/>
                <w:lang w:val="en-US" w:eastAsia="zh-CN"/>
              </w:rPr>
              <w:t>产业，积极发展</w:t>
            </w:r>
            <w:r>
              <w:rPr>
                <w:rFonts w:hint="eastAsia" w:ascii="宋体" w:hAnsi="宋体" w:eastAsia="宋体" w:cs="宋体"/>
                <w:color w:val="auto"/>
                <w:spacing w:val="0"/>
                <w:kern w:val="21"/>
                <w:sz w:val="22"/>
                <w:szCs w:val="22"/>
                <w:highlight w:val="none"/>
                <w:u w:val="none"/>
              </w:rPr>
              <w:t>以苹果产业为主的现代高效农业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直罗贡米、鄜州蜂蜜</w:t>
            </w:r>
            <w:r>
              <w:rPr>
                <w:rFonts w:hint="eastAsia" w:ascii="宋体" w:hAnsi="宋体" w:eastAsia="宋体" w:cs="宋体"/>
                <w:color w:val="auto"/>
                <w:spacing w:val="0"/>
                <w:kern w:val="21"/>
                <w:sz w:val="22"/>
                <w:szCs w:val="22"/>
                <w:highlight w:val="none"/>
                <w:u w:val="none"/>
                <w:lang w:val="en-US" w:eastAsia="zh-CN"/>
              </w:rPr>
              <w:t>为主的土特产。</w:t>
            </w:r>
          </w:p>
          <w:p w14:paraId="31A80E06">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宜川县。</w:t>
            </w:r>
            <w:r>
              <w:rPr>
                <w:rFonts w:hint="eastAsia" w:ascii="宋体" w:hAnsi="宋体" w:eastAsia="宋体" w:cs="宋体"/>
                <w:color w:val="auto"/>
                <w:spacing w:val="0"/>
                <w:kern w:val="21"/>
                <w:sz w:val="22"/>
                <w:szCs w:val="22"/>
                <w:highlight w:val="none"/>
                <w:u w:val="none"/>
              </w:rPr>
              <w:t>重点发展黄河文化旅游业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天然气开发利用</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做优果业、</w:t>
            </w:r>
            <w:r>
              <w:rPr>
                <w:rFonts w:hint="eastAsia" w:ascii="宋体" w:hAnsi="宋体" w:eastAsia="宋体" w:cs="宋体"/>
                <w:color w:val="auto"/>
                <w:spacing w:val="0"/>
                <w:kern w:val="21"/>
                <w:sz w:val="22"/>
                <w:szCs w:val="22"/>
                <w:highlight w:val="none"/>
                <w:u w:val="none"/>
              </w:rPr>
              <w:t>花椒、稠酒、食用菌</w:t>
            </w:r>
            <w:r>
              <w:rPr>
                <w:rFonts w:hint="eastAsia" w:ascii="宋体" w:hAnsi="宋体" w:eastAsia="宋体" w:cs="宋体"/>
                <w:color w:val="auto"/>
                <w:spacing w:val="0"/>
                <w:kern w:val="21"/>
                <w:sz w:val="22"/>
                <w:szCs w:val="22"/>
                <w:highlight w:val="none"/>
                <w:u w:val="none"/>
                <w:lang w:val="en-US" w:eastAsia="zh-CN"/>
              </w:rPr>
              <w:t>为主的土特产。</w:t>
            </w:r>
          </w:p>
          <w:p w14:paraId="5264A38E">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洛川县。</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洛川苹果产业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石油化工产业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做优洛川苹果品牌。</w:t>
            </w:r>
          </w:p>
          <w:p w14:paraId="47F1C1BE">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黄陵县。</w:t>
            </w:r>
            <w:r>
              <w:rPr>
                <w:rFonts w:hint="eastAsia" w:ascii="宋体" w:hAnsi="宋体" w:eastAsia="宋体" w:cs="宋体"/>
                <w:color w:val="auto"/>
                <w:spacing w:val="0"/>
                <w:kern w:val="21"/>
                <w:sz w:val="22"/>
                <w:szCs w:val="22"/>
                <w:highlight w:val="none"/>
                <w:u w:val="none"/>
              </w:rPr>
              <w:t>重点发展黄帝文化旅游业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硅基新材料、高端煤电煤化工产</w:t>
            </w:r>
            <w:r>
              <w:rPr>
                <w:rFonts w:hint="eastAsia" w:ascii="宋体" w:hAnsi="宋体" w:eastAsia="宋体" w:cs="宋体"/>
                <w:color w:val="auto"/>
                <w:spacing w:val="0"/>
                <w:kern w:val="21"/>
                <w:sz w:val="22"/>
                <w:szCs w:val="22"/>
                <w:highlight w:val="none"/>
                <w:u w:val="none"/>
                <w:lang w:val="en-US" w:eastAsia="zh-CN"/>
              </w:rPr>
              <w:t>业，做优</w:t>
            </w:r>
            <w:r>
              <w:rPr>
                <w:rFonts w:hint="eastAsia" w:ascii="宋体" w:hAnsi="宋体" w:eastAsia="宋体" w:cs="宋体"/>
                <w:color w:val="auto"/>
                <w:spacing w:val="0"/>
                <w:kern w:val="21"/>
                <w:sz w:val="22"/>
                <w:szCs w:val="22"/>
                <w:highlight w:val="none"/>
                <w:u w:val="none"/>
              </w:rPr>
              <w:t>黄陵翡翠梨</w:t>
            </w:r>
            <w:r>
              <w:rPr>
                <w:rFonts w:hint="eastAsia" w:ascii="宋体" w:hAnsi="宋体" w:eastAsia="宋体" w:cs="宋体"/>
                <w:color w:val="auto"/>
                <w:spacing w:val="0"/>
                <w:kern w:val="21"/>
                <w:sz w:val="22"/>
                <w:szCs w:val="22"/>
                <w:highlight w:val="none"/>
                <w:u w:val="none"/>
                <w:lang w:val="en-US" w:eastAsia="zh-CN"/>
              </w:rPr>
              <w:t>为主的土特产。</w:t>
            </w:r>
          </w:p>
          <w:p w14:paraId="645E8AE4">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黄龙县。</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森林旅居康养</w:t>
            </w:r>
            <w:r>
              <w:rPr>
                <w:rFonts w:hint="eastAsia" w:ascii="宋体" w:hAnsi="宋体" w:eastAsia="宋体" w:cs="宋体"/>
                <w:color w:val="auto"/>
                <w:spacing w:val="0"/>
                <w:kern w:val="21"/>
                <w:sz w:val="22"/>
                <w:szCs w:val="22"/>
                <w:highlight w:val="none"/>
                <w:u w:val="none"/>
                <w:lang w:val="en-US" w:eastAsia="zh-CN"/>
              </w:rPr>
              <w:t>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以风</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氢为主的新能源产业</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做优</w:t>
            </w:r>
            <w:r>
              <w:rPr>
                <w:rFonts w:hint="eastAsia" w:ascii="宋体" w:hAnsi="宋体" w:eastAsia="宋体" w:cs="宋体"/>
                <w:color w:val="auto"/>
                <w:spacing w:val="0"/>
                <w:kern w:val="21"/>
                <w:sz w:val="22"/>
                <w:szCs w:val="22"/>
                <w:highlight w:val="none"/>
                <w:u w:val="none"/>
              </w:rPr>
              <w:t>黄龙中蜂、中药材</w:t>
            </w:r>
            <w:r>
              <w:rPr>
                <w:rFonts w:hint="eastAsia" w:ascii="宋体" w:hAnsi="宋体" w:eastAsia="宋体" w:cs="宋体"/>
                <w:color w:val="auto"/>
                <w:spacing w:val="0"/>
                <w:kern w:val="21"/>
                <w:sz w:val="22"/>
                <w:szCs w:val="22"/>
                <w:highlight w:val="none"/>
                <w:u w:val="none"/>
                <w:lang w:val="en-US" w:eastAsia="zh-CN"/>
              </w:rPr>
              <w:t>为主的土特产。</w:t>
            </w:r>
          </w:p>
          <w:p w14:paraId="137D3D66">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延安高新区。</w:t>
            </w:r>
            <w:r>
              <w:rPr>
                <w:rFonts w:hint="eastAsia" w:ascii="宋体" w:hAnsi="宋体" w:eastAsia="宋体" w:cs="宋体"/>
                <w:color w:val="auto"/>
                <w:spacing w:val="0"/>
                <w:kern w:val="21"/>
                <w:sz w:val="22"/>
                <w:szCs w:val="22"/>
                <w:highlight w:val="none"/>
                <w:u w:val="none"/>
              </w:rPr>
              <w:t>重点发展能源科技，</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文创旅创科创</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数字经济、安全应急、现代物流</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晋级国家级高新技术产业开发区</w:t>
            </w:r>
            <w:r>
              <w:rPr>
                <w:rFonts w:hint="eastAsia" w:ascii="宋体" w:hAnsi="宋体" w:eastAsia="宋体" w:cs="宋体"/>
                <w:color w:val="auto"/>
                <w:spacing w:val="0"/>
                <w:kern w:val="21"/>
                <w:sz w:val="22"/>
                <w:szCs w:val="22"/>
                <w:highlight w:val="none"/>
                <w:u w:val="none"/>
              </w:rPr>
              <w:t>。</w:t>
            </w:r>
          </w:p>
          <w:p w14:paraId="7DEFCA7E">
            <w:pPr>
              <w:keepNext w:val="0"/>
              <w:keepLines w:val="0"/>
              <w:pageBreakBefore w:val="0"/>
              <w:widowControl w:val="0"/>
              <w:kinsoku/>
              <w:wordWrap/>
              <w:overflowPunct w:val="0"/>
              <w:topLinePunct w:val="0"/>
              <w:autoSpaceDE/>
              <w:autoSpaceDN/>
              <w:bidi w:val="0"/>
              <w:adjustRightInd/>
              <w:snapToGrid/>
              <w:spacing w:afterAutospacing="0" w:line="360" w:lineRule="exact"/>
              <w:ind w:left="0" w:firstLine="562"/>
              <w:jc w:val="both"/>
              <w:textAlignment w:val="auto"/>
              <w:rPr>
                <w:rFonts w:hint="eastAsia" w:ascii="宋体" w:hAnsi="宋体" w:eastAsia="宋体" w:cs="宋体"/>
                <w:bCs/>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延安新区。</w:t>
            </w:r>
            <w:r>
              <w:rPr>
                <w:rFonts w:hint="eastAsia" w:ascii="宋体" w:hAnsi="宋体" w:eastAsia="宋体" w:cs="宋体"/>
                <w:color w:val="auto"/>
                <w:spacing w:val="0"/>
                <w:kern w:val="21"/>
                <w:sz w:val="22"/>
                <w:szCs w:val="22"/>
                <w:highlight w:val="none"/>
                <w:u w:val="none"/>
                <w:lang w:val="en-US" w:eastAsia="zh-CN"/>
              </w:rPr>
              <w:t>重点发展</w:t>
            </w:r>
            <w:r>
              <w:rPr>
                <w:rFonts w:hint="eastAsia" w:ascii="宋体" w:hAnsi="宋体" w:eastAsia="宋体" w:cs="宋体"/>
                <w:color w:val="auto"/>
                <w:spacing w:val="0"/>
                <w:kern w:val="21"/>
                <w:sz w:val="22"/>
                <w:szCs w:val="22"/>
                <w:highlight w:val="none"/>
                <w:u w:val="none"/>
              </w:rPr>
              <w:t>商贸</w:t>
            </w:r>
            <w:r>
              <w:rPr>
                <w:rFonts w:hint="eastAsia" w:ascii="宋体" w:hAnsi="宋体" w:eastAsia="宋体" w:cs="宋体"/>
                <w:color w:val="auto"/>
                <w:spacing w:val="0"/>
                <w:kern w:val="21"/>
                <w:sz w:val="22"/>
                <w:szCs w:val="22"/>
                <w:highlight w:val="none"/>
                <w:u w:val="none"/>
                <w:lang w:val="en-US" w:eastAsia="zh-CN"/>
              </w:rPr>
              <w:t>服务</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积极发展</w:t>
            </w:r>
            <w:r>
              <w:rPr>
                <w:rFonts w:hint="eastAsia" w:ascii="宋体" w:hAnsi="宋体" w:eastAsia="宋体" w:cs="宋体"/>
                <w:color w:val="auto"/>
                <w:spacing w:val="0"/>
                <w:kern w:val="21"/>
                <w:sz w:val="22"/>
                <w:szCs w:val="22"/>
                <w:highlight w:val="none"/>
                <w:u w:val="none"/>
              </w:rPr>
              <w:t>数字经济</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赛事经济</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打造宜居、宜业、宜游的现代化生态新城。</w:t>
            </w:r>
          </w:p>
        </w:tc>
      </w:tr>
    </w:tbl>
    <w:p w14:paraId="5AD9085C">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ascii="仿宋_GB2312" w:hAnsi="仿宋_GB2312"/>
          <w:color w:val="auto"/>
          <w:spacing w:val="0"/>
          <w:kern w:val="21"/>
          <w:sz w:val="32"/>
          <w:szCs w:val="32"/>
        </w:rPr>
      </w:pPr>
      <w:bookmarkStart w:id="92" w:name="_Toc23430"/>
      <w:bookmarkStart w:id="93" w:name="_Toc27905"/>
      <w:bookmarkStart w:id="94" w:name="_Toc23295"/>
    </w:p>
    <w:p w14:paraId="1E808D41">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ascii="仿宋_GB2312" w:hAnsi="仿宋_GB2312"/>
          <w:color w:val="auto"/>
          <w:spacing w:val="0"/>
          <w:kern w:val="21"/>
          <w:sz w:val="32"/>
          <w:szCs w:val="32"/>
        </w:rPr>
      </w:pPr>
    </w:p>
    <w:p w14:paraId="242AD432">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六</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推动乡村全面振兴</w:t>
      </w:r>
      <w:bookmarkEnd w:id="92"/>
      <w:bookmarkEnd w:id="93"/>
      <w:bookmarkEnd w:id="94"/>
    </w:p>
    <w:p w14:paraId="6E6C63A4">
      <w:pPr>
        <w:keepNext w:val="0"/>
        <w:keepLines w:val="0"/>
        <w:pageBreakBefore w:val="0"/>
        <w:widowControl w:val="0"/>
        <w:kinsoku/>
        <w:wordWrap/>
        <w:overflowPunct w:val="0"/>
        <w:topLinePunct w:val="0"/>
        <w:autoSpaceDE/>
        <w:autoSpaceDN/>
        <w:bidi w:val="0"/>
        <w:adjustRightInd/>
        <w:snapToGrid/>
        <w:spacing w:afterAutospacing="0"/>
        <w:ind w:left="0"/>
        <w:textAlignment w:val="auto"/>
        <w:rPr>
          <w:rFonts w:hint="eastAsia" w:ascii="楷体_GB2312" w:hAnsi="楷体_GB2312" w:eastAsia="楷体_GB2312" w:cs="楷体_GB2312"/>
          <w:b w:val="0"/>
          <w:bCs w:val="0"/>
          <w:color w:val="auto"/>
          <w:spacing w:val="0"/>
          <w:kern w:val="21"/>
          <w:sz w:val="32"/>
          <w:szCs w:val="32"/>
        </w:rPr>
      </w:pPr>
    </w:p>
    <w:p w14:paraId="1C57CC7A">
      <w:pPr>
        <w:keepNext w:val="0"/>
        <w:keepLines w:val="0"/>
        <w:pageBreakBefore w:val="0"/>
        <w:widowControl w:val="0"/>
        <w:kinsoku/>
        <w:wordWrap/>
        <w:overflowPunct w:val="0"/>
        <w:topLinePunct w:val="0"/>
        <w:autoSpaceDE/>
        <w:autoSpaceDN/>
        <w:bidi w:val="0"/>
        <w:adjustRightInd/>
        <w:snapToGrid/>
        <w:spacing w:afterAutospacing="0"/>
        <w:ind w:left="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建设乡村全面振兴片区。</w:t>
      </w:r>
      <w:r>
        <w:rPr>
          <w:rFonts w:hint="eastAsia" w:ascii="仿宋_GB2312" w:hAnsi="仿宋_GB2312" w:eastAsia="仿宋_GB2312" w:cs="仿宋_GB2312"/>
          <w:b w:val="0"/>
          <w:bCs/>
          <w:color w:val="auto"/>
          <w:spacing w:val="0"/>
          <w:kern w:val="21"/>
          <w:sz w:val="32"/>
          <w:szCs w:val="32"/>
        </w:rPr>
        <w:t>分类有序、片区化推进乡村振兴，持续推进“千万工程”重点村、示范村建设。</w:t>
      </w:r>
      <w:r>
        <w:rPr>
          <w:rFonts w:hint="eastAsia" w:ascii="仿宋_GB2312" w:hAnsi="仿宋_GB2312" w:cs="仿宋_GB2312"/>
          <w:color w:val="auto"/>
          <w:spacing w:val="0"/>
          <w:kern w:val="21"/>
          <w:sz w:val="32"/>
          <w:szCs w:val="32"/>
        </w:rPr>
        <w:t>聚焦粮食安全、产业振兴、生态振兴、文化振兴、农村改革、乡村治理、城乡融合等主题，</w:t>
      </w:r>
      <w:r>
        <w:rPr>
          <w:rFonts w:hint="eastAsia" w:ascii="仿宋_GB2312" w:hAnsi="仿宋_GB2312" w:cs="仿宋_GB2312"/>
          <w:color w:val="auto"/>
          <w:spacing w:val="0"/>
          <w:kern w:val="21"/>
          <w:sz w:val="32"/>
          <w:szCs w:val="32"/>
          <w:lang w:val="en-US" w:eastAsia="zh-CN"/>
        </w:rPr>
        <w:t>按照</w:t>
      </w:r>
      <w:r>
        <w:rPr>
          <w:rFonts w:hint="eastAsia" w:ascii="仿宋_GB2312" w:hAnsi="仿宋_GB2312" w:cs="仿宋_GB2312"/>
          <w:color w:val="auto"/>
          <w:spacing w:val="0"/>
          <w:kern w:val="21"/>
          <w:sz w:val="32"/>
          <w:szCs w:val="32"/>
        </w:rPr>
        <w:t>地域相邻、产业相近、优势互补，以片区为单元激活产业联动、生态共护、治理协同的整体效能，打造乡村</w:t>
      </w:r>
      <w:r>
        <w:rPr>
          <w:rFonts w:hint="eastAsia" w:ascii="仿宋_GB2312" w:hAnsi="仿宋_GB2312" w:cs="仿宋_GB2312"/>
          <w:color w:val="auto"/>
          <w:spacing w:val="0"/>
          <w:kern w:val="21"/>
          <w:sz w:val="32"/>
          <w:szCs w:val="32"/>
          <w:lang w:val="en-US" w:eastAsia="zh-CN"/>
        </w:rPr>
        <w:t>全面</w:t>
      </w:r>
      <w:r>
        <w:rPr>
          <w:rFonts w:hint="eastAsia" w:ascii="仿宋_GB2312" w:hAnsi="仿宋_GB2312" w:cs="仿宋_GB2312"/>
          <w:color w:val="auto"/>
          <w:spacing w:val="0"/>
          <w:kern w:val="21"/>
          <w:sz w:val="32"/>
          <w:szCs w:val="32"/>
        </w:rPr>
        <w:t>振兴十大片区。</w:t>
      </w:r>
      <w:r>
        <w:rPr>
          <w:rFonts w:hint="eastAsia" w:ascii="仿宋_GB2312" w:hAnsi="仿宋_GB2312"/>
          <w:color w:val="auto"/>
          <w:spacing w:val="0"/>
          <w:kern w:val="21"/>
          <w:sz w:val="32"/>
          <w:szCs w:val="32"/>
        </w:rPr>
        <w:t>到“十五五”末，</w:t>
      </w:r>
      <w:r>
        <w:rPr>
          <w:rFonts w:hint="eastAsia" w:ascii="仿宋_GB2312" w:hAnsi="仿宋_GB2312"/>
          <w:color w:val="auto"/>
          <w:spacing w:val="0"/>
          <w:kern w:val="21"/>
          <w:sz w:val="32"/>
          <w:szCs w:val="32"/>
          <w:lang w:val="en-US" w:eastAsia="zh-CN"/>
        </w:rPr>
        <w:t>每个</w:t>
      </w:r>
      <w:r>
        <w:rPr>
          <w:rFonts w:hint="eastAsia" w:ascii="仿宋_GB2312" w:hAnsi="仿宋_GB2312"/>
          <w:color w:val="auto"/>
          <w:spacing w:val="0"/>
          <w:kern w:val="21"/>
          <w:sz w:val="32"/>
          <w:szCs w:val="32"/>
        </w:rPr>
        <w:t>片区</w:t>
      </w:r>
      <w:r>
        <w:rPr>
          <w:rFonts w:hint="eastAsia" w:ascii="仿宋_GB2312" w:hAnsi="仿宋_GB2312"/>
          <w:color w:val="auto"/>
          <w:spacing w:val="0"/>
          <w:kern w:val="21"/>
          <w:sz w:val="32"/>
          <w:szCs w:val="32"/>
          <w:lang w:val="en-US" w:eastAsia="zh-CN"/>
        </w:rPr>
        <w:t>农业</w:t>
      </w:r>
      <w:r>
        <w:rPr>
          <w:rFonts w:hint="eastAsia" w:ascii="仿宋_GB2312" w:hAnsi="仿宋_GB2312"/>
          <w:color w:val="auto"/>
          <w:spacing w:val="0"/>
          <w:kern w:val="21"/>
          <w:sz w:val="32"/>
          <w:szCs w:val="32"/>
        </w:rPr>
        <w:t>综合产值</w:t>
      </w:r>
      <w:r>
        <w:rPr>
          <w:rFonts w:hint="eastAsia" w:ascii="仿宋_GB2312" w:hAnsi="仿宋_GB2312"/>
          <w:color w:val="auto"/>
          <w:spacing w:val="0"/>
          <w:kern w:val="21"/>
          <w:sz w:val="32"/>
          <w:szCs w:val="32"/>
          <w:lang w:val="en-US" w:eastAsia="zh-CN"/>
        </w:rPr>
        <w:t>达到2</w:t>
      </w:r>
      <w:r>
        <w:rPr>
          <w:rFonts w:hint="eastAsia" w:ascii="仿宋_GB2312" w:hAnsi="仿宋_GB2312"/>
          <w:color w:val="auto"/>
          <w:spacing w:val="0"/>
          <w:kern w:val="21"/>
          <w:sz w:val="32"/>
          <w:szCs w:val="32"/>
        </w:rPr>
        <w:t>0亿元</w:t>
      </w:r>
      <w:r>
        <w:rPr>
          <w:rFonts w:hint="eastAsia" w:ascii="仿宋_GB2312" w:hAnsi="仿宋_GB2312"/>
          <w:color w:val="auto"/>
          <w:spacing w:val="0"/>
          <w:kern w:val="21"/>
          <w:sz w:val="32"/>
          <w:szCs w:val="32"/>
          <w:lang w:val="en-US" w:eastAsia="zh-CN"/>
        </w:rPr>
        <w:t>以上</w:t>
      </w:r>
      <w:r>
        <w:rPr>
          <w:rFonts w:hint="eastAsia" w:ascii="仿宋_GB2312" w:hAnsi="仿宋_GB2312"/>
          <w:color w:val="auto"/>
          <w:spacing w:val="0"/>
          <w:kern w:val="21"/>
          <w:sz w:val="32"/>
          <w:szCs w:val="32"/>
        </w:rPr>
        <w:t>，培育10亿元以上重点镇10个以上。</w:t>
      </w:r>
    </w:p>
    <w:p w14:paraId="3E9E50DC">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rPr>
      </w:pPr>
    </w:p>
    <w:tbl>
      <w:tblPr>
        <w:tblStyle w:val="17"/>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4BCB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666" w:type="dxa"/>
            <w:vAlign w:val="center"/>
          </w:tcPr>
          <w:p w14:paraId="037FB38A">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lang w:val="en-US" w:eastAsia="zh-CN"/>
              </w:rPr>
              <w:t>专栏23 乡村全面振兴十大片区</w:t>
            </w:r>
          </w:p>
        </w:tc>
      </w:tr>
      <w:tr w14:paraId="0A93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8666" w:type="dxa"/>
          </w:tcPr>
          <w:p w14:paraId="75A0A0CE">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“涧地生金·塞上粮仓”片区。</w:t>
            </w:r>
            <w:r>
              <w:rPr>
                <w:rFonts w:hint="eastAsia" w:ascii="宋体" w:hAnsi="宋体" w:eastAsia="宋体" w:cs="宋体"/>
                <w:color w:val="auto"/>
                <w:spacing w:val="0"/>
                <w:kern w:val="21"/>
                <w:sz w:val="22"/>
                <w:szCs w:val="22"/>
                <w:highlight w:val="none"/>
                <w:u w:val="none"/>
              </w:rPr>
              <w:t>以周湾、长城为核心区，以粮食、蔬菜为重点产业，以粮食安全为主题，以“玉米提单产、蔬菜育集群、节水强支撑、循环促低碳、贸易增价值”为主线，统筹整合涧地资源，着力打造高效旱作节水农业示范区、玉米绿色高产高效引领区、粮食生产加工贸易集聚区和生态循环经济先行区。</w:t>
            </w:r>
          </w:p>
          <w:p w14:paraId="79BE7A20">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“双宁合璧·改革兴村强镇”片区。</w:t>
            </w:r>
            <w:r>
              <w:rPr>
                <w:rFonts w:hint="eastAsia" w:ascii="宋体" w:hAnsi="宋体" w:eastAsia="宋体" w:cs="宋体"/>
                <w:color w:val="auto"/>
                <w:spacing w:val="0"/>
                <w:kern w:val="21"/>
                <w:sz w:val="22"/>
                <w:szCs w:val="22"/>
                <w:highlight w:val="none"/>
                <w:u w:val="none"/>
              </w:rPr>
              <w:t>以顺宁、永宁、双河为核心区，以设施瓜菜、苹果、特色食品为重点产业，以农村改革为主题，通过“三镇联动、政策集成、模式创新、品牌引领”，构建“集体经济引领+农事服务支撑+三产融合驱动”的现代化乡村产业发展体系，打造乡村振兴改革先锋区、产业高质量发展样板区和农文旅融合引领区。</w:t>
            </w:r>
          </w:p>
          <w:p w14:paraId="7D3EC79E">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“数智赋能乡村治理”片区。</w:t>
            </w:r>
            <w:r>
              <w:rPr>
                <w:rFonts w:hint="eastAsia" w:ascii="宋体" w:hAnsi="宋体" w:eastAsia="宋体" w:cs="宋体"/>
                <w:color w:val="auto"/>
                <w:spacing w:val="0"/>
                <w:kern w:val="21"/>
                <w:sz w:val="22"/>
                <w:szCs w:val="22"/>
                <w:highlight w:val="none"/>
                <w:u w:val="none"/>
              </w:rPr>
              <w:t>以杨家园则、瓦窑堡、安定为核心区，以设施农业、养殖业为重点产业，以智慧农业和乡村治理为主题，推动乡村治理数字化与农业产业智慧化深度融合，构建“平台共建、数据共享、产业共兴、服务共优”的发展格局，打造数智乡村治理标杆区、智慧农业发展示范区和数智人才培育集聚区。</w:t>
            </w:r>
          </w:p>
          <w:p w14:paraId="32C5BAD7">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“城乡融合百里走廊”片区。</w:t>
            </w:r>
            <w:r>
              <w:rPr>
                <w:rFonts w:hint="eastAsia" w:ascii="宋体" w:hAnsi="宋体" w:eastAsia="宋体" w:cs="宋体"/>
                <w:color w:val="auto"/>
                <w:spacing w:val="0"/>
                <w:kern w:val="21"/>
                <w:sz w:val="22"/>
                <w:szCs w:val="22"/>
                <w:highlight w:val="none"/>
                <w:u w:val="none"/>
              </w:rPr>
              <w:t>以河庄坪、沿河湾、冯庄为核心区，统筹区位、产业、人文等资源要素，以苹果、设施农业、特色食品农产品加工、休闲农业为重点，以城乡融合发展为主题，建设万亩山地苹果基地、千亩高效设施农业基地、特色食品产业基地、农业科技成果集成转化基地、和美乡村百里长廊，打造延安近郊产业融合示范区、红色研学引领区、和美乡村样板区。</w:t>
            </w:r>
          </w:p>
          <w:p w14:paraId="680C6FEF">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“农耕传承·古韵新村”片区。</w:t>
            </w:r>
            <w:r>
              <w:rPr>
                <w:rFonts w:hint="eastAsia" w:ascii="宋体" w:hAnsi="宋体" w:eastAsia="宋体" w:cs="宋体"/>
                <w:color w:val="auto"/>
                <w:spacing w:val="0"/>
                <w:kern w:val="21"/>
                <w:sz w:val="22"/>
                <w:szCs w:val="22"/>
                <w:highlight w:val="none"/>
                <w:u w:val="none"/>
              </w:rPr>
              <w:t>以文安驿、关庄、贾家坪为核心区，以设施农业、养殖业、休闲农业为重点产业，以乡村文化振兴为主题，以农文旅深度融合为主线，以古村落活化利用和影视基地建设为突破口，统筹推进现代农业提质增效、乡村文脉传承创新、乡村治理善治善为，打造陕北黄土高原农耕文明核心区、民俗文化传承体验区、农文旅融合先行区。</w:t>
            </w:r>
          </w:p>
          <w:p w14:paraId="3332886F">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“醉美黄河九曲湾”片区。</w:t>
            </w:r>
            <w:r>
              <w:rPr>
                <w:rFonts w:hint="eastAsia" w:ascii="宋体" w:hAnsi="宋体" w:eastAsia="宋体" w:cs="宋体"/>
                <w:color w:val="auto"/>
                <w:spacing w:val="0"/>
                <w:kern w:val="21"/>
                <w:sz w:val="22"/>
                <w:szCs w:val="22"/>
                <w:highlight w:val="none"/>
                <w:u w:val="none"/>
              </w:rPr>
              <w:t>以云岩、壶口、七里村为核心区，以苹果、乡村旅游为重点产业，以黄河流域生态保护和高质量发展为主题，统筹</w:t>
            </w:r>
            <w:r>
              <w:rPr>
                <w:rFonts w:hint="eastAsia" w:ascii="宋体" w:hAnsi="宋体" w:eastAsia="宋体" w:cs="宋体"/>
                <w:color w:val="auto"/>
                <w:spacing w:val="0"/>
                <w:kern w:val="21"/>
                <w:sz w:val="22"/>
                <w:szCs w:val="22"/>
                <w:highlight w:val="none"/>
                <w:u w:val="none"/>
                <w:lang w:val="en-US" w:eastAsia="zh-CN"/>
              </w:rPr>
              <w:t>生态保护、产业发展、民生改善，构建“生态保护筑牢基地、特色产业带动增收、三产融合激发活力、全域协同共促振兴”发展体系，打造黄河流域生态保护与绿色发展先行区、农文旅融合发展核心区、跨区域协同乡村振兴改革创新试验区。</w:t>
            </w:r>
          </w:p>
          <w:p w14:paraId="343D5A72">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“原味甘泉·加工富农”片区。</w:t>
            </w:r>
            <w:r>
              <w:rPr>
                <w:rFonts w:hint="eastAsia" w:ascii="宋体" w:hAnsi="宋体" w:eastAsia="宋体" w:cs="宋体"/>
                <w:color w:val="auto"/>
                <w:spacing w:val="0"/>
                <w:kern w:val="21"/>
                <w:sz w:val="22"/>
                <w:szCs w:val="22"/>
                <w:highlight w:val="none"/>
                <w:u w:val="none"/>
              </w:rPr>
              <w:t>以甘泉县道镇、劳山乡为核心区，以特色食品和蔬菜为重点产业，以乡村产业融合发展为主题，聚焦农畜产品加工、农产品仓储物流、设施农业与循环经济四大板块，推动各领域资源互补、业态融合，实现种养、加工、文旅产业联动增长，打造农副食品精深加工产业高地和乡村产业融合示范样板。</w:t>
            </w:r>
          </w:p>
          <w:p w14:paraId="751A1967">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“水润子午·禾香四季”片区。</w:t>
            </w:r>
            <w:r>
              <w:rPr>
                <w:rFonts w:hint="eastAsia" w:ascii="宋体" w:hAnsi="宋体" w:eastAsia="宋体" w:cs="宋体"/>
                <w:color w:val="auto"/>
                <w:spacing w:val="0"/>
                <w:kern w:val="21"/>
                <w:sz w:val="22"/>
                <w:szCs w:val="22"/>
                <w:highlight w:val="none"/>
                <w:u w:val="none"/>
              </w:rPr>
              <w:t>以张家湾、直罗、张村驿为核心区，以粮食安全和农文旅融合为主题，重点发展粮食、特色养殖、林下经济产业，推动水稻种植、特色养殖、农产品加工及休闲农业联动发展，打造粮食产能提升引领区、农文旅融合发展示范区、延安林下经济特色样板区。</w:t>
            </w:r>
          </w:p>
          <w:p w14:paraId="37FA7931">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“新质生产力引领苹果高质量发展”片区</w:t>
            </w:r>
            <w:r>
              <w:rPr>
                <w:rFonts w:hint="eastAsia" w:ascii="宋体" w:hAnsi="宋体" w:eastAsia="宋体" w:cs="宋体"/>
                <w:color w:val="auto"/>
                <w:spacing w:val="0"/>
                <w:kern w:val="21"/>
                <w:sz w:val="22"/>
                <w:szCs w:val="22"/>
                <w:highlight w:val="none"/>
                <w:u w:val="none"/>
              </w:rPr>
              <w:t>。以羊泉、凤栖、老庙、隆坊、阿党为核心区，以新质生产力赋能为主题，催动技术革命性突破，要素创新性配置，产业深度转型升级，聚力打造“机械化赋能、智能化引领、绿色化支撑、品牌化增值”的现代苹果产业体系，创建黄陵国家苹果全程机械化示范区、洛川省级农业高新技术示范区，打造国家苹果全程机械化示范标杆、苹果高新技术转化高地、苹果“碳标签”“碳足迹”试验区。</w:t>
            </w:r>
          </w:p>
          <w:p w14:paraId="078542F9">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textAlignment w:val="auto"/>
              <w:rPr>
                <w:rFonts w:hint="eastAsia" w:ascii="宋体" w:hAnsi="宋体" w:eastAsia="宋体" w:cs="宋体"/>
                <w:color w:val="auto"/>
                <w:spacing w:val="0"/>
                <w:kern w:val="21"/>
                <w:sz w:val="30"/>
                <w:szCs w:val="30"/>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“两山筑基·全域生态文明”片区。</w:t>
            </w:r>
            <w:r>
              <w:rPr>
                <w:rFonts w:hint="eastAsia" w:ascii="宋体" w:hAnsi="宋体" w:eastAsia="宋体" w:cs="宋体"/>
                <w:color w:val="auto"/>
                <w:spacing w:val="0"/>
                <w:kern w:val="21"/>
                <w:sz w:val="22"/>
                <w:szCs w:val="22"/>
                <w:highlight w:val="none"/>
                <w:u w:val="none"/>
              </w:rPr>
              <w:t>以瓦子街、石堡、白马滩为核心区，以乡村生态振兴为主题，紧扣“生态旅游、康养度假、特色农业、民宿经济”四大产业方向，联动红色研学、民俗文化、生态休闲资源，打造“两山”理念实践创新基地核心承载区、全域生态文明建设先行区、“生态+文旅+农业+康养”深度融合示范样板区。</w:t>
            </w:r>
          </w:p>
        </w:tc>
      </w:tr>
    </w:tbl>
    <w:p w14:paraId="02D570BF">
      <w:pPr>
        <w:pStyle w:val="3"/>
        <w:keepNext w:val="0"/>
        <w:keepLines w:val="0"/>
        <w:pageBreakBefore w:val="0"/>
        <w:widowControl w:val="0"/>
        <w:kinsoku/>
        <w:wordWrap/>
        <w:overflowPunct w:val="0"/>
        <w:topLinePunct w:val="0"/>
        <w:autoSpaceDE/>
        <w:autoSpaceDN/>
        <w:bidi w:val="0"/>
        <w:adjustRightInd/>
        <w:snapToGrid/>
        <w:spacing w:before="0" w:after="0" w:afterAutospacing="0"/>
        <w:ind w:left="0" w:firstLine="0" w:firstLineChars="0"/>
        <w:jc w:val="center"/>
        <w:textAlignment w:val="auto"/>
        <w:rPr>
          <w:rFonts w:hint="eastAsia" w:ascii="楷体_GB2312" w:hAnsi="楷体_GB2312" w:eastAsia="楷体_GB2312" w:cs="楷体_GB2312"/>
          <w:b w:val="0"/>
          <w:bCs w:val="0"/>
          <w:color w:val="auto"/>
          <w:spacing w:val="0"/>
          <w:kern w:val="21"/>
          <w:sz w:val="22"/>
          <w:szCs w:val="22"/>
          <w:lang w:val="en-US" w:eastAsia="zh-CN"/>
        </w:rPr>
      </w:pPr>
      <w:r>
        <w:rPr>
          <w:rFonts w:hint="eastAsia" w:ascii="楷体_GB2312" w:hAnsi="楷体_GB2312" w:eastAsia="楷体_GB2312" w:cs="楷体_GB2312"/>
          <w:b w:val="0"/>
          <w:bCs w:val="0"/>
          <w:color w:val="auto"/>
          <w:spacing w:val="0"/>
          <w:kern w:val="21"/>
          <w:sz w:val="22"/>
          <w:szCs w:val="22"/>
          <w:lang w:val="en-US" w:eastAsia="zh-CN"/>
        </w:rPr>
        <w:drawing>
          <wp:anchor distT="0" distB="0" distL="114300" distR="114300" simplePos="0" relativeHeight="251660288" behindDoc="0" locked="0" layoutInCell="1" allowOverlap="1">
            <wp:simplePos x="0" y="0"/>
            <wp:positionH relativeFrom="column">
              <wp:posOffset>96520</wp:posOffset>
            </wp:positionH>
            <wp:positionV relativeFrom="paragraph">
              <wp:posOffset>77470</wp:posOffset>
            </wp:positionV>
            <wp:extent cx="5454015" cy="4142740"/>
            <wp:effectExtent l="0" t="0" r="13335" b="10160"/>
            <wp:wrapSquare wrapText="bothSides"/>
            <wp:docPr id="4" name="图片 4" descr="微信图片_20260528094202_115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528094202_115_166"/>
                    <pic:cNvPicPr>
                      <a:picLocks noChangeAspect="1"/>
                    </pic:cNvPicPr>
                  </pic:nvPicPr>
                  <pic:blipFill>
                    <a:blip r:embed="rId11"/>
                    <a:srcRect l="9747" t="2574" r="714" b="1471"/>
                    <a:stretch>
                      <a:fillRect/>
                    </a:stretch>
                  </pic:blipFill>
                  <pic:spPr>
                    <a:xfrm>
                      <a:off x="0" y="0"/>
                      <a:ext cx="5454015" cy="4142740"/>
                    </a:xfrm>
                    <a:prstGeom prst="rect">
                      <a:avLst/>
                    </a:prstGeom>
                  </pic:spPr>
                </pic:pic>
              </a:graphicData>
            </a:graphic>
          </wp:anchor>
        </w:drawing>
      </w:r>
      <w:r>
        <w:rPr>
          <w:rFonts w:hint="eastAsia" w:ascii="楷体_GB2312" w:hAnsi="楷体_GB2312" w:eastAsia="楷体_GB2312" w:cs="楷体_GB2312"/>
          <w:b w:val="0"/>
          <w:bCs w:val="0"/>
          <w:color w:val="auto"/>
          <w:spacing w:val="0"/>
          <w:kern w:val="21"/>
          <w:sz w:val="22"/>
          <w:szCs w:val="22"/>
          <w:lang w:val="en-US" w:eastAsia="zh-CN"/>
        </w:rPr>
        <w:t xml:space="preserve">图2 </w:t>
      </w:r>
      <w:r>
        <w:rPr>
          <w:rFonts w:hint="eastAsia" w:ascii="楷体_GB2312" w:hAnsi="楷体_GB2312" w:eastAsia="楷体_GB2312" w:cs="楷体_GB2312"/>
          <w:b w:val="0"/>
          <w:bCs w:val="0"/>
          <w:color w:val="auto"/>
          <w:spacing w:val="0"/>
          <w:kern w:val="21"/>
          <w:sz w:val="22"/>
          <w:szCs w:val="22"/>
          <w:lang w:eastAsia="zh-CN"/>
        </w:rPr>
        <w:t>乡村</w:t>
      </w:r>
      <w:r>
        <w:rPr>
          <w:rFonts w:hint="eastAsia" w:ascii="楷体_GB2312" w:hAnsi="楷体_GB2312" w:eastAsia="楷体_GB2312" w:cs="楷体_GB2312"/>
          <w:b w:val="0"/>
          <w:bCs w:val="0"/>
          <w:color w:val="auto"/>
          <w:spacing w:val="0"/>
          <w:kern w:val="21"/>
          <w:sz w:val="22"/>
          <w:szCs w:val="22"/>
          <w:lang w:val="en-US" w:eastAsia="zh-CN"/>
        </w:rPr>
        <w:t>全面</w:t>
      </w:r>
      <w:r>
        <w:rPr>
          <w:rFonts w:hint="eastAsia" w:ascii="楷体_GB2312" w:hAnsi="楷体_GB2312" w:eastAsia="楷体_GB2312" w:cs="楷体_GB2312"/>
          <w:b w:val="0"/>
          <w:bCs w:val="0"/>
          <w:color w:val="auto"/>
          <w:spacing w:val="0"/>
          <w:kern w:val="21"/>
          <w:sz w:val="22"/>
          <w:szCs w:val="22"/>
          <w:lang w:eastAsia="zh-CN"/>
        </w:rPr>
        <w:t>振兴十大片区</w:t>
      </w:r>
      <w:r>
        <w:rPr>
          <w:rFonts w:hint="eastAsia" w:ascii="楷体_GB2312" w:hAnsi="楷体_GB2312" w:eastAsia="楷体_GB2312" w:cs="楷体_GB2312"/>
          <w:b w:val="0"/>
          <w:bCs w:val="0"/>
          <w:color w:val="auto"/>
          <w:spacing w:val="0"/>
          <w:kern w:val="21"/>
          <w:sz w:val="22"/>
          <w:szCs w:val="22"/>
          <w:lang w:val="en-US" w:eastAsia="zh-CN"/>
        </w:rPr>
        <w:t>布局图</w:t>
      </w:r>
    </w:p>
    <w:p w14:paraId="30B3C9C1">
      <w:pPr>
        <w:keepNext w:val="0"/>
        <w:keepLines w:val="0"/>
        <w:pageBreakBefore w:val="0"/>
        <w:widowControl w:val="0"/>
        <w:kinsoku/>
        <w:wordWrap/>
        <w:overflowPunct w:val="0"/>
        <w:topLinePunct w:val="0"/>
        <w:autoSpaceDE/>
        <w:autoSpaceDN/>
        <w:bidi w:val="0"/>
        <w:spacing w:afterAutospacing="0"/>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推进宜居宜业和美乡村建设。</w:t>
      </w:r>
      <w:r>
        <w:rPr>
          <w:rFonts w:hint="eastAsia" w:ascii="仿宋_GB2312" w:hAnsi="仿宋_GB2312" w:cs="仿宋_GB2312"/>
          <w:color w:val="auto"/>
          <w:spacing w:val="0"/>
          <w:kern w:val="21"/>
          <w:sz w:val="32"/>
          <w:szCs w:val="32"/>
        </w:rPr>
        <w:t>学习运用“千万工程”经验，因地制宜完善乡村建设实施机制。坚持以净为底、以美为形、以文为魂、以业为基、以人为本推进和美乡村建设</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优化村镇布局</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调整村庄规划，</w:t>
      </w:r>
      <w:r>
        <w:rPr>
          <w:rFonts w:hint="eastAsia" w:ascii="仿宋_GB2312" w:hAnsi="仿宋_GB2312" w:cs="仿宋_GB2312"/>
          <w:color w:val="auto"/>
          <w:spacing w:val="0"/>
          <w:kern w:val="21"/>
          <w:sz w:val="32"/>
          <w:szCs w:val="32"/>
        </w:rPr>
        <w:t>保护农业生产空间和乡村生态空间，严格落实“一户一宅”规定，保护传统村落和乡村风貌。</w:t>
      </w:r>
      <w:r>
        <w:rPr>
          <w:rFonts w:hint="eastAsia" w:ascii="仿宋_GB2312" w:hAnsi="仿宋_GB2312" w:eastAsia="仿宋_GB2312" w:cs="仿宋_GB2312"/>
          <w:b w:val="0"/>
          <w:bCs/>
          <w:color w:val="auto"/>
          <w:spacing w:val="0"/>
          <w:kern w:val="21"/>
          <w:sz w:val="32"/>
          <w:szCs w:val="32"/>
        </w:rPr>
        <w:t>持续整治提升农村人居环境，健全农村改厕实施机制，因地制宜推进农村生活污水治理，完善农村生活垃圾收运处置体系，推动农村基本具备现代生活条件。</w:t>
      </w:r>
      <w:r>
        <w:rPr>
          <w:rFonts w:hint="eastAsia" w:ascii="仿宋_GB2312" w:hAnsi="仿宋_GB2312" w:cs="仿宋_GB2312"/>
          <w:color w:val="auto"/>
          <w:spacing w:val="0"/>
          <w:kern w:val="21"/>
          <w:sz w:val="32"/>
          <w:szCs w:val="32"/>
        </w:rPr>
        <w:t>到2030年，农村卫生厕所基本普及，农村生活污水得到有效治理，农村生活垃圾收运处体系基本实现自然村全覆盖，建设“千万工程”市级重点村500个以上，创建省级示范村</w:t>
      </w:r>
      <w:r>
        <w:rPr>
          <w:rFonts w:hint="eastAsia" w:ascii="仿宋_GB2312" w:hAnsi="仿宋_GB2312" w:cs="仿宋_GB2312"/>
          <w:color w:val="auto"/>
          <w:spacing w:val="0"/>
          <w:kern w:val="21"/>
          <w:sz w:val="32"/>
          <w:szCs w:val="32"/>
          <w:lang w:val="en-US" w:eastAsia="zh-CN"/>
        </w:rPr>
        <w:t>2</w:t>
      </w:r>
      <w:r>
        <w:rPr>
          <w:rFonts w:hint="eastAsia" w:ascii="仿宋_GB2312" w:hAnsi="仿宋_GB2312" w:cs="仿宋_GB2312"/>
          <w:color w:val="auto"/>
          <w:spacing w:val="0"/>
          <w:kern w:val="21"/>
          <w:sz w:val="32"/>
          <w:szCs w:val="32"/>
        </w:rPr>
        <w:t>00个</w:t>
      </w:r>
      <w:r>
        <w:rPr>
          <w:rFonts w:hint="eastAsia" w:ascii="仿宋_GB2312" w:hAnsi="仿宋_GB2312" w:cs="仿宋_GB2312"/>
          <w:color w:val="auto"/>
          <w:spacing w:val="0"/>
          <w:kern w:val="21"/>
          <w:sz w:val="32"/>
          <w:szCs w:val="32"/>
          <w:lang w:val="en-US" w:eastAsia="zh-CN"/>
        </w:rPr>
        <w:t>以上</w:t>
      </w:r>
      <w:r>
        <w:rPr>
          <w:rFonts w:hint="eastAsia" w:ascii="仿宋_GB2312" w:hAnsi="仿宋_GB2312" w:cs="仿宋_GB2312"/>
          <w:color w:val="auto"/>
          <w:spacing w:val="0"/>
          <w:kern w:val="21"/>
          <w:sz w:val="32"/>
          <w:szCs w:val="32"/>
        </w:rPr>
        <w:t>。</w:t>
      </w:r>
    </w:p>
    <w:p w14:paraId="312B584B">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rPr>
        <w:t>推进基础设施提档升级。</w:t>
      </w:r>
      <w:r>
        <w:rPr>
          <w:rFonts w:hint="eastAsia" w:ascii="仿宋_GB2312" w:hAnsi="仿宋_GB2312" w:cs="仿宋_GB2312"/>
          <w:color w:val="auto"/>
          <w:spacing w:val="0"/>
          <w:kern w:val="21"/>
          <w:sz w:val="32"/>
          <w:szCs w:val="32"/>
          <w:highlight w:val="none"/>
          <w:lang w:val="en-US" w:eastAsia="zh-CN"/>
        </w:rPr>
        <w:t>持续深化推进</w:t>
      </w:r>
      <w:r>
        <w:rPr>
          <w:rFonts w:hint="eastAsia" w:ascii="仿宋_GB2312" w:hAnsi="仿宋_GB2312" w:cs="仿宋_GB2312"/>
          <w:color w:val="auto"/>
          <w:spacing w:val="0"/>
          <w:kern w:val="21"/>
          <w:sz w:val="32"/>
          <w:szCs w:val="32"/>
          <w:highlight w:val="none"/>
        </w:rPr>
        <w:t>农村供水规模化建设、标准化管理</w:t>
      </w:r>
      <w:r>
        <w:rPr>
          <w:rFonts w:hint="eastAsia" w:ascii="仿宋_GB2312" w:hAnsi="仿宋_GB2312" w:cs="仿宋_GB2312"/>
          <w:color w:val="auto"/>
          <w:spacing w:val="0"/>
          <w:kern w:val="21"/>
          <w:sz w:val="32"/>
          <w:szCs w:val="32"/>
          <w:highlight w:val="none"/>
          <w:lang w:val="en-US" w:eastAsia="zh-CN"/>
        </w:rPr>
        <w:t>和</w:t>
      </w:r>
      <w:r>
        <w:rPr>
          <w:rFonts w:hint="eastAsia" w:ascii="仿宋_GB2312" w:hAnsi="仿宋_GB2312" w:cs="仿宋_GB2312"/>
          <w:color w:val="auto"/>
          <w:spacing w:val="0"/>
          <w:kern w:val="21"/>
          <w:sz w:val="32"/>
          <w:szCs w:val="32"/>
          <w:highlight w:val="none"/>
        </w:rPr>
        <w:t>水质提升</w:t>
      </w:r>
      <w:r>
        <w:rPr>
          <w:rFonts w:hint="eastAsia" w:ascii="仿宋_GB2312" w:hAnsi="仿宋_GB2312" w:cs="仿宋_GB2312"/>
          <w:color w:val="auto"/>
          <w:spacing w:val="0"/>
          <w:kern w:val="21"/>
          <w:sz w:val="32"/>
          <w:szCs w:val="32"/>
          <w:highlight w:val="none"/>
          <w:lang w:val="en-US" w:eastAsia="zh-CN"/>
        </w:rPr>
        <w:t>专项</w:t>
      </w:r>
      <w:r>
        <w:rPr>
          <w:rFonts w:hint="eastAsia" w:ascii="仿宋_GB2312" w:hAnsi="仿宋_GB2312" w:cs="仿宋_GB2312"/>
          <w:color w:val="auto"/>
          <w:spacing w:val="0"/>
          <w:kern w:val="21"/>
          <w:sz w:val="32"/>
          <w:szCs w:val="32"/>
          <w:highlight w:val="none"/>
        </w:rPr>
        <w:t>行动，</w:t>
      </w:r>
      <w:r>
        <w:rPr>
          <w:rFonts w:hint="eastAsia" w:ascii="仿宋_GB2312" w:hAnsi="仿宋_GB2312" w:cs="仿宋_GB2312"/>
          <w:color w:val="auto"/>
          <w:spacing w:val="0"/>
          <w:kern w:val="21"/>
          <w:sz w:val="32"/>
          <w:szCs w:val="32"/>
          <w:highlight w:val="none"/>
          <w:lang w:val="en-US" w:eastAsia="zh-CN"/>
        </w:rPr>
        <w:t>农村自来水普及率达到95%，规模化供水率达到45%</w:t>
      </w:r>
      <w:r>
        <w:rPr>
          <w:rFonts w:hint="eastAsia" w:ascii="仿宋_GB2312" w:hAnsi="仿宋_GB2312" w:cs="仿宋_GB2312"/>
          <w:color w:val="auto"/>
          <w:spacing w:val="0"/>
          <w:kern w:val="21"/>
          <w:sz w:val="32"/>
          <w:szCs w:val="32"/>
          <w:highlight w:val="none"/>
        </w:rPr>
        <w:t>。优化农村供销、商贸、快递网点布局，实现村级寄递物流综合服务站全覆盖。加强农</w:t>
      </w:r>
      <w:r>
        <w:rPr>
          <w:rFonts w:hint="eastAsia" w:ascii="仿宋_GB2312" w:hAnsi="仿宋_GB2312" w:cs="仿宋_GB2312"/>
          <w:color w:val="auto"/>
          <w:spacing w:val="0"/>
          <w:kern w:val="21"/>
          <w:sz w:val="32"/>
          <w:szCs w:val="32"/>
        </w:rPr>
        <w:t>村既有房屋安全管理，系统推进散乱破旧农房整治，</w:t>
      </w:r>
      <w:r>
        <w:rPr>
          <w:rFonts w:hint="eastAsia" w:ascii="仿宋_GB2312" w:hAnsi="仿宋_GB2312" w:cs="仿宋_GB2312"/>
          <w:color w:val="auto"/>
          <w:spacing w:val="0"/>
          <w:kern w:val="21"/>
          <w:sz w:val="32"/>
          <w:szCs w:val="32"/>
          <w:lang w:val="en-US" w:eastAsia="zh-CN"/>
        </w:rPr>
        <w:t>强化</w:t>
      </w:r>
      <w:r>
        <w:rPr>
          <w:rFonts w:hint="eastAsia" w:ascii="仿宋_GB2312" w:hAnsi="仿宋_GB2312" w:cs="仿宋_GB2312"/>
          <w:color w:val="auto"/>
          <w:spacing w:val="0"/>
          <w:kern w:val="21"/>
          <w:sz w:val="32"/>
          <w:szCs w:val="32"/>
        </w:rPr>
        <w:t>村庄农房风貌设计管控。完善农村能源基础设施网络，加</w:t>
      </w:r>
      <w:r>
        <w:rPr>
          <w:rFonts w:hint="eastAsia" w:ascii="仿宋_GB2312" w:hAnsi="仿宋_GB2312" w:cs="仿宋_GB2312"/>
          <w:color w:val="auto"/>
          <w:spacing w:val="0"/>
          <w:kern w:val="21"/>
          <w:sz w:val="32"/>
          <w:szCs w:val="32"/>
          <w:lang w:val="en-US" w:eastAsia="zh-CN"/>
        </w:rPr>
        <w:t>大</w:t>
      </w:r>
      <w:r>
        <w:rPr>
          <w:rFonts w:hint="eastAsia" w:ascii="仿宋_GB2312" w:hAnsi="仿宋_GB2312" w:cs="仿宋_GB2312"/>
          <w:color w:val="auto"/>
          <w:spacing w:val="0"/>
          <w:kern w:val="21"/>
          <w:sz w:val="32"/>
          <w:szCs w:val="32"/>
        </w:rPr>
        <w:t>新一轮农网升级改造，重点提高边远地区供电保障能力，加快天然气供气设施向农村延伸。加</w:t>
      </w:r>
      <w:r>
        <w:rPr>
          <w:rFonts w:hint="eastAsia" w:ascii="仿宋_GB2312" w:hAnsi="仿宋_GB2312" w:cs="仿宋_GB2312"/>
          <w:color w:val="auto"/>
          <w:spacing w:val="0"/>
          <w:kern w:val="21"/>
          <w:sz w:val="32"/>
          <w:szCs w:val="32"/>
          <w:lang w:val="en-US" w:eastAsia="zh-CN"/>
        </w:rPr>
        <w:t>强</w:t>
      </w:r>
      <w:r>
        <w:rPr>
          <w:rFonts w:hint="eastAsia" w:ascii="仿宋_GB2312" w:hAnsi="仿宋_GB2312" w:cs="仿宋_GB2312"/>
          <w:color w:val="auto"/>
          <w:spacing w:val="0"/>
          <w:kern w:val="21"/>
          <w:sz w:val="32"/>
          <w:szCs w:val="32"/>
        </w:rPr>
        <w:t>数字乡村建设，推动乡村基础设施数字化、智能化升级，推进“互联网+”“智慧广电+”政务服务向基层延伸，巩固提升农村电力保障和5G网络服务水平</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支持吴起全国数字乡村建设试点示范县建设</w:t>
      </w:r>
      <w:r>
        <w:rPr>
          <w:rFonts w:hint="eastAsia" w:ascii="仿宋_GB2312" w:hAnsi="仿宋_GB2312" w:cs="仿宋_GB2312"/>
          <w:color w:val="auto"/>
          <w:spacing w:val="0"/>
          <w:kern w:val="21"/>
          <w:sz w:val="32"/>
          <w:szCs w:val="32"/>
          <w:lang w:eastAsia="zh-CN"/>
        </w:rPr>
        <w:t>。</w:t>
      </w:r>
    </w:p>
    <w:p w14:paraId="26FE7F4B">
      <w:pPr>
        <w:keepNext w:val="0"/>
        <w:keepLines w:val="0"/>
        <w:pageBreakBefore w:val="0"/>
        <w:widowControl w:val="0"/>
        <w:kinsoku/>
        <w:wordWrap/>
        <w:overflowPunct w:val="0"/>
        <w:topLinePunct w:val="0"/>
        <w:autoSpaceDE/>
        <w:autoSpaceDN/>
        <w:bidi w:val="0"/>
        <w:spacing w:afterAutospacing="0"/>
        <w:ind w:left="0"/>
        <w:textAlignment w:val="auto"/>
        <w:rPr>
          <w:rFonts w:hint="default" w:ascii="仿宋_GB2312" w:hAnsi="仿宋_GB2312" w:eastAsia="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完善常态化防止返贫致贫机制。</w:t>
      </w:r>
      <w:r>
        <w:rPr>
          <w:rFonts w:hint="eastAsia" w:ascii="仿宋_GB2312" w:hAnsi="仿宋_GB2312"/>
          <w:color w:val="auto"/>
          <w:spacing w:val="0"/>
          <w:kern w:val="21"/>
          <w:sz w:val="32"/>
          <w:szCs w:val="32"/>
        </w:rPr>
        <w:t>完善覆盖农村所有人口的常态化防止返贫致贫监测网络，健全监测帮扶政策体系、工作体系和投入保障体系，</w:t>
      </w:r>
      <w:r>
        <w:rPr>
          <w:rFonts w:hint="eastAsia" w:ascii="仿宋_GB2312" w:hAnsi="仿宋_GB2312"/>
          <w:color w:val="auto"/>
          <w:spacing w:val="0"/>
          <w:kern w:val="21"/>
          <w:sz w:val="32"/>
          <w:szCs w:val="32"/>
          <w:lang w:val="en-US" w:eastAsia="zh-CN"/>
        </w:rPr>
        <w:t>持续用好防返贫保险机制，</w:t>
      </w:r>
      <w:r>
        <w:rPr>
          <w:rFonts w:hint="eastAsia" w:ascii="仿宋_GB2312" w:hAnsi="仿宋_GB2312"/>
          <w:color w:val="auto"/>
          <w:spacing w:val="0"/>
          <w:kern w:val="21"/>
          <w:sz w:val="32"/>
          <w:szCs w:val="32"/>
        </w:rPr>
        <w:t>建立开发式帮扶和兜底保障相结合的帮扶制度，针对性落实“十个一批”帮扶措施，守牢不发生规模性返贫致贫底线。健全乡村振兴重点帮扶县、镇（乡）支持政策，完善政府引导、市场主导、社会参与的协同帮扶体系，增强内生发展动力。持续巩固提升“三保障”和饮水安全保障水平，巩固控辍保学成果，狠抓产业就业两个关键，强化产业发展与脱贫人口的利益联结，加强脱贫人口就业帮扶，稳定脱贫人口就业规模。</w:t>
      </w:r>
    </w:p>
    <w:p w14:paraId="02AF6471">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ascii="仿宋_GB2312" w:hAnsi="仿宋_GB2312"/>
          <w:color w:val="auto"/>
          <w:spacing w:val="0"/>
          <w:kern w:val="21"/>
          <w:sz w:val="32"/>
          <w:szCs w:val="32"/>
        </w:rPr>
      </w:pPr>
      <w:bookmarkStart w:id="95" w:name="_Toc14975"/>
      <w:bookmarkStart w:id="96" w:name="_Toc31905"/>
      <w:bookmarkStart w:id="97" w:name="_Toc6370"/>
    </w:p>
    <w:p w14:paraId="571963E9">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七</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健全</w:t>
      </w:r>
      <w:r>
        <w:rPr>
          <w:rFonts w:hint="eastAsia" w:ascii="仿宋_GB2312" w:hAnsi="仿宋_GB2312"/>
          <w:color w:val="auto"/>
          <w:spacing w:val="0"/>
          <w:kern w:val="21"/>
          <w:sz w:val="32"/>
          <w:szCs w:val="32"/>
        </w:rPr>
        <w:t>城乡融合发展体制机制</w:t>
      </w:r>
      <w:bookmarkEnd w:id="95"/>
      <w:bookmarkEnd w:id="96"/>
      <w:bookmarkEnd w:id="97"/>
    </w:p>
    <w:p w14:paraId="7C16CFDC">
      <w:pPr>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ascii="楷体_GB2312" w:hAnsi="楷体_GB2312" w:eastAsia="楷体_GB2312" w:cs="楷体_GB2312"/>
          <w:b w:val="0"/>
          <w:bCs w:val="0"/>
          <w:color w:val="auto"/>
          <w:spacing w:val="0"/>
          <w:kern w:val="21"/>
          <w:sz w:val="32"/>
          <w:szCs w:val="32"/>
        </w:rPr>
      </w:pPr>
    </w:p>
    <w:p w14:paraId="10476356">
      <w:pPr>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推进</w:t>
      </w:r>
      <w:r>
        <w:rPr>
          <w:rFonts w:hint="eastAsia" w:ascii="楷体_GB2312" w:hAnsi="楷体_GB2312" w:eastAsia="楷体_GB2312" w:cs="楷体_GB2312"/>
          <w:b w:val="0"/>
          <w:bCs w:val="0"/>
          <w:color w:val="auto"/>
          <w:spacing w:val="0"/>
          <w:kern w:val="21"/>
          <w:sz w:val="32"/>
          <w:szCs w:val="32"/>
          <w:lang w:val="en-US" w:eastAsia="zh-CN"/>
        </w:rPr>
        <w:t>以人为本的</w:t>
      </w:r>
      <w:r>
        <w:rPr>
          <w:rFonts w:hint="eastAsia" w:ascii="楷体_GB2312" w:hAnsi="楷体_GB2312" w:eastAsia="楷体_GB2312" w:cs="楷体_GB2312"/>
          <w:b w:val="0"/>
          <w:bCs w:val="0"/>
          <w:color w:val="auto"/>
          <w:spacing w:val="0"/>
          <w:kern w:val="21"/>
          <w:sz w:val="32"/>
          <w:szCs w:val="32"/>
        </w:rPr>
        <w:t>新型城镇化。</w:t>
      </w:r>
      <w:r>
        <w:rPr>
          <w:rFonts w:hint="eastAsia" w:ascii="仿宋_GB2312" w:hAnsi="仿宋_GB2312"/>
          <w:color w:val="auto"/>
          <w:spacing w:val="0"/>
          <w:kern w:val="21"/>
          <w:sz w:val="32"/>
          <w:szCs w:val="32"/>
        </w:rPr>
        <w:t>建立健全城乡基础设施一体化发展和公共服务一体配置机制，推进统一规划、统一建设、统一管护</w:t>
      </w:r>
      <w:r>
        <w:rPr>
          <w:rFonts w:hint="eastAsia" w:ascii="仿宋_GB2312" w:hAnsi="仿宋_GB2312"/>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科学有序推进农业转移人口市民化，</w:t>
      </w:r>
      <w:r>
        <w:rPr>
          <w:rFonts w:hint="eastAsia" w:ascii="仿宋_GB2312" w:hAnsi="仿宋_GB2312" w:eastAsia="仿宋_GB2312" w:cs="仿宋_GB2312"/>
          <w:b w:val="0"/>
          <w:bCs w:val="0"/>
          <w:color w:val="auto"/>
          <w:spacing w:val="0"/>
          <w:kern w:val="21"/>
          <w:sz w:val="32"/>
          <w:szCs w:val="32"/>
          <w:lang w:val="en-US" w:eastAsia="zh-CN"/>
        </w:rPr>
        <w:t>完善农业转移人口市民化激励政策，</w:t>
      </w:r>
      <w:r>
        <w:rPr>
          <w:rFonts w:hint="eastAsia" w:ascii="仿宋_GB2312" w:hAnsi="仿宋_GB2312" w:eastAsia="仿宋_GB2312" w:cs="仿宋_GB2312"/>
          <w:b w:val="0"/>
          <w:bCs/>
          <w:color w:val="auto"/>
          <w:spacing w:val="0"/>
          <w:kern w:val="21"/>
          <w:sz w:val="32"/>
          <w:szCs w:val="32"/>
        </w:rPr>
        <w:t>推动转移支付、要素配置等与农业转移人口市民化挂钩</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val="0"/>
          <w:color w:val="auto"/>
          <w:spacing w:val="0"/>
          <w:kern w:val="21"/>
          <w:sz w:val="32"/>
          <w:szCs w:val="32"/>
          <w:lang w:val="en-US" w:eastAsia="zh-CN"/>
        </w:rPr>
        <w:t>加快</w:t>
      </w:r>
      <w:r>
        <w:rPr>
          <w:rFonts w:hint="eastAsia" w:ascii="仿宋_GB2312" w:hAnsi="仿宋_GB2312" w:cs="仿宋_GB2312"/>
          <w:color w:val="auto"/>
          <w:spacing w:val="0"/>
          <w:kern w:val="21"/>
          <w:sz w:val="32"/>
          <w:szCs w:val="32"/>
        </w:rPr>
        <w:t>构建产业升级、人口集聚、城镇发展良性互动机制。深</w:t>
      </w:r>
      <w:r>
        <w:rPr>
          <w:rFonts w:hint="eastAsia" w:ascii="仿宋_GB2312" w:hAnsi="仿宋_GB2312"/>
          <w:color w:val="auto"/>
          <w:spacing w:val="0"/>
          <w:kern w:val="21"/>
          <w:sz w:val="32"/>
          <w:szCs w:val="32"/>
        </w:rPr>
        <w:t>化户籍制度改革，全面取消城区落户限制，</w:t>
      </w:r>
      <w:r>
        <w:rPr>
          <w:rFonts w:hint="eastAsia" w:ascii="仿宋_GB2312" w:hAnsi="仿宋_GB2312" w:eastAsia="仿宋_GB2312" w:cs="仿宋_GB2312"/>
          <w:b w:val="0"/>
          <w:bCs/>
          <w:color w:val="auto"/>
          <w:spacing w:val="0"/>
          <w:kern w:val="21"/>
          <w:sz w:val="32"/>
          <w:szCs w:val="32"/>
        </w:rPr>
        <w:t>落实由常住地登记户口提供基本公共服务制度</w:t>
      </w:r>
      <w:r>
        <w:rPr>
          <w:rFonts w:hint="eastAsia" w:ascii="仿宋_GB2312" w:hAnsi="仿宋_GB2312"/>
          <w:color w:val="auto"/>
          <w:spacing w:val="0"/>
          <w:kern w:val="21"/>
          <w:sz w:val="32"/>
          <w:szCs w:val="32"/>
        </w:rPr>
        <w:t>。依法保障进城落户农民的农村土地承包权、宅基地使用权、集体收益分配权，健全农户“三权”市场化退出机制和配套政策</w:t>
      </w:r>
      <w:r>
        <w:rPr>
          <w:rFonts w:hint="eastAsia" w:ascii="仿宋_GB2312" w:hAnsi="仿宋_GB2312"/>
          <w:color w:val="auto"/>
          <w:spacing w:val="0"/>
          <w:kern w:val="21"/>
          <w:sz w:val="32"/>
          <w:szCs w:val="32"/>
          <w:lang w:eastAsia="zh-CN"/>
        </w:rPr>
        <w:t>，</w:t>
      </w:r>
      <w:r>
        <w:rPr>
          <w:rFonts w:hint="eastAsia" w:ascii="仿宋_GB2312" w:hAnsi="仿宋_GB2312"/>
          <w:color w:val="auto"/>
          <w:spacing w:val="0"/>
          <w:kern w:val="21"/>
          <w:sz w:val="32"/>
          <w:szCs w:val="32"/>
          <w:lang w:val="en-US" w:eastAsia="zh-CN"/>
        </w:rPr>
        <w:t>消除进城农民落户后顾之忧。</w:t>
      </w:r>
      <w:r>
        <w:rPr>
          <w:rFonts w:hint="eastAsia" w:ascii="仿宋_GB2312" w:hAnsi="仿宋_GB2312" w:eastAsia="仿宋_GB2312" w:cs="仿宋_GB2312"/>
          <w:b w:val="0"/>
          <w:bCs/>
          <w:color w:val="auto"/>
          <w:spacing w:val="0"/>
          <w:kern w:val="21"/>
          <w:sz w:val="32"/>
          <w:szCs w:val="32"/>
        </w:rPr>
        <w:t>健全城乡融合发展体制机制，推动城乡要素双向流动，激励各类人才下乡服务和就业创业。</w:t>
      </w:r>
    </w:p>
    <w:p w14:paraId="134F2C68">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u w:val="none" w:color="auto"/>
        </w:rPr>
      </w:pPr>
      <w:r>
        <w:rPr>
          <w:rFonts w:hint="eastAsia" w:ascii="楷体_GB2312" w:hAnsi="楷体_GB2312" w:eastAsia="楷体_GB2312" w:cs="楷体_GB2312"/>
          <w:b w:val="0"/>
          <w:bCs w:val="0"/>
          <w:color w:val="auto"/>
          <w:spacing w:val="0"/>
          <w:kern w:val="21"/>
          <w:sz w:val="32"/>
          <w:szCs w:val="32"/>
        </w:rPr>
        <w:t>提高强农惠农富农政策效能。</w:t>
      </w:r>
      <w:r>
        <w:rPr>
          <w:rFonts w:hint="eastAsia" w:ascii="仿宋_GB2312" w:hAnsi="仿宋_GB2312" w:eastAsia="仿宋_GB2312" w:cs="仿宋_GB2312"/>
          <w:b w:val="0"/>
          <w:bCs/>
          <w:color w:val="auto"/>
          <w:spacing w:val="0"/>
          <w:kern w:val="21"/>
          <w:sz w:val="32"/>
          <w:szCs w:val="32"/>
        </w:rPr>
        <w:t>健全财政优先保障、金融重点倾斜、社会积极参与的多元投入格局，不断加大乡村振兴投入力度。完善农业政策性保险，健全农业灾害防控体系，保护和调动农民种粮积极性。</w:t>
      </w:r>
      <w:r>
        <w:rPr>
          <w:rFonts w:hint="eastAsia" w:ascii="仿宋_GB2312" w:hAnsi="仿宋_GB2312" w:cs="仿宋_GB2312"/>
          <w:color w:val="auto"/>
          <w:spacing w:val="0"/>
          <w:kern w:val="21"/>
          <w:sz w:val="32"/>
          <w:szCs w:val="32"/>
          <w:u w:val="none" w:color="auto"/>
        </w:rPr>
        <w:t>实施好农机购置与应用补贴惠农政策，</w:t>
      </w:r>
      <w:r>
        <w:rPr>
          <w:rFonts w:hint="eastAsia" w:ascii="仿宋_GB2312" w:hAnsi="仿宋_GB2312" w:cs="仿宋_GB2312"/>
          <w:color w:val="auto"/>
          <w:spacing w:val="0"/>
          <w:kern w:val="21"/>
          <w:sz w:val="32"/>
          <w:szCs w:val="32"/>
          <w:u w:val="none" w:color="auto"/>
          <w:lang w:val="en-US" w:eastAsia="zh-CN"/>
        </w:rPr>
        <w:t>严格落实</w:t>
      </w:r>
      <w:r>
        <w:rPr>
          <w:rFonts w:hint="eastAsia" w:ascii="仿宋_GB2312" w:hAnsi="仿宋_GB2312" w:cs="仿宋_GB2312"/>
          <w:color w:val="auto"/>
          <w:spacing w:val="0"/>
          <w:kern w:val="21"/>
          <w:sz w:val="32"/>
          <w:szCs w:val="32"/>
          <w:u w:val="none" w:color="auto"/>
        </w:rPr>
        <w:t>耕地地力保护补贴政策。健全农资保供稳价应对机制，加强涉农资金项目全过程监管。</w:t>
      </w:r>
    </w:p>
    <w:p w14:paraId="15BF5CD4">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深化农村综合改革</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eastAsia="仿宋_GB2312" w:cs="仿宋_GB2312"/>
          <w:b w:val="0"/>
          <w:bCs w:val="0"/>
          <w:color w:val="auto"/>
          <w:spacing w:val="0"/>
          <w:kern w:val="21"/>
          <w:sz w:val="32"/>
          <w:szCs w:val="32"/>
          <w:lang w:val="en-US"/>
        </w:rPr>
        <w:t>巩固和完善农村基本经营制度</w:t>
      </w:r>
      <w:r>
        <w:rPr>
          <w:rFonts w:hint="eastAsia" w:ascii="仿宋_GB2312" w:hAnsi="仿宋_GB2312" w:eastAsia="仿宋_GB2312" w:cs="仿宋_GB2312"/>
          <w:b w:val="0"/>
          <w:bCs w:val="0"/>
          <w:color w:val="auto"/>
          <w:spacing w:val="0"/>
          <w:kern w:val="21"/>
          <w:sz w:val="32"/>
          <w:szCs w:val="32"/>
          <w:lang w:val="en-US" w:eastAsia="zh-CN"/>
        </w:rPr>
        <w:t>，</w:t>
      </w:r>
      <w:r>
        <w:rPr>
          <w:rFonts w:hint="eastAsia" w:ascii="仿宋_GB2312" w:hAnsi="仿宋_GB2312" w:eastAsia="仿宋_GB2312" w:cs="仿宋_GB2312"/>
          <w:b w:val="0"/>
          <w:bCs/>
          <w:color w:val="auto"/>
          <w:spacing w:val="0"/>
          <w:kern w:val="21"/>
          <w:sz w:val="32"/>
          <w:szCs w:val="32"/>
        </w:rPr>
        <w:t>稳步推进第二轮土地承包到期后再延长三十年试点。积极盘活用好闲置土地和房屋，分类保障乡村发展用地，保障农民建房合理用地需求。提高新型农业经营主体发展质量，深化供销合作社综合改革，完善便捷高效的农业社会化服务体系，强化产业联农带农。</w:t>
      </w:r>
      <w:r>
        <w:rPr>
          <w:rFonts w:hint="eastAsia" w:ascii="仿宋_GB2312" w:hAnsi="仿宋_GB2312" w:cs="仿宋_GB2312"/>
          <w:color w:val="auto"/>
          <w:spacing w:val="0"/>
          <w:kern w:val="21"/>
          <w:sz w:val="32"/>
          <w:szCs w:val="32"/>
        </w:rPr>
        <w:t>全面推进“万企兴万村”行动，积极探索资源发包、物业出租、居间服务、经营性财产参股等方式，</w:t>
      </w:r>
      <w:r>
        <w:rPr>
          <w:rFonts w:hint="eastAsia" w:ascii="仿宋_GB2312" w:hAnsi="仿宋_GB2312" w:cs="仿宋_GB2312"/>
          <w:color w:val="auto"/>
          <w:spacing w:val="0"/>
          <w:kern w:val="21"/>
          <w:sz w:val="32"/>
          <w:szCs w:val="32"/>
          <w:lang w:eastAsia="zh-CN"/>
        </w:rPr>
        <w:t>接续实施农村集体经济“百村帮促、百村提优”行动，</w:t>
      </w:r>
      <w:r>
        <w:rPr>
          <w:rFonts w:hint="eastAsia" w:ascii="仿宋_GB2312" w:hAnsi="仿宋_GB2312" w:cs="仿宋_GB2312"/>
          <w:color w:val="auto"/>
          <w:spacing w:val="0"/>
          <w:kern w:val="21"/>
          <w:sz w:val="32"/>
          <w:szCs w:val="32"/>
        </w:rPr>
        <w:t>发展壮大新型农村集体经济。</w:t>
      </w:r>
    </w:p>
    <w:p w14:paraId="20DE7D79">
      <w:pPr>
        <w:keepNext w:val="0"/>
        <w:keepLines w:val="0"/>
        <w:pageBreakBefore w:val="0"/>
        <w:widowControl w:val="0"/>
        <w:kinsoku/>
        <w:wordWrap/>
        <w:overflowPunct w:val="0"/>
        <w:topLinePunct w:val="0"/>
        <w:autoSpaceDE/>
        <w:autoSpaceDN/>
        <w:bidi w:val="0"/>
        <w:spacing w:afterAutospacing="0"/>
        <w:ind w:left="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1E07285C">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0"/>
          <w:szCs w:val="30"/>
        </w:rPr>
      </w:pPr>
      <w:bookmarkStart w:id="98" w:name="_Toc31473"/>
      <w:bookmarkStart w:id="99" w:name="_Toc24133"/>
      <w:bookmarkStart w:id="100" w:name="_Toc21344"/>
    </w:p>
    <w:p w14:paraId="634CF9A8">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第七篇</w:t>
      </w:r>
      <w:r>
        <w:rPr>
          <w:rFonts w:hint="eastAsia" w:ascii="仿宋_GB2312" w:hAnsi="仿宋_GB2312"/>
          <w:color w:val="auto"/>
          <w:spacing w:val="0"/>
          <w:kern w:val="21"/>
          <w:sz w:val="36"/>
          <w:szCs w:val="36"/>
          <w:lang w:val="en-US" w:eastAsia="zh-CN"/>
        </w:rPr>
        <w:t xml:space="preserve">  </w:t>
      </w:r>
      <w:r>
        <w:rPr>
          <w:rFonts w:hint="eastAsia" w:ascii="仿宋_GB2312" w:hAnsi="仿宋_GB2312"/>
          <w:color w:val="auto"/>
          <w:spacing w:val="0"/>
          <w:kern w:val="21"/>
          <w:sz w:val="36"/>
          <w:szCs w:val="36"/>
        </w:rPr>
        <w:t>传承弘扬红色基因 守正创新建设文化强市</w:t>
      </w:r>
      <w:bookmarkEnd w:id="98"/>
      <w:bookmarkEnd w:id="99"/>
      <w:bookmarkEnd w:id="100"/>
    </w:p>
    <w:p w14:paraId="3DC09A86">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olor w:val="auto"/>
          <w:spacing w:val="0"/>
          <w:kern w:val="21"/>
          <w:sz w:val="30"/>
          <w:szCs w:val="30"/>
        </w:rPr>
      </w:pPr>
    </w:p>
    <w:p w14:paraId="046D202C">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坚持以文铸魂、以文传脉、以文育人、以文惠民、以文兴业、以文传声、以文载新，持续唱响习近平新时代中国特色社会主义思想的声音、唱响习近平新时代中国特色社会主义思想在延安生动实践的声音。</w:t>
      </w:r>
    </w:p>
    <w:p w14:paraId="08567D4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01" w:name="_Toc30801"/>
      <w:bookmarkStart w:id="102" w:name="_Toc6926"/>
      <w:bookmarkStart w:id="103" w:name="_Toc32000"/>
      <w:bookmarkStart w:id="104" w:name="_Toc19806"/>
    </w:p>
    <w:p w14:paraId="4962CF2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八</w:t>
      </w:r>
      <w:r>
        <w:rPr>
          <w:rFonts w:hint="eastAsia" w:ascii="仿宋_GB2312" w:hAnsi="仿宋_GB2312"/>
          <w:color w:val="auto"/>
          <w:spacing w:val="0"/>
          <w:kern w:val="21"/>
          <w:sz w:val="32"/>
          <w:szCs w:val="32"/>
        </w:rPr>
        <w:t>章</w:t>
      </w:r>
      <w:bookmarkEnd w:id="101"/>
      <w:r>
        <w:rPr>
          <w:rFonts w:hint="eastAsia" w:ascii="仿宋_GB2312" w:hAnsi="仿宋_GB2312"/>
          <w:color w:val="auto"/>
          <w:spacing w:val="0"/>
          <w:kern w:val="21"/>
          <w:sz w:val="32"/>
          <w:szCs w:val="32"/>
          <w:lang w:val="en-US" w:eastAsia="zh-CN"/>
        </w:rPr>
        <w:t xml:space="preserve">  广泛</w:t>
      </w:r>
      <w:r>
        <w:rPr>
          <w:rFonts w:hint="eastAsia" w:ascii="仿宋_GB2312" w:hAnsi="仿宋_GB2312"/>
          <w:color w:val="auto"/>
          <w:spacing w:val="0"/>
          <w:kern w:val="21"/>
          <w:sz w:val="32"/>
          <w:szCs w:val="32"/>
        </w:rPr>
        <w:t>培育和践行社会主义核心价值观</w:t>
      </w:r>
      <w:bookmarkEnd w:id="102"/>
      <w:bookmarkEnd w:id="103"/>
      <w:bookmarkEnd w:id="104"/>
    </w:p>
    <w:p w14:paraId="63D7BC30">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楷体_GB2312" w:hAnsi="楷体_GB2312" w:eastAsia="楷体_GB2312" w:cs="楷体_GB2312"/>
          <w:b w:val="0"/>
          <w:bCs w:val="0"/>
          <w:color w:val="auto"/>
          <w:spacing w:val="0"/>
          <w:kern w:val="21"/>
          <w:sz w:val="32"/>
          <w:szCs w:val="32"/>
          <w:lang w:val="en-US" w:eastAsia="zh-CN"/>
        </w:rPr>
      </w:pPr>
    </w:p>
    <w:p w14:paraId="377DA623">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eastAsia="仿宋_GB2312" w:cs="仿宋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加强党的创新理论武装。</w:t>
      </w:r>
      <w:r>
        <w:rPr>
          <w:rFonts w:hint="eastAsia" w:ascii="仿宋_GB2312" w:hAnsi="仿宋_GB2312" w:eastAsia="仿宋_GB2312" w:cs="仿宋_GB2312"/>
          <w:b w:val="0"/>
          <w:bCs w:val="0"/>
          <w:color w:val="auto"/>
          <w:spacing w:val="0"/>
          <w:kern w:val="21"/>
          <w:sz w:val="32"/>
          <w:szCs w:val="32"/>
          <w:lang w:val="en-US" w:eastAsia="zh-CN"/>
        </w:rPr>
        <w:t>深化党的创新理论学习、研究和宣传，推动党的创新理论入脑入心</w:t>
      </w:r>
      <w:r>
        <w:rPr>
          <w:rFonts w:hint="eastAsia" w:ascii="仿宋_GB2312" w:hAnsi="仿宋_GB2312" w:cs="仿宋_GB2312"/>
          <w:b w:val="0"/>
          <w:bCs w:val="0"/>
          <w:color w:val="auto"/>
          <w:spacing w:val="0"/>
          <w:kern w:val="21"/>
          <w:sz w:val="32"/>
          <w:szCs w:val="32"/>
          <w:lang w:val="en-US" w:eastAsia="zh-CN"/>
        </w:rPr>
        <w:t>。</w:t>
      </w:r>
      <w:r>
        <w:rPr>
          <w:rFonts w:hint="eastAsia" w:ascii="仿宋_GB2312" w:hAnsi="仿宋_GB2312" w:cs="仿宋_GB2312"/>
          <w:b w:val="0"/>
          <w:bCs w:val="0"/>
          <w:color w:val="auto"/>
          <w:spacing w:val="0"/>
          <w:kern w:val="21"/>
          <w:sz w:val="32"/>
          <w:szCs w:val="32"/>
        </w:rPr>
        <w:t>坚持和完善</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第一议题</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制度，常态化学习贯彻习近平总书记历次来陕考察重要讲话重要指示，落实以学铸魂、以学增智、以学正风、以学促干长效机制。加强党员、干部经常性理论学习和教育培训。</w:t>
      </w:r>
      <w:r>
        <w:rPr>
          <w:rFonts w:hint="eastAsia" w:ascii="仿宋_GB2312" w:hAnsi="仿宋_GB2312" w:cs="仿宋_GB2312"/>
          <w:b w:val="0"/>
          <w:bCs w:val="0"/>
          <w:color w:val="auto"/>
          <w:spacing w:val="0"/>
          <w:kern w:val="21"/>
          <w:sz w:val="32"/>
          <w:szCs w:val="32"/>
          <w:lang w:val="en-US" w:eastAsia="zh-CN"/>
        </w:rPr>
        <w:t>深化党的创新理论研究阐释，</w:t>
      </w:r>
      <w:r>
        <w:rPr>
          <w:rFonts w:hint="eastAsia" w:ascii="仿宋_GB2312" w:hAnsi="仿宋_GB2312" w:cs="仿宋_GB2312"/>
          <w:b w:val="0"/>
          <w:bCs w:val="0"/>
          <w:color w:val="auto"/>
          <w:spacing w:val="0"/>
          <w:kern w:val="21"/>
          <w:sz w:val="32"/>
          <w:szCs w:val="32"/>
        </w:rPr>
        <w:t>做好</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习近平新时代中国特色社会主义思想延安实践</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习近平文化思想延安实践</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等课题研究和案例总结</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支持中国延安干部学院和陕西省中国特色社会主义理论体系研究中心</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延安大学基地</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、延安大学中国共产党革命精神与文化资源研究中心等研究平台建设。构建“沿着总书记足迹看变化悟思想”理论宣讲体系</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打造全市域体系化的</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延安故事会</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宣讲品牌，办好用好</w:t>
      </w:r>
      <w:r>
        <w:rPr>
          <w:rFonts w:hint="eastAsia" w:ascii="仿宋_GB2312" w:hAnsi="仿宋_GB2312" w:cs="仿宋_GB2312"/>
          <w:b w:val="0"/>
          <w:bCs w:val="0"/>
          <w:color w:val="auto"/>
          <w:spacing w:val="-6"/>
          <w:kern w:val="21"/>
          <w:sz w:val="32"/>
          <w:szCs w:val="32"/>
        </w:rPr>
        <w:t>学习书院等实体传播平台和</w:t>
      </w:r>
      <w:r>
        <w:rPr>
          <w:rFonts w:hint="eastAsia" w:ascii="仿宋_GB2312" w:hAnsi="仿宋_GB2312" w:cs="仿宋_GB2312"/>
          <w:b w:val="0"/>
          <w:bCs w:val="0"/>
          <w:color w:val="auto"/>
          <w:spacing w:val="-6"/>
          <w:kern w:val="21"/>
          <w:sz w:val="32"/>
          <w:szCs w:val="32"/>
          <w:lang w:eastAsia="zh-CN"/>
        </w:rPr>
        <w:t>《</w:t>
      </w:r>
      <w:r>
        <w:rPr>
          <w:rFonts w:hint="eastAsia" w:ascii="仿宋_GB2312" w:hAnsi="仿宋_GB2312" w:cs="仿宋_GB2312"/>
          <w:b w:val="0"/>
          <w:bCs w:val="0"/>
          <w:color w:val="auto"/>
          <w:spacing w:val="-6"/>
          <w:kern w:val="21"/>
          <w:sz w:val="32"/>
          <w:szCs w:val="32"/>
        </w:rPr>
        <w:t>延安日报</w:t>
      </w:r>
      <w:r>
        <w:rPr>
          <w:rFonts w:hint="eastAsia" w:ascii="仿宋_GB2312" w:hAnsi="仿宋_GB2312" w:cs="仿宋_GB2312"/>
          <w:b w:val="0"/>
          <w:bCs w:val="0"/>
          <w:color w:val="auto"/>
          <w:spacing w:val="-6"/>
          <w:kern w:val="21"/>
          <w:sz w:val="32"/>
          <w:szCs w:val="32"/>
          <w:lang w:eastAsia="zh-CN"/>
        </w:rPr>
        <w:t>》</w:t>
      </w:r>
      <w:r>
        <w:rPr>
          <w:rFonts w:hint="eastAsia" w:ascii="仿宋_GB2312" w:hAnsi="仿宋_GB2312" w:cs="仿宋_GB2312"/>
          <w:b w:val="0"/>
          <w:bCs w:val="0"/>
          <w:color w:val="auto"/>
          <w:spacing w:val="-6"/>
          <w:kern w:val="21"/>
          <w:sz w:val="32"/>
          <w:szCs w:val="32"/>
        </w:rPr>
        <w:t>等媒体平台</w:t>
      </w:r>
      <w:r>
        <w:rPr>
          <w:rFonts w:hint="eastAsia" w:ascii="仿宋_GB2312" w:hAnsi="仿宋_GB2312" w:cs="仿宋_GB2312"/>
          <w:b w:val="0"/>
          <w:bCs w:val="0"/>
          <w:color w:val="auto"/>
          <w:spacing w:val="-6"/>
          <w:kern w:val="21"/>
          <w:sz w:val="32"/>
          <w:szCs w:val="32"/>
          <w:lang w:eastAsia="zh-CN"/>
        </w:rPr>
        <w:t>，</w:t>
      </w:r>
      <w:r>
        <w:rPr>
          <w:rFonts w:hint="eastAsia" w:ascii="仿宋_GB2312" w:hAnsi="仿宋_GB2312" w:cs="仿宋_GB2312"/>
          <w:b w:val="0"/>
          <w:bCs w:val="0"/>
          <w:color w:val="auto"/>
          <w:spacing w:val="-6"/>
          <w:kern w:val="21"/>
          <w:sz w:val="32"/>
          <w:szCs w:val="32"/>
        </w:rPr>
        <w:t>开展</w:t>
      </w:r>
      <w:r>
        <w:rPr>
          <w:rFonts w:hint="eastAsia" w:ascii="仿宋_GB2312" w:hAnsi="仿宋_GB2312" w:cs="仿宋_GB2312"/>
          <w:b w:val="0"/>
          <w:bCs w:val="0"/>
          <w:color w:val="auto"/>
          <w:spacing w:val="-6"/>
          <w:kern w:val="21"/>
          <w:sz w:val="32"/>
          <w:szCs w:val="32"/>
          <w:lang w:eastAsia="zh-CN"/>
        </w:rPr>
        <w:t>“</w:t>
      </w:r>
      <w:r>
        <w:rPr>
          <w:rFonts w:hint="eastAsia" w:ascii="仿宋_GB2312" w:hAnsi="仿宋_GB2312" w:cs="仿宋_GB2312"/>
          <w:b w:val="0"/>
          <w:bCs w:val="0"/>
          <w:color w:val="auto"/>
          <w:spacing w:val="-6"/>
          <w:kern w:val="21"/>
          <w:sz w:val="32"/>
          <w:szCs w:val="32"/>
        </w:rPr>
        <w:t>理论直播间</w:t>
      </w:r>
      <w:r>
        <w:rPr>
          <w:rFonts w:hint="eastAsia" w:ascii="仿宋_GB2312" w:hAnsi="仿宋_GB2312" w:cs="仿宋_GB2312"/>
          <w:b w:val="0"/>
          <w:bCs w:val="0"/>
          <w:color w:val="auto"/>
          <w:spacing w:val="-6"/>
          <w:kern w:val="21"/>
          <w:sz w:val="32"/>
          <w:szCs w:val="32"/>
          <w:lang w:eastAsia="zh-CN"/>
        </w:rPr>
        <w:t>”</w:t>
      </w:r>
      <w:r>
        <w:rPr>
          <w:rFonts w:hint="eastAsia" w:ascii="仿宋_GB2312" w:hAnsi="仿宋_GB2312" w:cs="仿宋_GB2312"/>
          <w:b w:val="0"/>
          <w:bCs w:val="0"/>
          <w:color w:val="auto"/>
          <w:spacing w:val="-6"/>
          <w:kern w:val="21"/>
          <w:sz w:val="32"/>
          <w:szCs w:val="32"/>
        </w:rPr>
        <w:t>互动式网络传播，推动党的创新理论走进群众、深入人心</w:t>
      </w:r>
      <w:r>
        <w:rPr>
          <w:rFonts w:hint="eastAsia" w:ascii="仿宋_GB2312" w:hAnsi="仿宋_GB2312" w:cs="仿宋_GB2312"/>
          <w:b w:val="0"/>
          <w:bCs w:val="0"/>
          <w:color w:val="auto"/>
          <w:spacing w:val="0"/>
          <w:kern w:val="21"/>
          <w:sz w:val="32"/>
          <w:szCs w:val="32"/>
        </w:rPr>
        <w:t>。</w:t>
      </w:r>
    </w:p>
    <w:p w14:paraId="5E620339">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筑牢理想信念根基。</w:t>
      </w:r>
      <w:r>
        <w:rPr>
          <w:rFonts w:hint="eastAsia" w:ascii="仿宋_GB2312" w:hAnsi="仿宋_GB2312" w:eastAsia="仿宋_GB2312" w:cs="仿宋_GB2312"/>
          <w:b w:val="0"/>
          <w:bCs/>
          <w:color w:val="auto"/>
          <w:spacing w:val="0"/>
          <w:kern w:val="21"/>
          <w:sz w:val="32"/>
          <w:szCs w:val="32"/>
        </w:rPr>
        <w:t>加强和改进思想政治工作，加强未成年人思想道德教育，用好红色资源，加强青少年理想信念教育。</w:t>
      </w:r>
      <w:r>
        <w:rPr>
          <w:rFonts w:hint="eastAsia" w:ascii="仿宋_GB2312" w:hAnsi="仿宋_GB2312" w:cs="仿宋_GB2312"/>
          <w:color w:val="auto"/>
          <w:spacing w:val="0"/>
          <w:kern w:val="21"/>
          <w:sz w:val="32"/>
          <w:szCs w:val="32"/>
        </w:rPr>
        <w:t>推进理想信念教育常态化制度化，构建以中心城区和县区革命旧址</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纪念设施为依托，各级党校</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行政学院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干部学院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红色培训机构等为载体，重点红色课程和精品教学路线为核心的红色教育矩阵。支持</w:t>
      </w:r>
      <w:r>
        <w:rPr>
          <w:rFonts w:hint="eastAsia" w:ascii="仿宋_GB2312" w:hAnsi="仿宋_GB2312" w:cs="仿宋_GB2312"/>
          <w:color w:val="auto"/>
          <w:spacing w:val="0"/>
          <w:kern w:val="21"/>
          <w:sz w:val="32"/>
          <w:szCs w:val="32"/>
          <w:lang w:val="en-US" w:eastAsia="zh-CN"/>
        </w:rPr>
        <w:t>陕西</w:t>
      </w:r>
      <w:r>
        <w:rPr>
          <w:rFonts w:hint="eastAsia" w:ascii="仿宋_GB2312" w:hAnsi="仿宋_GB2312" w:cs="仿宋_GB2312"/>
          <w:color w:val="auto"/>
          <w:spacing w:val="0"/>
          <w:kern w:val="21"/>
          <w:sz w:val="32"/>
          <w:szCs w:val="32"/>
        </w:rPr>
        <w:t>延安干部学院</w:t>
      </w:r>
      <w:r>
        <w:rPr>
          <w:rFonts w:hint="eastAsia" w:ascii="仿宋_GB2312" w:hAnsi="仿宋_GB2312" w:cs="仿宋_GB2312"/>
          <w:color w:val="auto"/>
          <w:spacing w:val="0"/>
          <w:kern w:val="21"/>
          <w:sz w:val="32"/>
          <w:szCs w:val="32"/>
          <w:lang w:val="en-US" w:eastAsia="zh-CN"/>
        </w:rPr>
        <w:t>高质量发展，推动党性教育基地建设</w:t>
      </w:r>
      <w:r>
        <w:rPr>
          <w:rFonts w:hint="eastAsia" w:ascii="仿宋_GB2312" w:hAnsi="仿宋_GB2312" w:cs="仿宋_GB2312"/>
          <w:color w:val="auto"/>
          <w:spacing w:val="0"/>
          <w:kern w:val="21"/>
          <w:sz w:val="32"/>
          <w:szCs w:val="32"/>
          <w:lang w:eastAsia="zh-CN"/>
        </w:rPr>
        <w:t>。</w:t>
      </w:r>
    </w:p>
    <w:p w14:paraId="545D16BC">
      <w:pPr>
        <w:keepNext w:val="0"/>
        <w:keepLines w:val="0"/>
        <w:pageBreakBefore w:val="0"/>
        <w:widowControl w:val="0"/>
        <w:tabs>
          <w:tab w:val="left" w:pos="3200"/>
        </w:tabs>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深化精神文明建设。</w:t>
      </w:r>
      <w:r>
        <w:rPr>
          <w:rFonts w:hint="eastAsia" w:ascii="仿宋_GB2312" w:hAnsi="仿宋_GB2312" w:eastAsia="仿宋_GB2312" w:cs="仿宋_GB2312"/>
          <w:b w:val="0"/>
          <w:bCs/>
          <w:color w:val="auto"/>
          <w:spacing w:val="0"/>
          <w:kern w:val="21"/>
          <w:sz w:val="32"/>
          <w:szCs w:val="32"/>
        </w:rPr>
        <w:t>运用好常态化精神文明建设机制，统筹城乡精神文明建设，一体推进文明培育、文明实践、文明创建。</w:t>
      </w:r>
      <w:r>
        <w:rPr>
          <w:rFonts w:hint="eastAsia" w:ascii="仿宋_GB2312" w:hAnsi="仿宋_GB2312" w:cs="仿宋_GB2312"/>
          <w:color w:val="auto"/>
          <w:spacing w:val="0"/>
          <w:kern w:val="21"/>
          <w:sz w:val="32"/>
          <w:szCs w:val="32"/>
        </w:rPr>
        <w:t>巩固推广</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新时代</w:t>
      </w:r>
      <w:r>
        <w:rPr>
          <w:rFonts w:hint="eastAsia" w:ascii="仿宋_GB2312" w:hAnsi="仿宋_GB2312" w:cs="仿宋_GB2312"/>
          <w:color w:val="auto"/>
          <w:spacing w:val="0"/>
          <w:kern w:val="21"/>
          <w:sz w:val="32"/>
          <w:szCs w:val="32"/>
          <w:lang w:val="en-US" w:eastAsia="zh-CN"/>
        </w:rPr>
        <w:t>·</w:t>
      </w:r>
      <w:r>
        <w:rPr>
          <w:rFonts w:hint="eastAsia" w:ascii="仿宋_GB2312" w:hAnsi="仿宋_GB2312" w:cs="仿宋_GB2312"/>
          <w:color w:val="auto"/>
          <w:spacing w:val="0"/>
          <w:kern w:val="21"/>
          <w:sz w:val="32"/>
          <w:szCs w:val="32"/>
        </w:rPr>
        <w:t>新民歌</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文明大篷车</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夜评会</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等新时代文明实践经验做法。实施公民道德建设工程，推出更多新时代延安模范，发挥“时代楷模”宝塔消防救援站、全国“公安楷模”枣园派出所等示范带动作用，在全社会形成崇德向善、见贤思齐的浓厚氛围。实施公民科学素质、人文素养提升工程。发挥市民公约、村规民约等作用，加强家庭家教家风建设，持续推进移风易俗，培育文明乡风。</w:t>
      </w:r>
      <w:r>
        <w:rPr>
          <w:rFonts w:hint="eastAsia" w:ascii="仿宋_GB2312" w:hAnsi="仿宋_GB2312" w:eastAsia="仿宋_GB2312" w:cs="仿宋_GB2312"/>
          <w:b w:val="0"/>
          <w:bCs/>
          <w:color w:val="auto"/>
          <w:spacing w:val="0"/>
          <w:kern w:val="21"/>
          <w:sz w:val="32"/>
          <w:szCs w:val="32"/>
        </w:rPr>
        <w:t>大力弘扬诚信文化、廉洁文化。</w:t>
      </w:r>
    </w:p>
    <w:p w14:paraId="578A90F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05" w:name="_Toc23436"/>
      <w:bookmarkStart w:id="106" w:name="_Toc23584"/>
      <w:bookmarkStart w:id="107" w:name="_Toc30577"/>
      <w:bookmarkStart w:id="108" w:name="_Toc13585"/>
    </w:p>
    <w:p w14:paraId="7F4443C2">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第二十</w:t>
      </w:r>
      <w:r>
        <w:rPr>
          <w:rFonts w:hint="eastAsia" w:ascii="仿宋_GB2312" w:hAnsi="仿宋_GB2312"/>
          <w:color w:val="auto"/>
          <w:spacing w:val="0"/>
          <w:kern w:val="21"/>
          <w:sz w:val="32"/>
          <w:szCs w:val="32"/>
          <w:lang w:val="en-US" w:eastAsia="zh-CN"/>
        </w:rPr>
        <w:t>九</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守护好中国共产党人</w:t>
      </w:r>
      <w:r>
        <w:rPr>
          <w:rFonts w:hint="eastAsia" w:ascii="仿宋_GB2312" w:hAnsi="仿宋_GB2312"/>
          <w:color w:val="auto"/>
          <w:spacing w:val="0"/>
          <w:kern w:val="21"/>
          <w:sz w:val="32"/>
          <w:szCs w:val="32"/>
          <w:lang w:eastAsia="zh-CN"/>
        </w:rPr>
        <w:t>的</w:t>
      </w:r>
      <w:r>
        <w:rPr>
          <w:rFonts w:hint="eastAsia" w:ascii="仿宋_GB2312" w:hAnsi="仿宋_GB2312"/>
          <w:color w:val="auto"/>
          <w:spacing w:val="0"/>
          <w:kern w:val="21"/>
          <w:sz w:val="32"/>
          <w:szCs w:val="32"/>
        </w:rPr>
        <w:t>精神家园</w:t>
      </w:r>
      <w:bookmarkEnd w:id="105"/>
      <w:bookmarkEnd w:id="106"/>
      <w:bookmarkEnd w:id="107"/>
    </w:p>
    <w:p w14:paraId="50D585D2">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楷体_GB2312" w:hAnsi="楷体_GB2312" w:eastAsia="楷体_GB2312" w:cs="楷体_GB2312"/>
          <w:b w:val="0"/>
          <w:bCs w:val="0"/>
          <w:color w:val="auto"/>
          <w:spacing w:val="0"/>
          <w:kern w:val="21"/>
          <w:sz w:val="32"/>
          <w:szCs w:val="32"/>
        </w:rPr>
      </w:pPr>
    </w:p>
    <w:p w14:paraId="578416A4">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加强革命文物保护利用。</w:t>
      </w:r>
      <w:r>
        <w:rPr>
          <w:rFonts w:hint="eastAsia" w:ascii="仿宋_GB2312" w:hAnsi="仿宋_GB2312" w:cs="仿宋_GB2312"/>
          <w:color w:val="auto"/>
          <w:spacing w:val="0"/>
          <w:kern w:val="21"/>
          <w:sz w:val="32"/>
          <w:szCs w:val="32"/>
        </w:rPr>
        <w:t>巩固提升革命文物国家文物保护利用示范区创建成果，完善</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六项机制抓保护</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六个融合促发展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延安经验</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u w:val="none" w:color="auto"/>
          <w:lang w:val="en-US" w:eastAsia="zh-CN"/>
        </w:rPr>
        <w:t>守护好延安宝塔中国革命的精神标识</w:t>
      </w:r>
      <w:r>
        <w:rPr>
          <w:rFonts w:hint="eastAsia" w:ascii="仿宋_GB2312" w:hAnsi="仿宋_GB2312" w:cs="仿宋_GB2312"/>
          <w:b w:val="0"/>
          <w:bCs w:val="0"/>
          <w:color w:val="auto"/>
          <w:spacing w:val="0"/>
          <w:kern w:val="21"/>
          <w:sz w:val="32"/>
          <w:szCs w:val="32"/>
          <w:u w:val="none" w:color="auto"/>
          <w:lang w:val="en-US" w:eastAsia="zh-CN"/>
        </w:rPr>
        <w:t>。</w:t>
      </w:r>
      <w:r>
        <w:rPr>
          <w:rFonts w:hint="eastAsia" w:ascii="仿宋_GB2312" w:hAnsi="仿宋_GB2312" w:eastAsia="仿宋_GB2312" w:cs="仿宋_GB2312"/>
          <w:b w:val="0"/>
          <w:bCs w:val="0"/>
          <w:color w:val="auto"/>
          <w:spacing w:val="0"/>
          <w:kern w:val="21"/>
          <w:sz w:val="32"/>
          <w:szCs w:val="32"/>
          <w:u w:val="none" w:color="auto"/>
          <w:lang w:val="en-US" w:eastAsia="zh-CN"/>
        </w:rPr>
        <w:t>加强革命文物保护研究利用，</w:t>
      </w:r>
      <w:r>
        <w:rPr>
          <w:rFonts w:hint="eastAsia" w:ascii="仿宋_GB2312" w:hAnsi="仿宋_GB2312" w:cs="仿宋_GB2312"/>
          <w:color w:val="auto"/>
          <w:spacing w:val="0"/>
          <w:kern w:val="21"/>
          <w:sz w:val="32"/>
          <w:szCs w:val="32"/>
          <w:lang w:val="en-US" w:eastAsia="zh-CN"/>
        </w:rPr>
        <w:t>建好用好革命文物协同研究中心，</w:t>
      </w:r>
      <w:r>
        <w:rPr>
          <w:rFonts w:hint="eastAsia" w:ascii="仿宋_GB2312" w:hAnsi="仿宋_GB2312" w:cs="仿宋_GB2312"/>
          <w:color w:val="auto"/>
          <w:spacing w:val="0"/>
          <w:kern w:val="21"/>
          <w:sz w:val="32"/>
          <w:szCs w:val="32"/>
        </w:rPr>
        <w:t>制定革命文物保护专项行动计划，推进市域内445处革命旧址系统性整体性保护，加快实施延安革命遗址典型窑洞建筑研究性保护工程，做好陕甘宁革命文物保护利用片区连片保护和整体展示工作。加强纪念场馆</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革命旧址</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陈列布展改造提升，</w:t>
      </w:r>
      <w:r>
        <w:rPr>
          <w:rFonts w:hint="eastAsia" w:ascii="仿宋_GB2312" w:hAnsi="仿宋_GB2312" w:cs="仿宋_GB2312"/>
          <w:color w:val="auto"/>
          <w:spacing w:val="0"/>
          <w:kern w:val="21"/>
          <w:sz w:val="32"/>
          <w:szCs w:val="32"/>
          <w:highlight w:val="none"/>
        </w:rPr>
        <w:t>打造更高成色的中国革命博物馆城。</w:t>
      </w:r>
      <w:r>
        <w:rPr>
          <w:rFonts w:hint="eastAsia" w:ascii="仿宋_GB2312" w:hAnsi="仿宋_GB2312" w:cs="仿宋_GB2312"/>
          <w:color w:val="auto"/>
          <w:spacing w:val="0"/>
          <w:kern w:val="21"/>
          <w:sz w:val="32"/>
          <w:szCs w:val="32"/>
        </w:rPr>
        <w:t>加强与中央部委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相关高校等历史传承沿革单位交流合作，共同推进有关革命旧址保护和活化利用。</w:t>
      </w:r>
    </w:p>
    <w:p w14:paraId="7820863D">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eastAsia="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深化红色文化挖掘研究。</w:t>
      </w:r>
      <w:r>
        <w:rPr>
          <w:rFonts w:hint="eastAsia" w:ascii="仿宋_GB2312" w:hAnsi="仿宋_GB2312" w:cs="仿宋_GB2312"/>
          <w:color w:val="auto"/>
          <w:spacing w:val="0"/>
          <w:kern w:val="21"/>
          <w:sz w:val="32"/>
          <w:szCs w:val="32"/>
        </w:rPr>
        <w:t>大力弘扬以伟大建党精神为源头的中国共产党人精神谱系，深化延安精神、南泥湾精神、张思德精神和长征精神、抗战精神等研究阐释、宣传践行，巩固提升革命文物国家文物保护利用示范区创建成果。加强对党中央在延安十三年史、西北革命根据地史的挖掘研究，做好革命文献档案史料和口述资料的搜集整理，推出兼具学术深度与时代价值的研究成果。推进中国延安干部学院</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延安</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无锡共建</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精神家园</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教学体验项目。</w:t>
      </w:r>
    </w:p>
    <w:p w14:paraId="5016328F">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赓续传承红色基因。</w:t>
      </w:r>
      <w:r>
        <w:rPr>
          <w:rFonts w:hint="eastAsia" w:ascii="仿宋_GB2312" w:hAnsi="仿宋_GB2312" w:eastAsia="仿宋_GB2312" w:cs="仿宋_GB2312"/>
          <w:b w:val="0"/>
          <w:bCs w:val="0"/>
          <w:color w:val="auto"/>
          <w:spacing w:val="0"/>
          <w:kern w:val="21"/>
          <w:sz w:val="32"/>
          <w:szCs w:val="32"/>
          <w:lang w:val="en-US" w:eastAsia="zh-CN"/>
        </w:rPr>
        <w:t>发挥好全国爱国主义、革命传统、延安精神三大教育基地作用，持续做大做强红色教育培训品牌</w:t>
      </w:r>
      <w:r>
        <w:rPr>
          <w:rFonts w:hint="eastAsia" w:ascii="仿宋_GB2312" w:hAnsi="仿宋_GB2312" w:cs="仿宋_GB2312"/>
          <w:b w:val="0"/>
          <w:bCs w:val="0"/>
          <w:color w:val="auto"/>
          <w:spacing w:val="0"/>
          <w:kern w:val="21"/>
          <w:sz w:val="32"/>
          <w:szCs w:val="32"/>
          <w:lang w:val="en-US" w:eastAsia="zh-CN"/>
        </w:rPr>
        <w:t>，扎实</w:t>
      </w:r>
      <w:r>
        <w:rPr>
          <w:rFonts w:hint="eastAsia" w:ascii="仿宋_GB2312" w:hAnsi="仿宋_GB2312" w:cs="仿宋_GB2312"/>
          <w:color w:val="auto"/>
          <w:spacing w:val="0"/>
          <w:kern w:val="21"/>
          <w:sz w:val="32"/>
          <w:szCs w:val="32"/>
        </w:rPr>
        <w:t>开展爱国主义教育和国防教育。用好“延安故事会”宣讲品牌，办好“我要去延安”“窑洞大学”等“行走的大思政课”系列研学活动，讲好党的故事、革命的故事、延安的故事。</w:t>
      </w:r>
    </w:p>
    <w:p w14:paraId="4B39150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09" w:name="_Toc7300"/>
      <w:bookmarkStart w:id="110" w:name="_Toc16190"/>
      <w:bookmarkStart w:id="111" w:name="_Toc2300"/>
    </w:p>
    <w:p w14:paraId="3E19365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w:t>
      </w:r>
      <w:r>
        <w:rPr>
          <w:rFonts w:hint="eastAsia" w:ascii="仿宋_GB2312" w:hAnsi="仿宋_GB2312"/>
          <w:color w:val="auto"/>
          <w:spacing w:val="0"/>
          <w:kern w:val="21"/>
          <w:sz w:val="32"/>
          <w:szCs w:val="32"/>
          <w:lang w:val="en-US" w:eastAsia="zh-CN"/>
        </w:rPr>
        <w:t>三十</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加强文化遗产保护利用</w:t>
      </w:r>
      <w:bookmarkEnd w:id="108"/>
      <w:bookmarkEnd w:id="109"/>
      <w:bookmarkEnd w:id="110"/>
      <w:bookmarkEnd w:id="111"/>
    </w:p>
    <w:p w14:paraId="11297E99">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楷体_GB2312" w:hAnsi="楷体_GB2312" w:eastAsia="楷体_GB2312" w:cs="楷体_GB2312"/>
          <w:b w:val="0"/>
          <w:bCs w:val="0"/>
          <w:color w:val="auto"/>
          <w:spacing w:val="0"/>
          <w:kern w:val="21"/>
          <w:sz w:val="32"/>
          <w:szCs w:val="32"/>
        </w:rPr>
      </w:pPr>
    </w:p>
    <w:p w14:paraId="7148225C">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仿宋_GB2312" w:hAnsi="仿宋_GB2312" w:cs="仿宋_GB2312"/>
          <w:color w:val="auto"/>
          <w:spacing w:val="0"/>
          <w:kern w:val="21"/>
          <w:sz w:val="32"/>
          <w:szCs w:val="32"/>
        </w:rPr>
      </w:pPr>
      <w:r>
        <w:rPr>
          <w:rFonts w:hint="default" w:ascii="楷体_GB2312" w:hAnsi="楷体_GB2312" w:eastAsia="楷体_GB2312" w:cs="楷体_GB2312"/>
          <w:b w:val="0"/>
          <w:bCs w:val="0"/>
          <w:color w:val="auto"/>
          <w:spacing w:val="0"/>
          <w:kern w:val="21"/>
          <w:sz w:val="32"/>
          <w:szCs w:val="32"/>
        </w:rPr>
        <w:t>推进文化遗产系统性保护。</w:t>
      </w:r>
      <w:r>
        <w:rPr>
          <w:rFonts w:hint="eastAsia" w:ascii="仿宋_GB2312" w:hAnsi="仿宋_GB2312" w:eastAsia="仿宋_GB2312" w:cs="仿宋_GB2312"/>
          <w:b w:val="0"/>
          <w:bCs/>
          <w:color w:val="auto"/>
          <w:spacing w:val="0"/>
          <w:kern w:val="21"/>
          <w:sz w:val="32"/>
          <w:szCs w:val="32"/>
        </w:rPr>
        <w:t>健全全域资源守护、价值阐释传播、陈列展示升级、文物活化利用、筑牢安全防线、数字赋能创新等体系，构建大保护格局。</w:t>
      </w:r>
      <w:r>
        <w:rPr>
          <w:rFonts w:hint="default" w:ascii="仿宋_GB2312" w:hAnsi="仿宋_GB2312" w:cs="仿宋_GB2312"/>
          <w:color w:val="auto"/>
          <w:spacing w:val="0"/>
          <w:kern w:val="21"/>
          <w:sz w:val="32"/>
          <w:szCs w:val="32"/>
        </w:rPr>
        <w:t>加强对文物古迹</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历史建筑</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古树名木</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古籍碑刻等保护和监管。深化文物分级分类管理</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加大长城</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秦直道</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石窟等重点文化遗产保护管理。提升延长石油陆上第一口油井旧址研究保护和展示利用水平。加强对5000年以上树龄的古柏保护。加强传统村落和乡村特色风貌保护。做好馆藏文物</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国保石窟的数字化保护，利用数智化手段加强文物本体安全监测，严厉打击挖掘</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贩卖文物和古生物化石等违法犯罪行为，守牢文物安全底线。</w:t>
      </w:r>
    </w:p>
    <w:p w14:paraId="728DD098">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default" w:ascii="仿宋_GB2312" w:hAnsi="仿宋_GB2312" w:cs="仿宋_GB2312"/>
          <w:color w:val="auto"/>
          <w:spacing w:val="0"/>
          <w:kern w:val="21"/>
          <w:sz w:val="32"/>
          <w:szCs w:val="32"/>
        </w:rPr>
      </w:pPr>
      <w:r>
        <w:rPr>
          <w:rFonts w:hint="default" w:ascii="楷体_GB2312" w:hAnsi="楷体_GB2312" w:eastAsia="楷体_GB2312" w:cs="楷体_GB2312"/>
          <w:b w:val="0"/>
          <w:bCs w:val="0"/>
          <w:color w:val="auto"/>
          <w:spacing w:val="0"/>
          <w:kern w:val="21"/>
          <w:sz w:val="32"/>
          <w:szCs w:val="32"/>
        </w:rPr>
        <w:t>深化文化遗产研究利用。</w:t>
      </w:r>
      <w:r>
        <w:rPr>
          <w:rFonts w:hint="eastAsia" w:ascii="仿宋_GB2312" w:hAnsi="仿宋_GB2312" w:eastAsia="仿宋_GB2312" w:cs="仿宋_GB2312"/>
          <w:b w:val="0"/>
          <w:bCs/>
          <w:color w:val="auto"/>
          <w:spacing w:val="0"/>
          <w:kern w:val="21"/>
          <w:sz w:val="32"/>
          <w:szCs w:val="32"/>
        </w:rPr>
        <w:t>守护好黄帝陵中华文明的精神标识，</w:t>
      </w:r>
      <w:r>
        <w:rPr>
          <w:rFonts w:hint="eastAsia" w:ascii="仿宋_GB2312" w:hAnsi="仿宋_GB2312" w:cs="仿宋_GB2312"/>
          <w:bCs/>
          <w:color w:val="auto"/>
          <w:spacing w:val="0"/>
          <w:kern w:val="21"/>
          <w:sz w:val="32"/>
          <w:szCs w:val="32"/>
        </w:rPr>
        <w:t>加快黄帝陵文化园区规划修编</w:t>
      </w:r>
      <w:r>
        <w:rPr>
          <w:rFonts w:hint="eastAsia" w:ascii="仿宋_GB2312" w:hAnsi="仿宋_GB2312" w:cs="仿宋_GB2312"/>
          <w:bCs/>
          <w:color w:val="auto"/>
          <w:spacing w:val="0"/>
          <w:kern w:val="21"/>
          <w:sz w:val="32"/>
          <w:szCs w:val="32"/>
          <w:lang w:eastAsia="zh-CN"/>
        </w:rPr>
        <w:t>，</w:t>
      </w:r>
      <w:r>
        <w:rPr>
          <w:rFonts w:hint="default" w:ascii="仿宋_GB2312" w:hAnsi="仿宋_GB2312" w:cs="仿宋_GB2312"/>
          <w:color w:val="auto"/>
          <w:spacing w:val="0"/>
          <w:kern w:val="21"/>
          <w:sz w:val="32"/>
          <w:szCs w:val="32"/>
        </w:rPr>
        <w:t>深化黄帝陵公祭与民祭民俗活动研究，</w:t>
      </w:r>
      <w:r>
        <w:rPr>
          <w:rFonts w:hint="eastAsia" w:ascii="仿宋_GB2312" w:hAnsi="仿宋_GB2312" w:eastAsia="仿宋_GB2312" w:cs="仿宋_GB2312"/>
          <w:b w:val="0"/>
          <w:bCs/>
          <w:color w:val="auto"/>
          <w:spacing w:val="0"/>
          <w:kern w:val="21"/>
          <w:sz w:val="32"/>
          <w:szCs w:val="32"/>
        </w:rPr>
        <w:t>实施黄帝陵祭祀文化提升工程。</w:t>
      </w:r>
      <w:r>
        <w:rPr>
          <w:rFonts w:hint="eastAsia" w:ascii="仿宋_GB2312" w:hAnsi="仿宋_GB2312" w:cs="仿宋_GB2312"/>
          <w:b w:val="0"/>
          <w:bCs/>
          <w:color w:val="auto"/>
          <w:spacing w:val="0"/>
          <w:kern w:val="21"/>
          <w:sz w:val="32"/>
          <w:szCs w:val="32"/>
          <w:lang w:val="en-US" w:eastAsia="zh-CN"/>
        </w:rPr>
        <w:t>推动黄帝陵、延安宝塔等重要标识地、人文景观地串珠成链，建设一批核心展示园、特色展示点，打造中华文明传承展示重要窗口。</w:t>
      </w:r>
      <w:r>
        <w:rPr>
          <w:rFonts w:hint="eastAsia" w:ascii="仿宋_GB2312" w:hAnsi="仿宋_GB2312" w:eastAsia="仿宋_GB2312" w:cs="仿宋_GB2312"/>
          <w:b w:val="0"/>
          <w:bCs/>
          <w:color w:val="auto"/>
          <w:spacing w:val="0"/>
          <w:kern w:val="21"/>
          <w:sz w:val="32"/>
          <w:szCs w:val="32"/>
        </w:rPr>
        <w:t>深度参与中华文明探源工程，纵深推进芦山峁遗址考古挖掘研究</w:t>
      </w:r>
      <w:r>
        <w:rPr>
          <w:rFonts w:hint="default" w:ascii="仿宋_GB2312" w:hAnsi="仿宋_GB2312" w:cs="仿宋_GB2312"/>
          <w:color w:val="auto"/>
          <w:spacing w:val="0"/>
          <w:kern w:val="21"/>
          <w:sz w:val="32"/>
          <w:szCs w:val="32"/>
        </w:rPr>
        <w:t>，建设芦山峁考古遗址公园。深入挖掘黄河</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长城</w:t>
      </w:r>
      <w:r>
        <w:rPr>
          <w:rFonts w:hint="eastAsia" w:ascii="仿宋_GB2312" w:hAnsi="仿宋_GB2312" w:cs="仿宋_GB2312"/>
          <w:color w:val="auto"/>
          <w:spacing w:val="0"/>
          <w:kern w:val="21"/>
          <w:sz w:val="32"/>
          <w:szCs w:val="32"/>
          <w:lang w:eastAsia="zh-CN"/>
        </w:rPr>
        <w:t>、</w:t>
      </w:r>
      <w:r>
        <w:rPr>
          <w:rFonts w:hint="default" w:ascii="仿宋_GB2312" w:hAnsi="仿宋_GB2312" w:cs="仿宋_GB2312"/>
          <w:color w:val="auto"/>
          <w:spacing w:val="0"/>
          <w:kern w:val="21"/>
          <w:sz w:val="32"/>
          <w:szCs w:val="32"/>
        </w:rPr>
        <w:t>黄土文化内涵，</w:t>
      </w:r>
      <w:r>
        <w:rPr>
          <w:rFonts w:hint="eastAsia" w:ascii="仿宋_GB2312" w:hAnsi="仿宋_GB2312" w:eastAsia="仿宋_GB2312" w:cs="仿宋_GB2312"/>
          <w:b w:val="0"/>
          <w:bCs/>
          <w:color w:val="auto"/>
          <w:spacing w:val="0"/>
          <w:kern w:val="21"/>
          <w:sz w:val="32"/>
          <w:szCs w:val="32"/>
        </w:rPr>
        <w:t>建好用好黄河、长城、长征国家文化公园，加快推进黄河风景道（延安段）建设，做好秦直道部分重要点段研究展示。</w:t>
      </w:r>
    </w:p>
    <w:p w14:paraId="3841D8C5">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lang w:eastAsia="zh-CN"/>
        </w:rPr>
      </w:pPr>
      <w:r>
        <w:rPr>
          <w:rFonts w:hint="default" w:ascii="楷体_GB2312" w:hAnsi="楷体_GB2312" w:eastAsia="楷体_GB2312" w:cs="楷体_GB2312"/>
          <w:b w:val="0"/>
          <w:bCs w:val="0"/>
          <w:color w:val="auto"/>
          <w:spacing w:val="0"/>
          <w:kern w:val="21"/>
          <w:sz w:val="32"/>
          <w:szCs w:val="32"/>
        </w:rPr>
        <w:t>加快非遗活态传承发展。</w:t>
      </w:r>
      <w:r>
        <w:rPr>
          <w:rFonts w:hint="default" w:ascii="仿宋_GB2312" w:hAnsi="仿宋_GB2312" w:cs="仿宋_GB2312"/>
          <w:b w:val="0"/>
          <w:bCs/>
          <w:color w:val="auto"/>
          <w:spacing w:val="0"/>
          <w:kern w:val="21"/>
          <w:sz w:val="32"/>
          <w:szCs w:val="32"/>
        </w:rPr>
        <w:t>巩固国家级陕北文化生态保护区建设成果，加强安塞腰鼓、剪纸、陕北民歌、陕北说书等非遗项目的传承发展和数字化</w:t>
      </w:r>
      <w:r>
        <w:rPr>
          <w:rFonts w:hint="eastAsia" w:ascii="仿宋_GB2312" w:hAnsi="仿宋_GB2312" w:cs="仿宋_GB2312"/>
          <w:b w:val="0"/>
          <w:bCs/>
          <w:color w:val="auto"/>
          <w:spacing w:val="0"/>
          <w:kern w:val="21"/>
          <w:sz w:val="32"/>
          <w:szCs w:val="32"/>
          <w:lang w:val="en-US" w:eastAsia="zh-CN"/>
        </w:rPr>
        <w:t>保护</w:t>
      </w:r>
      <w:r>
        <w:rPr>
          <w:rFonts w:hint="default" w:ascii="仿宋_GB2312" w:hAnsi="仿宋_GB2312" w:cs="仿宋_GB2312"/>
          <w:b w:val="0"/>
          <w:bCs/>
          <w:color w:val="auto"/>
          <w:spacing w:val="0"/>
          <w:kern w:val="21"/>
          <w:sz w:val="32"/>
          <w:szCs w:val="32"/>
        </w:rPr>
        <w:t>，支持有条件的非遗产品产业化。健全非遗四级名录体系，推动1</w:t>
      </w:r>
      <w:r>
        <w:rPr>
          <w:rFonts w:hint="eastAsia" w:ascii="仿宋_GB2312" w:hAnsi="仿宋_GB2312" w:cs="仿宋_GB2312"/>
          <w:b w:val="0"/>
          <w:bCs/>
          <w:color w:val="auto"/>
          <w:spacing w:val="0"/>
          <w:kern w:val="21"/>
          <w:sz w:val="32"/>
          <w:szCs w:val="32"/>
          <w:lang w:val="en-US" w:eastAsia="zh-CN"/>
        </w:rPr>
        <w:t>-</w:t>
      </w:r>
      <w:r>
        <w:rPr>
          <w:rFonts w:hint="default" w:ascii="仿宋_GB2312" w:hAnsi="仿宋_GB2312" w:cs="仿宋_GB2312"/>
          <w:b w:val="0"/>
          <w:bCs/>
          <w:color w:val="auto"/>
          <w:spacing w:val="0"/>
          <w:kern w:val="21"/>
          <w:sz w:val="32"/>
          <w:szCs w:val="32"/>
        </w:rPr>
        <w:t>2个项目进入国家级非遗名录。强化各级非遗项目保护与传承人认定管理，健全动态考评与扶持机制。广泛开展非遗展示展演、代表性传承人研修培训、非遗“七进”等活动，筑牢陕北文化生态保护的活态根基。</w:t>
      </w:r>
    </w:p>
    <w:p w14:paraId="4A3D7A66">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12" w:name="_Toc28450"/>
      <w:bookmarkStart w:id="113" w:name="_Toc11060"/>
      <w:bookmarkStart w:id="114" w:name="_Toc31727"/>
      <w:bookmarkStart w:id="115" w:name="_Toc25459"/>
    </w:p>
    <w:p w14:paraId="1AC1A41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第三十</w:t>
      </w:r>
      <w:r>
        <w:rPr>
          <w:rFonts w:hint="eastAsia" w:ascii="仿宋_GB2312" w:hAnsi="仿宋_GB2312"/>
          <w:color w:val="auto"/>
          <w:spacing w:val="0"/>
          <w:kern w:val="21"/>
          <w:sz w:val="32"/>
          <w:szCs w:val="32"/>
          <w:lang w:val="en-US" w:eastAsia="zh-CN"/>
        </w:rPr>
        <w:t>一</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持续优化文化服务和文化产品供给</w:t>
      </w:r>
      <w:bookmarkEnd w:id="112"/>
      <w:bookmarkEnd w:id="113"/>
      <w:bookmarkEnd w:id="114"/>
      <w:bookmarkEnd w:id="115"/>
    </w:p>
    <w:p w14:paraId="6EB802F2">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楷体_GB2312" w:hAnsi="楷体_GB2312" w:eastAsia="楷体_GB2312" w:cs="楷体_GB2312"/>
          <w:b w:val="0"/>
          <w:bCs w:val="0"/>
          <w:color w:val="auto"/>
          <w:spacing w:val="0"/>
          <w:kern w:val="21"/>
          <w:sz w:val="32"/>
          <w:szCs w:val="32"/>
          <w:u w:val="none" w:color="auto"/>
          <w:lang w:val="en-US" w:eastAsia="zh-CN"/>
        </w:rPr>
      </w:pPr>
    </w:p>
    <w:p w14:paraId="0009EAB2">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eastAsia="仿宋_GB2312" w:cs="Times New Roman"/>
          <w:b w:val="0"/>
          <w:bCs w:val="0"/>
          <w:color w:val="auto"/>
          <w:spacing w:val="0"/>
          <w:kern w:val="21"/>
          <w:sz w:val="32"/>
          <w:szCs w:val="32"/>
          <w:u w:val="none" w:color="auto"/>
          <w:lang w:val="en-US" w:eastAsia="zh-CN"/>
        </w:rPr>
      </w:pPr>
      <w:r>
        <w:rPr>
          <w:rFonts w:hint="eastAsia" w:ascii="楷体_GB2312" w:hAnsi="楷体_GB2312" w:eastAsia="楷体_GB2312" w:cs="楷体_GB2312"/>
          <w:b w:val="0"/>
          <w:bCs w:val="0"/>
          <w:color w:val="auto"/>
          <w:spacing w:val="0"/>
          <w:kern w:val="21"/>
          <w:sz w:val="32"/>
          <w:szCs w:val="32"/>
          <w:u w:val="none" w:color="auto"/>
          <w:lang w:val="en-US" w:eastAsia="zh-CN"/>
        </w:rPr>
        <w:t>推进公共文化设施建设。</w:t>
      </w:r>
      <w:r>
        <w:rPr>
          <w:rFonts w:hint="eastAsia" w:ascii="仿宋_GB2312" w:hAnsi="仿宋_GB2312" w:eastAsia="仿宋_GB2312" w:cs="仿宋_GB2312"/>
          <w:b w:val="0"/>
          <w:bCs/>
          <w:color w:val="auto"/>
          <w:spacing w:val="0"/>
          <w:kern w:val="21"/>
          <w:sz w:val="32"/>
          <w:szCs w:val="32"/>
        </w:rPr>
        <w:t>实施文化场馆提质增效工程，有序推进图书馆、博物馆、文化馆、科技馆、体育</w:t>
      </w:r>
      <w:r>
        <w:rPr>
          <w:rFonts w:hint="eastAsia" w:ascii="仿宋_GB2312" w:hAnsi="仿宋_GB2312" w:cs="仿宋_GB2312"/>
          <w:b w:val="0"/>
          <w:bCs/>
          <w:color w:val="auto"/>
          <w:spacing w:val="0"/>
          <w:kern w:val="21"/>
          <w:sz w:val="32"/>
          <w:szCs w:val="32"/>
          <w:lang w:val="en-US" w:eastAsia="zh-CN"/>
        </w:rPr>
        <w:t>场</w:t>
      </w:r>
      <w:r>
        <w:rPr>
          <w:rFonts w:hint="eastAsia" w:ascii="仿宋_GB2312" w:hAnsi="仿宋_GB2312" w:eastAsia="仿宋_GB2312" w:cs="仿宋_GB2312"/>
          <w:b w:val="0"/>
          <w:bCs/>
          <w:color w:val="auto"/>
          <w:spacing w:val="0"/>
          <w:kern w:val="21"/>
          <w:sz w:val="32"/>
          <w:szCs w:val="32"/>
        </w:rPr>
        <w:t>馆</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健身中心</w:t>
      </w:r>
      <w:r>
        <w:rPr>
          <w:rFonts w:hint="eastAsia" w:ascii="仿宋_GB2312" w:hAnsi="仿宋_GB2312" w:eastAsia="仿宋_GB2312" w:cs="仿宋_GB2312"/>
          <w:b w:val="0"/>
          <w:bCs/>
          <w:color w:val="auto"/>
          <w:spacing w:val="0"/>
          <w:kern w:val="21"/>
          <w:sz w:val="32"/>
          <w:szCs w:val="32"/>
        </w:rPr>
        <w:t>等公共文化资源系统整合、改造提升</w:t>
      </w:r>
      <w:r>
        <w:rPr>
          <w:rFonts w:hint="eastAsia" w:ascii="仿宋_GB2312" w:hAnsi="宋体" w:eastAsia="仿宋_GB2312" w:cs="Times New Roman"/>
          <w:b w:val="0"/>
          <w:bCs w:val="0"/>
          <w:color w:val="auto"/>
          <w:spacing w:val="0"/>
          <w:kern w:val="21"/>
          <w:sz w:val="32"/>
          <w:szCs w:val="32"/>
          <w:u w:val="none" w:color="auto"/>
          <w:lang w:val="en-US" w:eastAsia="zh-CN"/>
        </w:rPr>
        <w:t>，策划开展多元化展览和特色活动，不断提高使用效能和服务水平。优化城市书房布局，深化“延州阅读”全民阅读品牌建设，打造</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一刻钟</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城市公共文化服务圈和新型特色公共文化IP。推动基层文化阵地与新时代文明实践中心</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站</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所</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共建共享共融。分步实施延安红色文旅数据集</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《延安日报》数字化等一批公共数字文化项目。</w:t>
      </w:r>
    </w:p>
    <w:p w14:paraId="6A6368C4">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eastAsia="仿宋_GB2312" w:cs="Times New Roman"/>
          <w:b w:val="0"/>
          <w:bCs w:val="0"/>
          <w:color w:val="auto"/>
          <w:spacing w:val="0"/>
          <w:kern w:val="21"/>
          <w:sz w:val="32"/>
          <w:szCs w:val="32"/>
          <w:u w:val="none" w:color="auto"/>
          <w:lang w:val="en-US" w:eastAsia="zh-CN"/>
        </w:rPr>
      </w:pPr>
      <w:r>
        <w:rPr>
          <w:rFonts w:hint="eastAsia" w:ascii="楷体_GB2312" w:hAnsi="楷体_GB2312" w:eastAsia="楷体_GB2312" w:cs="楷体_GB2312"/>
          <w:b w:val="0"/>
          <w:bCs w:val="0"/>
          <w:color w:val="auto"/>
          <w:spacing w:val="0"/>
          <w:kern w:val="21"/>
          <w:sz w:val="32"/>
          <w:szCs w:val="32"/>
          <w:u w:val="none" w:color="auto"/>
          <w:lang w:val="en-US" w:eastAsia="zh-CN"/>
        </w:rPr>
        <w:t>丰富基层群众文化生活。</w:t>
      </w:r>
      <w:r>
        <w:rPr>
          <w:rFonts w:hint="eastAsia" w:ascii="仿宋_GB2312" w:hAnsi="宋体" w:eastAsia="仿宋_GB2312" w:cs="Times New Roman"/>
          <w:b w:val="0"/>
          <w:bCs w:val="0"/>
          <w:color w:val="auto"/>
          <w:spacing w:val="0"/>
          <w:kern w:val="21"/>
          <w:sz w:val="32"/>
          <w:szCs w:val="32"/>
          <w:u w:val="none" w:color="auto"/>
          <w:lang w:val="en-US" w:eastAsia="zh-CN"/>
        </w:rPr>
        <w:t>围绕纪念延安文艺座谈会</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新时代文艺工作座谈会</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开展音乐会</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文化周等系列活动。</w:t>
      </w:r>
      <w:r>
        <w:rPr>
          <w:rFonts w:hint="eastAsia" w:ascii="仿宋_GB2312" w:hAnsi="仿宋_GB2312" w:eastAsia="仿宋_GB2312" w:cs="仿宋_GB2312"/>
          <w:b w:val="0"/>
          <w:bCs/>
          <w:color w:val="auto"/>
          <w:spacing w:val="0"/>
          <w:kern w:val="21"/>
          <w:sz w:val="32"/>
          <w:szCs w:val="32"/>
        </w:rPr>
        <w:t>持续办好</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延安过大年</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等品牌文化活动</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仿宋_GB2312" w:eastAsia="仿宋_GB2312" w:cs="仿宋_GB2312"/>
          <w:b w:val="0"/>
          <w:bCs/>
          <w:color w:val="auto"/>
          <w:spacing w:val="0"/>
          <w:kern w:val="21"/>
          <w:sz w:val="32"/>
          <w:szCs w:val="32"/>
        </w:rPr>
        <w:t>深化文艺“六进”“戏曲下乡”“电影进村”等文化惠民活动，</w:t>
      </w:r>
      <w:r>
        <w:rPr>
          <w:rFonts w:hint="eastAsia" w:ascii="仿宋_GB2312" w:hAnsi="宋体" w:eastAsia="仿宋_GB2312" w:cs="Times New Roman"/>
          <w:b w:val="0"/>
          <w:bCs w:val="0"/>
          <w:color w:val="auto"/>
          <w:spacing w:val="0"/>
          <w:kern w:val="21"/>
          <w:sz w:val="32"/>
          <w:szCs w:val="32"/>
          <w:u w:val="none" w:color="auto"/>
          <w:lang w:val="en-US" w:eastAsia="zh-CN"/>
        </w:rPr>
        <w:t>办好农民丰收节</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特色</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村晚</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村</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社区</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运动会等群众性文体活动。</w:t>
      </w:r>
    </w:p>
    <w:p w14:paraId="1BB1BC68">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cs="Times New Roman"/>
          <w:color w:val="auto"/>
          <w:spacing w:val="0"/>
          <w:kern w:val="21"/>
          <w:sz w:val="32"/>
          <w:szCs w:val="32"/>
          <w:u w:val="none" w:color="auto"/>
        </w:rPr>
      </w:pPr>
      <w:r>
        <w:rPr>
          <w:rFonts w:hint="eastAsia" w:ascii="楷体_GB2312" w:hAnsi="楷体_GB2312" w:eastAsia="楷体_GB2312" w:cs="楷体_GB2312"/>
          <w:b w:val="0"/>
          <w:bCs w:val="0"/>
          <w:color w:val="auto"/>
          <w:spacing w:val="0"/>
          <w:kern w:val="21"/>
          <w:sz w:val="32"/>
          <w:szCs w:val="32"/>
          <w:u w:val="none" w:color="auto"/>
          <w:lang w:val="en-US" w:eastAsia="zh-CN"/>
        </w:rPr>
        <w:t>推动大众文艺精品创作。</w:t>
      </w:r>
      <w:r>
        <w:rPr>
          <w:rFonts w:hint="eastAsia" w:ascii="仿宋_GB2312" w:hAnsi="仿宋_GB2312" w:eastAsia="仿宋_GB2312" w:cs="仿宋_GB2312"/>
          <w:b w:val="0"/>
          <w:bCs/>
          <w:color w:val="auto"/>
          <w:spacing w:val="0"/>
          <w:kern w:val="21"/>
          <w:sz w:val="32"/>
          <w:szCs w:val="32"/>
        </w:rPr>
        <w:t>实施新时代文艺精品创作工程，</w:t>
      </w:r>
      <w:r>
        <w:rPr>
          <w:rFonts w:hint="eastAsia" w:ascii="仿宋_GB2312" w:hAnsi="宋体" w:eastAsia="仿宋_GB2312" w:cs="Times New Roman"/>
          <w:b w:val="0"/>
          <w:bCs w:val="0"/>
          <w:color w:val="auto"/>
          <w:spacing w:val="0"/>
          <w:kern w:val="21"/>
          <w:sz w:val="32"/>
          <w:szCs w:val="32"/>
          <w:u w:val="none" w:color="auto"/>
          <w:lang w:val="en-US" w:eastAsia="zh-CN"/>
        </w:rPr>
        <w:t>完善各类文艺精品奖扶和政府购买公共文化服务机制，</w:t>
      </w:r>
      <w:r>
        <w:rPr>
          <w:rFonts w:hint="eastAsia" w:ascii="仿宋_GB2312" w:hAnsi="仿宋_GB2312" w:eastAsia="仿宋_GB2312" w:cs="仿宋_GB2312"/>
          <w:b w:val="0"/>
          <w:bCs/>
          <w:color w:val="auto"/>
          <w:spacing w:val="0"/>
          <w:kern w:val="21"/>
          <w:sz w:val="32"/>
          <w:szCs w:val="32"/>
        </w:rPr>
        <w:t>推出一批冲刺国家级奖项的文艺作品。</w:t>
      </w:r>
      <w:r>
        <w:rPr>
          <w:rFonts w:hint="eastAsia" w:ascii="仿宋_GB2312" w:hAnsi="宋体" w:eastAsia="仿宋_GB2312" w:cs="Times New Roman"/>
          <w:b w:val="0"/>
          <w:bCs w:val="0"/>
          <w:color w:val="auto"/>
          <w:spacing w:val="0"/>
          <w:kern w:val="21"/>
          <w:sz w:val="32"/>
          <w:szCs w:val="32"/>
          <w:u w:val="none" w:color="auto"/>
          <w:lang w:val="en-US" w:eastAsia="zh-CN"/>
        </w:rPr>
        <w:t>深度参与承接融入新时代</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文学陕军</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攀登计划，加强对路遥文化资源保护利用。支持《延安文学》办出特色</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实施新大众文艺繁荣计划，</w:t>
      </w:r>
      <w:r>
        <w:rPr>
          <w:rFonts w:hint="eastAsia" w:ascii="仿宋_GB2312" w:hAnsi="宋体" w:cs="Times New Roman"/>
          <w:b w:val="0"/>
          <w:bCs w:val="0"/>
          <w:color w:val="auto"/>
          <w:spacing w:val="0"/>
          <w:kern w:val="21"/>
          <w:sz w:val="32"/>
          <w:szCs w:val="32"/>
          <w:u w:val="none" w:color="auto"/>
          <w:lang w:val="en-US" w:eastAsia="zh-CN"/>
        </w:rPr>
        <w:t>繁荣互联网条件下的新大众文艺，</w:t>
      </w:r>
      <w:r>
        <w:rPr>
          <w:rFonts w:hint="eastAsia" w:ascii="仿宋_GB2312" w:hAnsi="宋体" w:eastAsia="仿宋_GB2312" w:cs="Times New Roman"/>
          <w:b w:val="0"/>
          <w:bCs w:val="0"/>
          <w:color w:val="auto"/>
          <w:spacing w:val="0"/>
          <w:kern w:val="21"/>
          <w:sz w:val="32"/>
          <w:szCs w:val="32"/>
          <w:u w:val="none" w:color="auto"/>
          <w:lang w:val="en-US" w:eastAsia="zh-CN"/>
        </w:rPr>
        <w:t>推动VR舞剧</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秧歌剧</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网络文学</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微短剧</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eastAsia="仿宋_GB2312" w:cs="Times New Roman"/>
          <w:b w:val="0"/>
          <w:bCs w:val="0"/>
          <w:color w:val="auto"/>
          <w:spacing w:val="0"/>
          <w:kern w:val="21"/>
          <w:sz w:val="32"/>
          <w:szCs w:val="32"/>
          <w:u w:val="none" w:color="auto"/>
          <w:lang w:val="en-US" w:eastAsia="zh-CN"/>
        </w:rPr>
        <w:t>微电影等创作活动蓬勃开展</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cs="Times New Roman"/>
          <w:color w:val="auto"/>
          <w:spacing w:val="0"/>
          <w:kern w:val="21"/>
          <w:sz w:val="32"/>
          <w:szCs w:val="32"/>
          <w:u w:val="none" w:color="auto"/>
        </w:rPr>
        <w:t>通过田野采风</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抢救记录</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创作大赛</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景区驻场、节庆展演</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校园传习</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专业培训</w:t>
      </w:r>
      <w:r>
        <w:rPr>
          <w:rFonts w:hint="eastAsia" w:ascii="仿宋_GB2312" w:hAnsi="宋体" w:cs="Times New Roman"/>
          <w:color w:val="auto"/>
          <w:spacing w:val="0"/>
          <w:kern w:val="21"/>
          <w:sz w:val="32"/>
          <w:szCs w:val="32"/>
          <w:u w:val="none" w:color="auto"/>
          <w:lang w:val="en-US" w:eastAsia="zh-CN"/>
        </w:rPr>
        <w:t>等，</w:t>
      </w:r>
      <w:r>
        <w:rPr>
          <w:rFonts w:hint="eastAsia" w:ascii="仿宋_GB2312" w:hAnsi="宋体" w:cs="Times New Roman"/>
          <w:color w:val="auto"/>
          <w:spacing w:val="0"/>
          <w:kern w:val="21"/>
          <w:sz w:val="32"/>
          <w:szCs w:val="32"/>
          <w:u w:val="none" w:color="auto"/>
        </w:rPr>
        <w:t>系统化推进陕北民歌、陕北说书非遗传承与推广计划。</w:t>
      </w:r>
    </w:p>
    <w:p w14:paraId="45EC9BD1">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eastAsia="仿宋_GB2312" w:cs="Times New Roman"/>
          <w:color w:val="auto"/>
          <w:spacing w:val="0"/>
          <w:kern w:val="21"/>
          <w:sz w:val="32"/>
          <w:szCs w:val="32"/>
          <w:u w:val="none" w:color="auto"/>
          <w:lang w:eastAsia="zh-CN"/>
        </w:rPr>
      </w:pPr>
      <w:r>
        <w:rPr>
          <w:rFonts w:hint="eastAsia" w:ascii="楷体_GB2312" w:hAnsi="楷体_GB2312" w:eastAsia="楷体_GB2312" w:cs="楷体_GB2312"/>
          <w:b w:val="0"/>
          <w:bCs w:val="0"/>
          <w:color w:val="auto"/>
          <w:spacing w:val="0"/>
          <w:kern w:val="21"/>
          <w:sz w:val="32"/>
          <w:szCs w:val="32"/>
        </w:rPr>
        <w:t>加强</w:t>
      </w:r>
      <w:r>
        <w:rPr>
          <w:rFonts w:hint="eastAsia" w:ascii="楷体_GB2312" w:hAnsi="楷体_GB2312" w:eastAsia="楷体_GB2312" w:cs="楷体_GB2312"/>
          <w:b w:val="0"/>
          <w:bCs w:val="0"/>
          <w:color w:val="auto"/>
          <w:spacing w:val="0"/>
          <w:kern w:val="21"/>
          <w:sz w:val="32"/>
          <w:szCs w:val="32"/>
          <w:u w:val="none" w:color="auto"/>
          <w:lang w:val="en-US" w:eastAsia="zh-CN"/>
        </w:rPr>
        <w:t>文化</w:t>
      </w:r>
      <w:r>
        <w:rPr>
          <w:rFonts w:hint="eastAsia" w:ascii="楷体_GB2312" w:hAnsi="楷体_GB2312" w:eastAsia="楷体_GB2312" w:cs="楷体_GB2312"/>
          <w:b w:val="0"/>
          <w:bCs w:val="0"/>
          <w:color w:val="auto"/>
          <w:spacing w:val="0"/>
          <w:kern w:val="21"/>
          <w:sz w:val="32"/>
          <w:szCs w:val="32"/>
        </w:rPr>
        <w:t>传播</w:t>
      </w:r>
      <w:r>
        <w:rPr>
          <w:rFonts w:hint="eastAsia" w:ascii="楷体_GB2312" w:hAnsi="楷体_GB2312" w:eastAsia="楷体_GB2312" w:cs="楷体_GB2312"/>
          <w:b w:val="0"/>
          <w:bCs w:val="0"/>
          <w:color w:val="auto"/>
          <w:spacing w:val="0"/>
          <w:kern w:val="21"/>
          <w:sz w:val="32"/>
          <w:szCs w:val="32"/>
          <w:u w:val="none" w:color="auto"/>
          <w:lang w:val="en-US" w:eastAsia="zh-CN"/>
        </w:rPr>
        <w:t>交流</w:t>
      </w:r>
      <w:r>
        <w:rPr>
          <w:rFonts w:hint="eastAsia" w:ascii="楷体_GB2312" w:hAnsi="楷体_GB2312" w:eastAsia="楷体_GB2312" w:cs="楷体_GB2312"/>
          <w:b w:val="0"/>
          <w:bCs w:val="0"/>
          <w:color w:val="auto"/>
          <w:spacing w:val="0"/>
          <w:kern w:val="21"/>
          <w:sz w:val="32"/>
          <w:szCs w:val="32"/>
        </w:rPr>
        <w:t>。</w:t>
      </w:r>
      <w:r>
        <w:rPr>
          <w:rFonts w:hint="eastAsia" w:ascii="仿宋_GB2312" w:hAnsi="宋体" w:cs="Times New Roman"/>
          <w:color w:val="auto"/>
          <w:spacing w:val="0"/>
          <w:kern w:val="21"/>
          <w:sz w:val="32"/>
          <w:szCs w:val="32"/>
          <w:u w:val="none" w:color="auto"/>
        </w:rPr>
        <w:t>支持市</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县融媒体中心深度链接政务</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服务和商务</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建好新型广电网络和应急广播体系。</w:t>
      </w:r>
      <w:r>
        <w:rPr>
          <w:rFonts w:hint="eastAsia" w:ascii="仿宋_GB2312" w:hAnsi="宋体" w:eastAsia="仿宋_GB2312" w:cs="Times New Roman"/>
          <w:b w:val="0"/>
          <w:bCs w:val="0"/>
          <w:color w:val="auto"/>
          <w:spacing w:val="0"/>
          <w:kern w:val="21"/>
          <w:sz w:val="32"/>
          <w:szCs w:val="32"/>
          <w:u w:val="none" w:color="auto"/>
          <w:lang w:val="en-US" w:eastAsia="zh-CN" w:bidi="ar-SA"/>
        </w:rPr>
        <w:t>加强国际传播能力建设，</w:t>
      </w:r>
      <w:r>
        <w:rPr>
          <w:rFonts w:hint="eastAsia" w:ascii="仿宋_GB2312" w:hAnsi="宋体" w:cs="Times New Roman"/>
          <w:color w:val="auto"/>
          <w:spacing w:val="0"/>
          <w:kern w:val="21"/>
          <w:sz w:val="32"/>
          <w:szCs w:val="32"/>
          <w:u w:val="none" w:color="auto"/>
        </w:rPr>
        <w:t>积极参与</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中华文明从这里走来</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传播工程，</w:t>
      </w:r>
      <w:r>
        <w:rPr>
          <w:rFonts w:hint="eastAsia" w:ascii="仿宋_GB2312" w:hAnsi="仿宋_GB2312" w:eastAsia="仿宋_GB2312" w:cs="仿宋_GB2312"/>
          <w:b w:val="0"/>
          <w:bCs/>
          <w:color w:val="auto"/>
          <w:spacing w:val="0"/>
          <w:kern w:val="21"/>
          <w:sz w:val="32"/>
          <w:szCs w:val="32"/>
        </w:rPr>
        <w:t>办好用好延安海外社交媒体平台账号</w:t>
      </w:r>
      <w:r>
        <w:rPr>
          <w:rFonts w:hint="eastAsia" w:ascii="仿宋_GB2312" w:hAnsi="宋体" w:cs="Times New Roman"/>
          <w:b w:val="0"/>
          <w:bCs w:val="0"/>
          <w:color w:val="auto"/>
          <w:spacing w:val="0"/>
          <w:kern w:val="21"/>
          <w:sz w:val="32"/>
          <w:szCs w:val="32"/>
          <w:u w:val="none" w:color="auto"/>
          <w:lang w:val="en-US" w:eastAsia="zh-CN"/>
        </w:rPr>
        <w:t>，</w:t>
      </w:r>
      <w:r>
        <w:rPr>
          <w:rFonts w:hint="eastAsia" w:ascii="仿宋_GB2312" w:hAnsi="宋体" w:cs="Times New Roman"/>
          <w:color w:val="auto"/>
          <w:spacing w:val="0"/>
          <w:kern w:val="21"/>
          <w:sz w:val="32"/>
          <w:szCs w:val="32"/>
          <w:u w:val="none" w:color="auto"/>
        </w:rPr>
        <w:t>加强斯诺</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白求恩等延安时期国际友人史料的搜集研究</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挖掘展示和创新性传播，出版《国际友人在延安》系列丛书</w:t>
      </w:r>
      <w:r>
        <w:rPr>
          <w:rFonts w:hint="eastAsia" w:ascii="仿宋_GB2312" w:hAnsi="宋体" w:cs="Times New Roman"/>
          <w:color w:val="auto"/>
          <w:spacing w:val="0"/>
          <w:kern w:val="21"/>
          <w:sz w:val="32"/>
          <w:szCs w:val="32"/>
          <w:u w:val="none" w:color="auto"/>
          <w:lang w:eastAsia="zh-CN"/>
        </w:rPr>
        <w:t>。</w:t>
      </w:r>
    </w:p>
    <w:p w14:paraId="483F711C">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cs="Times New Roman"/>
          <w:color w:val="auto"/>
          <w:spacing w:val="0"/>
          <w:kern w:val="21"/>
          <w:sz w:val="32"/>
          <w:szCs w:val="32"/>
          <w:u w:val="none" w:color="auto"/>
        </w:rPr>
      </w:pPr>
      <w:r>
        <w:rPr>
          <w:rFonts w:hint="eastAsia" w:ascii="楷体_GB2312" w:hAnsi="楷体_GB2312" w:eastAsia="楷体_GB2312" w:cs="楷体_GB2312"/>
          <w:b w:val="0"/>
          <w:bCs w:val="0"/>
          <w:color w:val="auto"/>
          <w:spacing w:val="0"/>
          <w:kern w:val="21"/>
          <w:sz w:val="32"/>
          <w:szCs w:val="32"/>
          <w:u w:val="none" w:color="auto"/>
          <w:lang w:val="en-US" w:eastAsia="zh-CN"/>
        </w:rPr>
        <w:t>加强舆论管理。</w:t>
      </w:r>
      <w:r>
        <w:rPr>
          <w:rFonts w:hint="eastAsia" w:ascii="仿宋_GB2312" w:hAnsi="宋体" w:eastAsia="仿宋_GB2312" w:cs="Times New Roman"/>
          <w:b w:val="0"/>
          <w:bCs w:val="0"/>
          <w:color w:val="auto"/>
          <w:spacing w:val="0"/>
          <w:kern w:val="21"/>
          <w:sz w:val="32"/>
          <w:szCs w:val="32"/>
          <w:u w:val="none" w:color="auto"/>
        </w:rPr>
        <w:t>牢牢掌握意识形态领导权主动权话语权</w:t>
      </w:r>
      <w:r>
        <w:rPr>
          <w:rFonts w:hint="eastAsia" w:ascii="仿宋_GB2312" w:hAnsi="宋体" w:cs="Times New Roman"/>
          <w:b w:val="0"/>
          <w:bCs w:val="0"/>
          <w:color w:val="auto"/>
          <w:spacing w:val="0"/>
          <w:kern w:val="21"/>
          <w:sz w:val="32"/>
          <w:szCs w:val="32"/>
          <w:u w:val="none" w:color="auto"/>
          <w:lang w:eastAsia="zh-CN"/>
        </w:rPr>
        <w:t>，</w:t>
      </w:r>
      <w:r>
        <w:rPr>
          <w:rFonts w:hint="eastAsia" w:ascii="仿宋_GB2312" w:hAnsi="仿宋_GB2312" w:eastAsia="仿宋_GB2312" w:cs="仿宋_GB2312"/>
          <w:b w:val="0"/>
          <w:bCs/>
          <w:color w:val="auto"/>
          <w:spacing w:val="0"/>
          <w:kern w:val="21"/>
          <w:sz w:val="32"/>
          <w:szCs w:val="32"/>
        </w:rPr>
        <w:t>推进新闻宣传和网络舆论一体化管理，提高主流舆论引导能力</w:t>
      </w:r>
      <w:r>
        <w:rPr>
          <w:rFonts w:hint="eastAsia" w:ascii="仿宋_GB2312" w:hAnsi="仿宋_GB2312" w:cs="仿宋_GB2312"/>
          <w:bCs/>
          <w:color w:val="auto"/>
          <w:spacing w:val="0"/>
          <w:kern w:val="21"/>
          <w:sz w:val="32"/>
          <w:szCs w:val="32"/>
        </w:rPr>
        <w:t>。</w:t>
      </w:r>
      <w:r>
        <w:rPr>
          <w:rFonts w:hint="eastAsia" w:ascii="仿宋_GB2312" w:hAnsi="宋体" w:cs="Times New Roman"/>
          <w:b w:val="0"/>
          <w:bCs w:val="0"/>
          <w:color w:val="auto"/>
          <w:spacing w:val="0"/>
          <w:kern w:val="21"/>
          <w:sz w:val="32"/>
          <w:szCs w:val="32"/>
          <w:u w:val="none" w:color="auto"/>
          <w:lang w:val="en-US" w:eastAsia="zh-CN" w:bidi="ar-SA"/>
        </w:rPr>
        <w:t>用好“3+N”常态化舆情应对处置工作机制，提升突发事件、社会热点舆情的防范化解和应对处置能力。</w:t>
      </w:r>
      <w:r>
        <w:rPr>
          <w:rFonts w:hint="eastAsia" w:ascii="仿宋_GB2312" w:hAnsi="宋体" w:cs="Times New Roman"/>
          <w:color w:val="auto"/>
          <w:spacing w:val="0"/>
          <w:kern w:val="21"/>
          <w:sz w:val="32"/>
          <w:szCs w:val="32"/>
          <w:u w:val="none" w:color="auto"/>
        </w:rPr>
        <w:t>加强网络信息内容多渠道分发服务与</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自媒体</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常态化治理，健全网络生态治理长效机制，</w:t>
      </w:r>
      <w:r>
        <w:rPr>
          <w:rFonts w:hint="eastAsia" w:ascii="仿宋_GB2312" w:hAnsi="宋体" w:cs="Times New Roman"/>
          <w:color w:val="auto"/>
          <w:spacing w:val="-6"/>
          <w:kern w:val="21"/>
          <w:sz w:val="32"/>
          <w:szCs w:val="32"/>
          <w:u w:val="none" w:color="auto"/>
        </w:rPr>
        <w:t>完善未成年人网络保护工作体系，持续开展</w:t>
      </w:r>
      <w:r>
        <w:rPr>
          <w:rFonts w:hint="eastAsia" w:ascii="仿宋_GB2312" w:hAnsi="宋体" w:cs="Times New Roman"/>
          <w:color w:val="auto"/>
          <w:spacing w:val="-6"/>
          <w:kern w:val="21"/>
          <w:sz w:val="32"/>
          <w:szCs w:val="32"/>
          <w:u w:val="none" w:color="auto"/>
          <w:lang w:eastAsia="zh-CN"/>
        </w:rPr>
        <w:t>“</w:t>
      </w:r>
      <w:r>
        <w:rPr>
          <w:rFonts w:hint="eastAsia" w:ascii="仿宋_GB2312" w:hAnsi="宋体" w:cs="Times New Roman"/>
          <w:color w:val="auto"/>
          <w:spacing w:val="-6"/>
          <w:kern w:val="21"/>
          <w:sz w:val="32"/>
          <w:szCs w:val="32"/>
          <w:u w:val="none" w:color="auto"/>
        </w:rPr>
        <w:t>清朗</w:t>
      </w:r>
      <w:r>
        <w:rPr>
          <w:rFonts w:hint="eastAsia" w:ascii="仿宋_GB2312" w:hAnsi="宋体" w:cs="Times New Roman"/>
          <w:color w:val="auto"/>
          <w:spacing w:val="-6"/>
          <w:kern w:val="21"/>
          <w:sz w:val="32"/>
          <w:szCs w:val="32"/>
          <w:u w:val="none" w:color="auto"/>
          <w:lang w:eastAsia="zh-CN"/>
        </w:rPr>
        <w:t>”</w:t>
      </w:r>
      <w:r>
        <w:rPr>
          <w:rFonts w:hint="eastAsia" w:ascii="仿宋_GB2312" w:hAnsi="宋体" w:cs="Times New Roman"/>
          <w:color w:val="auto"/>
          <w:spacing w:val="-6"/>
          <w:kern w:val="21"/>
          <w:sz w:val="32"/>
          <w:szCs w:val="32"/>
          <w:u w:val="none" w:color="auto"/>
        </w:rPr>
        <w:t>系列专项行动</w:t>
      </w:r>
      <w:r>
        <w:rPr>
          <w:rFonts w:hint="eastAsia" w:ascii="仿宋_GB2312" w:hAnsi="宋体" w:cs="Times New Roman"/>
          <w:color w:val="auto"/>
          <w:spacing w:val="0"/>
          <w:kern w:val="21"/>
          <w:sz w:val="32"/>
          <w:szCs w:val="32"/>
          <w:u w:val="none" w:color="auto"/>
        </w:rPr>
        <w:t>。</w:t>
      </w:r>
    </w:p>
    <w:p w14:paraId="7D27A4C4">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宋体" w:cs="Times New Roman"/>
          <w:color w:val="auto"/>
          <w:spacing w:val="0"/>
          <w:kern w:val="21"/>
          <w:sz w:val="32"/>
          <w:szCs w:val="32"/>
          <w:u w:val="none" w:color="auto"/>
        </w:rPr>
      </w:pPr>
      <w:r>
        <w:rPr>
          <w:rFonts w:hint="eastAsia" w:ascii="楷体_GB2312" w:hAnsi="楷体_GB2312" w:eastAsia="楷体_GB2312" w:cs="楷体_GB2312"/>
          <w:b w:val="0"/>
          <w:bCs w:val="0"/>
          <w:color w:val="auto"/>
          <w:spacing w:val="0"/>
          <w:kern w:val="21"/>
          <w:sz w:val="32"/>
          <w:szCs w:val="32"/>
          <w:u w:val="none" w:color="auto"/>
          <w:lang w:val="en-US" w:eastAsia="zh-CN"/>
        </w:rPr>
        <w:t>深化文化领域改革。</w:t>
      </w:r>
      <w:r>
        <w:rPr>
          <w:rFonts w:hint="eastAsia" w:ascii="仿宋_GB2312" w:hAnsi="宋体" w:cs="Times New Roman"/>
          <w:color w:val="auto"/>
          <w:spacing w:val="0"/>
          <w:kern w:val="21"/>
          <w:sz w:val="32"/>
          <w:szCs w:val="32"/>
          <w:u w:val="none" w:color="auto"/>
          <w:lang w:val="en-US" w:eastAsia="zh-CN"/>
        </w:rPr>
        <w:t>完成</w:t>
      </w:r>
      <w:r>
        <w:rPr>
          <w:rFonts w:hint="eastAsia" w:ascii="仿宋_GB2312" w:hAnsi="宋体" w:cs="Times New Roman"/>
          <w:color w:val="auto"/>
          <w:spacing w:val="0"/>
          <w:kern w:val="21"/>
          <w:sz w:val="32"/>
          <w:szCs w:val="32"/>
          <w:u w:val="none" w:color="auto"/>
        </w:rPr>
        <w:t>市属国有文化企业战略重组</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深化国有文艺院团改革</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鼓励国有企业投资文化产业</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支持公共文化建设</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规范文物藏品征集管理，强化文化领域知识产权保护</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健全与文化强市建设目标相匹配的投入机制，确保宣传文化和旅游事业投入强度不低于全省平均水平。统筹优化各类资金，保障文化领域重点规划</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重大活动和项目建设。鼓励社会力量支持公益性文化事业发展。</w:t>
      </w:r>
      <w:r>
        <w:rPr>
          <w:rFonts w:hint="eastAsia" w:ascii="仿宋_GB2312" w:hAnsi="宋体" w:cs="Times New Roman"/>
          <w:b w:val="0"/>
          <w:bCs w:val="0"/>
          <w:color w:val="auto"/>
          <w:spacing w:val="0"/>
          <w:kern w:val="21"/>
          <w:sz w:val="32"/>
          <w:szCs w:val="32"/>
          <w:u w:val="none" w:color="auto"/>
        </w:rPr>
        <w:t>加强文化人才队伍建设</w:t>
      </w:r>
      <w:r>
        <w:rPr>
          <w:rFonts w:hint="eastAsia" w:ascii="仿宋_GB2312" w:hAnsi="宋体" w:cs="Times New Roman"/>
          <w:b w:val="0"/>
          <w:bCs w:val="0"/>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有针对性地引进文化领军人才</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专业特长人才，加强文艺家协会</w:t>
      </w:r>
      <w:r>
        <w:rPr>
          <w:rFonts w:hint="eastAsia" w:ascii="仿宋_GB2312" w:hAnsi="宋体" w:cs="Times New Roman"/>
          <w:color w:val="auto"/>
          <w:spacing w:val="0"/>
          <w:kern w:val="21"/>
          <w:sz w:val="32"/>
          <w:szCs w:val="32"/>
          <w:u w:val="none" w:color="auto"/>
          <w:lang w:eastAsia="zh-CN"/>
        </w:rPr>
        <w:t>、</w:t>
      </w:r>
      <w:r>
        <w:rPr>
          <w:rFonts w:hint="eastAsia" w:ascii="仿宋_GB2312" w:hAnsi="宋体" w:cs="Times New Roman"/>
          <w:color w:val="auto"/>
          <w:spacing w:val="0"/>
          <w:kern w:val="21"/>
          <w:sz w:val="32"/>
          <w:szCs w:val="32"/>
          <w:u w:val="none" w:color="auto"/>
        </w:rPr>
        <w:t>文艺社团建设，团结凝聚新文艺组织和新文艺群体。</w:t>
      </w:r>
    </w:p>
    <w:p w14:paraId="4C092FA3">
      <w:pPr>
        <w:pStyle w:val="3"/>
        <w:keepNext w:val="0"/>
        <w:keepLines w:val="0"/>
        <w:pageBreakBefore w:val="0"/>
        <w:widowControl w:val="0"/>
        <w:kinsoku/>
        <w:wordWrap/>
        <w:overflowPunct w:val="0"/>
        <w:topLinePunct w:val="0"/>
        <w:autoSpaceDE/>
        <w:autoSpaceDN/>
        <w:bidi w:val="0"/>
        <w:adjustRightInd/>
        <w:snapToGrid/>
        <w:spacing w:before="0" w:after="0" w:afterAutospacing="0" w:line="60" w:lineRule="exact"/>
        <w:ind w:left="0"/>
        <w:textAlignment w:val="auto"/>
        <w:rPr>
          <w:rFonts w:hint="eastAsia" w:ascii="仿宋_GB2312" w:hAnsi="宋体" w:cs="Times New Roman"/>
          <w:color w:val="auto"/>
          <w:spacing w:val="0"/>
          <w:kern w:val="21"/>
          <w:sz w:val="20"/>
          <w:szCs w:val="20"/>
          <w:u w:val="none" w:color="auto"/>
        </w:rPr>
      </w:pPr>
    </w:p>
    <w:tbl>
      <w:tblPr>
        <w:tblStyle w:val="16"/>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1"/>
      </w:tblGrid>
      <w:tr w14:paraId="6C65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691" w:type="dxa"/>
            <w:vAlign w:val="center"/>
          </w:tcPr>
          <w:p w14:paraId="642DE7A5">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30"/>
                <w:szCs w:val="30"/>
                <w:highlight w:val="none"/>
                <w:u w:val="none"/>
              </w:rPr>
            </w:pPr>
            <w:r>
              <w:rPr>
                <w:rFonts w:hint="eastAsia" w:ascii="黑体" w:hAnsi="黑体" w:eastAsia="黑体" w:cs="黑体"/>
                <w:b w:val="0"/>
                <w:bCs w:val="0"/>
                <w:color w:val="auto"/>
                <w:spacing w:val="0"/>
                <w:kern w:val="21"/>
                <w:sz w:val="25"/>
                <w:szCs w:val="25"/>
                <w:highlight w:val="none"/>
                <w:u w:val="none"/>
              </w:rPr>
              <w:t>专栏2</w:t>
            </w:r>
            <w:r>
              <w:rPr>
                <w:rFonts w:hint="eastAsia" w:ascii="黑体" w:hAnsi="黑体" w:eastAsia="黑体" w:cs="黑体"/>
                <w:b w:val="0"/>
                <w:bCs w:val="0"/>
                <w:color w:val="auto"/>
                <w:spacing w:val="0"/>
                <w:kern w:val="21"/>
                <w:sz w:val="25"/>
                <w:szCs w:val="25"/>
                <w:highlight w:val="none"/>
                <w:u w:val="none"/>
                <w:lang w:val="en-US" w:eastAsia="zh-CN"/>
              </w:rPr>
              <w:t>4</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val="en-US" w:eastAsia="zh-CN"/>
              </w:rPr>
              <w:t>文化强市建设重点</w:t>
            </w:r>
            <w:r>
              <w:rPr>
                <w:rFonts w:hint="eastAsia" w:ascii="黑体" w:hAnsi="黑体" w:eastAsia="黑体" w:cs="黑体"/>
                <w:b w:val="0"/>
                <w:bCs w:val="0"/>
                <w:color w:val="auto"/>
                <w:spacing w:val="0"/>
                <w:kern w:val="21"/>
                <w:sz w:val="25"/>
                <w:szCs w:val="25"/>
                <w:highlight w:val="none"/>
                <w:u w:val="none"/>
              </w:rPr>
              <w:t>工程</w:t>
            </w:r>
          </w:p>
        </w:tc>
      </w:tr>
      <w:tr w14:paraId="02FC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8" w:hRule="atLeast"/>
          <w:jc w:val="center"/>
        </w:trPr>
        <w:tc>
          <w:tcPr>
            <w:tcW w:w="8691" w:type="dxa"/>
            <w:vAlign w:val="center"/>
          </w:tcPr>
          <w:p w14:paraId="25EAC990">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文化遗产保护利用工程。</w:t>
            </w:r>
            <w:r>
              <w:rPr>
                <w:rFonts w:hint="eastAsia" w:ascii="宋体" w:hAnsi="宋体" w:eastAsia="宋体" w:cs="宋体"/>
                <w:color w:val="auto"/>
                <w:spacing w:val="0"/>
                <w:kern w:val="21"/>
                <w:sz w:val="22"/>
                <w:szCs w:val="22"/>
                <w:highlight w:val="none"/>
                <w:u w:val="none"/>
                <w:lang w:val="en-US" w:eastAsia="zh-CN"/>
              </w:rPr>
              <w:t>重点实施延安革命旧址典型窑洞建筑研究性保护工程、陕甘宁革命文化保护利用片区连片保护和整体展示、芦山峁考古遗址公园、秦直道文化公园、吴起秦长城、黄陵魏长城保护等项目。</w:t>
            </w:r>
          </w:p>
          <w:p w14:paraId="084C84B6">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陕北文化传播阐释工程。</w:t>
            </w:r>
            <w:r>
              <w:rPr>
                <w:rFonts w:hint="eastAsia" w:ascii="宋体" w:hAnsi="宋体" w:eastAsia="宋体" w:cs="宋体"/>
                <w:color w:val="auto"/>
                <w:spacing w:val="0"/>
                <w:kern w:val="21"/>
                <w:sz w:val="22"/>
                <w:szCs w:val="22"/>
                <w:highlight w:val="none"/>
                <w:u w:val="none"/>
                <w:lang w:val="en-US" w:eastAsia="zh-CN"/>
              </w:rPr>
              <w:t>加强红色、黄河、长城、长征、根祖、黄土风情等文化研究，推动文化传承创新，创作优秀文艺作品，融通多媒体资源，增强文艺作品传播。</w:t>
            </w:r>
          </w:p>
          <w:p w14:paraId="4F19AA6A">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文化艺术精品创作工程。</w:t>
            </w:r>
            <w:r>
              <w:rPr>
                <w:rFonts w:hint="eastAsia" w:ascii="宋体" w:hAnsi="宋体" w:eastAsia="宋体" w:cs="宋体"/>
                <w:color w:val="auto"/>
                <w:spacing w:val="0"/>
                <w:kern w:val="21"/>
                <w:sz w:val="22"/>
                <w:szCs w:val="22"/>
                <w:highlight w:val="none"/>
                <w:u w:val="none"/>
                <w:lang w:val="en-US" w:eastAsia="zh-CN"/>
              </w:rPr>
              <w:t>推进杨家岭的春天VR电影等文艺精品创作项目，实施“135”艺术创作工程，开展陕北民歌、陕北说书、陕北道情大赛，创作推出一批获得国家级奖项的文艺精品。</w:t>
            </w:r>
          </w:p>
          <w:p w14:paraId="45C9EFE3">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文化艺术人才培养工程。</w:t>
            </w:r>
            <w:r>
              <w:rPr>
                <w:rFonts w:hint="eastAsia" w:ascii="宋体" w:hAnsi="宋体" w:eastAsia="宋体" w:cs="宋体"/>
                <w:color w:val="auto"/>
                <w:spacing w:val="0"/>
                <w:kern w:val="21"/>
                <w:sz w:val="22"/>
                <w:szCs w:val="22"/>
                <w:highlight w:val="none"/>
                <w:u w:val="none"/>
                <w:lang w:val="en-US" w:eastAsia="zh-CN"/>
              </w:rPr>
              <w:t>加大戏剧、音乐、美术等领域创作人才和作品扶持力度，选派各门类艺术人才赴国家级艺术学院、文艺团体和知名剧组深造或跟班学习。积极挖掘民间艺人，培育公共文化人才骨干队伍，组建民间文艺、文化团体队伍。</w:t>
            </w:r>
          </w:p>
          <w:p w14:paraId="08F0D650">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公共文化服务提质增效工程。</w:t>
            </w:r>
            <w:r>
              <w:rPr>
                <w:rFonts w:hint="eastAsia" w:ascii="宋体" w:hAnsi="宋体" w:eastAsia="宋体" w:cs="宋体"/>
                <w:color w:val="auto"/>
                <w:spacing w:val="0"/>
                <w:kern w:val="21"/>
                <w:sz w:val="22"/>
                <w:szCs w:val="22"/>
                <w:highlight w:val="none"/>
                <w:u w:val="none"/>
                <w:lang w:val="en-US" w:eastAsia="zh-CN"/>
              </w:rPr>
              <w:t>推进市、县（市、区）图书馆、文化馆、美术馆、科技馆和基层文化站建设，打造一批非遗体验馆、美术展览馆、城市书房、社区书房等公共文化新空间</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加快推进公共图书馆、文化馆、科技馆等数字化服务。</w:t>
            </w:r>
          </w:p>
          <w:p w14:paraId="641A0711">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文化惠民品牌创建工程。</w:t>
            </w:r>
            <w:r>
              <w:rPr>
                <w:rFonts w:hint="eastAsia" w:ascii="宋体" w:hAnsi="宋体" w:eastAsia="宋体" w:cs="宋体"/>
                <w:color w:val="auto"/>
                <w:spacing w:val="0"/>
                <w:kern w:val="21"/>
                <w:sz w:val="22"/>
                <w:szCs w:val="22"/>
                <w:highlight w:val="none"/>
                <w:u w:val="none"/>
                <w:lang w:val="en-US" w:eastAsia="zh-CN"/>
              </w:rPr>
              <w:t>办好“延安过大年”、“宝塔山下唱民歌”、小戏调演等品牌文化活动，开展“戏曲进乡村”惠民演出活动，支持基层举办“村晚”等富有乡村特色的文化活动。</w:t>
            </w:r>
          </w:p>
          <w:p w14:paraId="784A618C">
            <w:pPr>
              <w:keepNext w:val="0"/>
              <w:keepLines w:val="0"/>
              <w:pageBreakBefore w:val="0"/>
              <w:widowControl w:val="0"/>
              <w:kinsoku/>
              <w:wordWrap/>
              <w:overflowPunct w:val="0"/>
              <w:topLinePunct w:val="0"/>
              <w:autoSpaceDE/>
              <w:autoSpaceDN/>
              <w:bidi w:val="0"/>
              <w:adjustRightInd/>
              <w:snapToGrid/>
              <w:spacing w:afterAutospacing="0" w:line="340" w:lineRule="exact"/>
              <w:ind w:left="0" w:firstLine="562"/>
              <w:jc w:val="both"/>
              <w:textAlignment w:val="auto"/>
              <w:rPr>
                <w:rFonts w:hint="eastAsia" w:ascii="宋体" w:hAnsi="宋体" w:eastAsia="宋体" w:cs="宋体"/>
                <w:color w:val="auto"/>
                <w:spacing w:val="0"/>
                <w:kern w:val="21"/>
                <w:sz w:val="30"/>
                <w:szCs w:val="30"/>
                <w:vertAlign w:val="baseli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非物质文化遗产活化利用工程。</w:t>
            </w:r>
            <w:r>
              <w:rPr>
                <w:rFonts w:hint="eastAsia" w:ascii="宋体" w:hAnsi="宋体" w:eastAsia="宋体" w:cs="宋体"/>
                <w:color w:val="auto"/>
                <w:spacing w:val="0"/>
                <w:kern w:val="21"/>
                <w:sz w:val="22"/>
                <w:szCs w:val="22"/>
                <w:highlight w:val="none"/>
                <w:u w:val="none"/>
                <w:lang w:val="en-US" w:eastAsia="zh-CN"/>
              </w:rPr>
              <w:t>重点建设陕北民歌、陕北说书、安塞腰鼓活态传承基地，打造非遗工坊及小剧场、露天小舞台。培育老中青梯次传承人队伍，新增市级非遗代表性项目及传承人50个以上。推进宝塔区秧歌剧等濒危剧种保护工程。推进延川布堆花、剪纸等项目数字化保护与传播。</w:t>
            </w:r>
          </w:p>
        </w:tc>
      </w:tr>
    </w:tbl>
    <w:p w14:paraId="1D151539">
      <w:pPr>
        <w:keepNext w:val="0"/>
        <w:keepLines w:val="0"/>
        <w:pageBreakBefore w:val="0"/>
        <w:widowControl w:val="0"/>
        <w:kinsoku/>
        <w:wordWrap/>
        <w:overflowPunct w:val="0"/>
        <w:topLinePunct w:val="0"/>
        <w:autoSpaceDE/>
        <w:autoSpaceDN/>
        <w:bidi w:val="0"/>
        <w:spacing w:afterAutospacing="0" w:line="240" w:lineRule="auto"/>
        <w:ind w:left="0" w:firstLine="64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1F352159">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color w:val="auto"/>
          <w:spacing w:val="0"/>
          <w:kern w:val="21"/>
          <w:sz w:val="30"/>
          <w:szCs w:val="30"/>
        </w:rPr>
      </w:pPr>
      <w:bookmarkStart w:id="116" w:name="_Toc7407"/>
      <w:bookmarkStart w:id="117" w:name="_Toc32142"/>
      <w:bookmarkStart w:id="118" w:name="_Toc21551"/>
      <w:bookmarkStart w:id="119" w:name="_Hlk205888079"/>
    </w:p>
    <w:p w14:paraId="4C9B730B">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default" w:asciiTheme="majorAscii" w:hAnsiTheme="majorAscii"/>
          <w:color w:val="auto"/>
          <w:spacing w:val="0"/>
          <w:kern w:val="21"/>
          <w:sz w:val="36"/>
          <w:szCs w:val="36"/>
        </w:rPr>
      </w:pPr>
      <w:r>
        <w:rPr>
          <w:color w:val="auto"/>
          <w:spacing w:val="0"/>
          <w:kern w:val="21"/>
          <w:sz w:val="36"/>
          <w:szCs w:val="36"/>
        </w:rPr>
        <w:t>第</w:t>
      </w:r>
      <w:r>
        <w:rPr>
          <w:rFonts w:hint="eastAsia"/>
          <w:color w:val="auto"/>
          <w:spacing w:val="0"/>
          <w:kern w:val="21"/>
          <w:sz w:val="36"/>
          <w:szCs w:val="36"/>
        </w:rPr>
        <w:t>八</w:t>
      </w:r>
      <w:r>
        <w:rPr>
          <w:color w:val="auto"/>
          <w:spacing w:val="0"/>
          <w:kern w:val="21"/>
          <w:sz w:val="36"/>
          <w:szCs w:val="36"/>
        </w:rPr>
        <w:t>篇</w:t>
      </w:r>
      <w:r>
        <w:rPr>
          <w:rFonts w:hint="eastAsia"/>
          <w:color w:val="auto"/>
          <w:spacing w:val="0"/>
          <w:kern w:val="21"/>
          <w:sz w:val="36"/>
          <w:szCs w:val="36"/>
          <w:lang w:val="en-US" w:eastAsia="zh-CN"/>
        </w:rPr>
        <w:t xml:space="preserve">  </w:t>
      </w:r>
      <w:r>
        <w:rPr>
          <w:rFonts w:hint="eastAsia"/>
          <w:color w:val="auto"/>
          <w:spacing w:val="0"/>
          <w:kern w:val="21"/>
          <w:sz w:val="36"/>
          <w:szCs w:val="36"/>
        </w:rPr>
        <w:t xml:space="preserve">着力保障和改善民生 </w:t>
      </w:r>
      <w:r>
        <w:rPr>
          <w:rFonts w:hint="default" w:asciiTheme="majorAscii" w:hAnsiTheme="majorAscii"/>
          <w:color w:val="auto"/>
          <w:spacing w:val="0"/>
          <w:kern w:val="21"/>
          <w:sz w:val="36"/>
          <w:szCs w:val="36"/>
        </w:rPr>
        <w:t>用心用情提高</w:t>
      </w:r>
    </w:p>
    <w:p w14:paraId="5644DC1F">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6"/>
          <w:szCs w:val="36"/>
        </w:rPr>
      </w:pPr>
      <w:r>
        <w:rPr>
          <w:rFonts w:hint="default" w:asciiTheme="majorAscii" w:hAnsiTheme="majorAscii"/>
          <w:color w:val="auto"/>
          <w:spacing w:val="0"/>
          <w:kern w:val="21"/>
          <w:sz w:val="36"/>
          <w:szCs w:val="36"/>
        </w:rPr>
        <w:t>群众生活品质</w:t>
      </w:r>
      <w:bookmarkEnd w:id="116"/>
      <w:bookmarkEnd w:id="117"/>
      <w:bookmarkEnd w:id="118"/>
    </w:p>
    <w:bookmarkEnd w:id="119"/>
    <w:p w14:paraId="12747644">
      <w:pPr>
        <w:keepNext w:val="0"/>
        <w:keepLines w:val="0"/>
        <w:pageBreakBefore w:val="0"/>
        <w:widowControl w:val="0"/>
        <w:kinsoku/>
        <w:wordWrap/>
        <w:overflowPunct w:val="0"/>
        <w:topLinePunct w:val="0"/>
        <w:autoSpaceDE/>
        <w:autoSpaceDN/>
        <w:bidi w:val="0"/>
        <w:adjustRightInd/>
        <w:snapToGrid/>
        <w:spacing w:afterAutospacing="0" w:line="556" w:lineRule="exact"/>
        <w:ind w:left="0" w:firstLine="640"/>
        <w:textAlignment w:val="auto"/>
        <w:rPr>
          <w:rFonts w:hint="eastAsia" w:ascii="仿宋_GB2312" w:hAnsi="仿宋_GB2312" w:eastAsia="仿宋_GB2312" w:cs="仿宋_GB2312"/>
          <w:b w:val="0"/>
          <w:bCs/>
          <w:color w:val="auto"/>
          <w:spacing w:val="0"/>
          <w:kern w:val="21"/>
          <w:sz w:val="30"/>
          <w:szCs w:val="30"/>
        </w:rPr>
      </w:pPr>
    </w:p>
    <w:p w14:paraId="52D5CCE3">
      <w:pPr>
        <w:keepNext w:val="0"/>
        <w:keepLines w:val="0"/>
        <w:pageBreakBefore w:val="0"/>
        <w:widowControl w:val="0"/>
        <w:kinsoku/>
        <w:wordWrap/>
        <w:overflowPunct w:val="0"/>
        <w:topLinePunct w:val="0"/>
        <w:autoSpaceDE/>
        <w:autoSpaceDN/>
        <w:bidi w:val="0"/>
        <w:adjustRightInd/>
        <w:snapToGrid/>
        <w:spacing w:afterAutospacing="0" w:line="556" w:lineRule="exact"/>
        <w:ind w:left="0" w:firstLine="640"/>
        <w:textAlignment w:val="auto"/>
        <w:rPr>
          <w:rFonts w:hint="eastAsia" w:ascii="等线" w:hAnsi="等线" w:cs="Times New Roman"/>
          <w:color w:val="auto"/>
          <w:spacing w:val="0"/>
          <w:kern w:val="21"/>
          <w:sz w:val="32"/>
          <w:szCs w:val="32"/>
        </w:rPr>
      </w:pPr>
      <w:r>
        <w:rPr>
          <w:rFonts w:hint="eastAsia" w:ascii="仿宋_GB2312" w:hAnsi="仿宋_GB2312" w:eastAsia="仿宋_GB2312" w:cs="仿宋_GB2312"/>
          <w:b w:val="0"/>
          <w:bCs/>
          <w:color w:val="auto"/>
          <w:spacing w:val="0"/>
          <w:kern w:val="21"/>
          <w:sz w:val="32"/>
          <w:szCs w:val="32"/>
        </w:rPr>
        <w:t>坚持以人民为中心的发展思想，尽力而为、量力而行，加强普惠性、基础性、兜底性民生建设，用好服务群众“周解忧”机制，着力解决好群众急难愁盼问题，稳步推进基本公共服务均等化，不断增强群众的获得感、幸福感、安全感。</w:t>
      </w:r>
    </w:p>
    <w:p w14:paraId="5C078E7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bookmarkStart w:id="120" w:name="_Toc32058"/>
      <w:bookmarkStart w:id="121" w:name="_Toc1409"/>
      <w:bookmarkStart w:id="122" w:name="_Toc26586"/>
    </w:p>
    <w:p w14:paraId="1884402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r>
        <w:rPr>
          <w:rFonts w:hint="eastAsia"/>
          <w:color w:val="auto"/>
          <w:spacing w:val="0"/>
          <w:kern w:val="21"/>
          <w:sz w:val="32"/>
          <w:szCs w:val="32"/>
        </w:rPr>
        <w:t>第三</w:t>
      </w:r>
      <w:r>
        <w:rPr>
          <w:rFonts w:hint="eastAsia"/>
          <w:color w:val="auto"/>
          <w:spacing w:val="0"/>
          <w:kern w:val="21"/>
          <w:sz w:val="32"/>
          <w:szCs w:val="32"/>
          <w:lang w:val="en-US" w:eastAsia="zh-CN"/>
        </w:rPr>
        <w:t>十二</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促进高质量充分就业</w:t>
      </w:r>
      <w:bookmarkEnd w:id="120"/>
      <w:bookmarkEnd w:id="121"/>
      <w:bookmarkEnd w:id="122"/>
    </w:p>
    <w:p w14:paraId="676DAEB5">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hint="eastAsia" w:ascii="楷体_GB2312" w:hAnsi="楷体_GB2312" w:eastAsia="楷体_GB2312" w:cs="楷体_GB2312"/>
          <w:b w:val="0"/>
          <w:bCs w:val="0"/>
          <w:color w:val="auto"/>
          <w:spacing w:val="0"/>
          <w:kern w:val="21"/>
          <w:sz w:val="32"/>
          <w:szCs w:val="32"/>
        </w:rPr>
      </w:pPr>
    </w:p>
    <w:p w14:paraId="63790F93">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ascii="Times New Roman" w:hAnsi="Times New Roman"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稳定和扩大就业岗位。</w:t>
      </w:r>
      <w:r>
        <w:rPr>
          <w:rFonts w:hint="eastAsia" w:ascii="Times New Roman" w:hAnsi="Times New Roman" w:cs="Times New Roman"/>
          <w:color w:val="auto"/>
          <w:spacing w:val="0"/>
          <w:kern w:val="21"/>
          <w:sz w:val="32"/>
          <w:szCs w:val="32"/>
          <w:lang w:val="en-US" w:eastAsia="zh-CN"/>
        </w:rPr>
        <w:t>实施就业优先战略，</w:t>
      </w:r>
      <w:r>
        <w:rPr>
          <w:rFonts w:ascii="Times New Roman" w:hAnsi="Times New Roman" w:cs="Times New Roman"/>
          <w:color w:val="auto"/>
          <w:spacing w:val="0"/>
          <w:kern w:val="21"/>
          <w:sz w:val="32"/>
          <w:szCs w:val="32"/>
        </w:rPr>
        <w:t>健全高质量</w:t>
      </w:r>
      <w:r>
        <w:rPr>
          <w:rFonts w:ascii="Times New Roman" w:hAnsi="Times New Roman" w:cs="Times New Roman"/>
          <w:color w:val="auto"/>
          <w:spacing w:val="0"/>
          <w:kern w:val="21"/>
          <w:sz w:val="32"/>
          <w:szCs w:val="32"/>
          <w:highlight w:val="none"/>
        </w:rPr>
        <w:t>充分就业促进机制，鼓励</w:t>
      </w:r>
      <w:r>
        <w:rPr>
          <w:rFonts w:hint="eastAsia" w:ascii="Times New Roman" w:hAnsi="Times New Roman" w:cs="Times New Roman"/>
          <w:color w:val="auto"/>
          <w:spacing w:val="0"/>
          <w:kern w:val="21"/>
          <w:sz w:val="32"/>
          <w:szCs w:val="32"/>
          <w:highlight w:val="none"/>
        </w:rPr>
        <w:t>经营</w:t>
      </w:r>
      <w:r>
        <w:rPr>
          <w:rFonts w:ascii="Times New Roman" w:hAnsi="Times New Roman" w:cs="Times New Roman"/>
          <w:color w:val="auto"/>
          <w:spacing w:val="0"/>
          <w:kern w:val="21"/>
          <w:sz w:val="32"/>
          <w:szCs w:val="32"/>
          <w:highlight w:val="none"/>
        </w:rPr>
        <w:t>主体稳岗扩就业</w:t>
      </w:r>
      <w:r>
        <w:rPr>
          <w:rFonts w:hint="eastAsia" w:ascii="Times New Roman" w:hAnsi="Times New Roman" w:cs="Times New Roman"/>
          <w:color w:val="auto"/>
          <w:spacing w:val="0"/>
          <w:kern w:val="21"/>
          <w:sz w:val="32"/>
          <w:szCs w:val="32"/>
          <w:highlight w:val="none"/>
        </w:rPr>
        <w:t>，</w:t>
      </w:r>
      <w:r>
        <w:rPr>
          <w:rFonts w:ascii="Times New Roman" w:hAnsi="Times New Roman" w:cs="Times New Roman"/>
          <w:color w:val="auto"/>
          <w:spacing w:val="0"/>
          <w:kern w:val="21"/>
          <w:sz w:val="32"/>
          <w:szCs w:val="32"/>
          <w:highlight w:val="none"/>
        </w:rPr>
        <w:t>支持发展吸</w:t>
      </w:r>
      <w:r>
        <w:rPr>
          <w:rFonts w:ascii="Times New Roman" w:hAnsi="Times New Roman" w:cs="Times New Roman"/>
          <w:color w:val="auto"/>
          <w:spacing w:val="0"/>
          <w:kern w:val="21"/>
          <w:sz w:val="32"/>
          <w:szCs w:val="32"/>
        </w:rPr>
        <w:t>纳就业能力强的产业和企业</w:t>
      </w:r>
      <w:r>
        <w:rPr>
          <w:rFonts w:hint="eastAsia" w:ascii="Times New Roman" w:hAnsi="Times New Roman" w:cs="Times New Roman"/>
          <w:color w:val="auto"/>
          <w:spacing w:val="0"/>
          <w:kern w:val="21"/>
          <w:sz w:val="32"/>
          <w:szCs w:val="32"/>
        </w:rPr>
        <w:t>。</w:t>
      </w:r>
      <w:r>
        <w:rPr>
          <w:rFonts w:hint="eastAsia" w:ascii="仿宋_GB2312" w:hAnsi="仿宋_GB2312" w:eastAsia="仿宋_GB2312" w:cs="仿宋_GB2312"/>
          <w:b w:val="0"/>
          <w:bCs/>
          <w:color w:val="auto"/>
          <w:spacing w:val="0"/>
          <w:kern w:val="21"/>
          <w:sz w:val="32"/>
          <w:szCs w:val="32"/>
        </w:rPr>
        <w:t>充分发挥全国公共就业服务能力提升示范项目引领作用，夯实公共就业服务基础。加强产业就业协同，因地制宜发展农副产品加工、生活性服务等劳动密集型产业，积极培育新职业新岗位。</w:t>
      </w:r>
      <w:r>
        <w:rPr>
          <w:rFonts w:hint="eastAsia" w:ascii="Times New Roman" w:hAnsi="Times New Roman" w:cs="Times New Roman"/>
          <w:color w:val="auto"/>
          <w:spacing w:val="0"/>
          <w:kern w:val="21"/>
          <w:sz w:val="32"/>
          <w:szCs w:val="32"/>
        </w:rPr>
        <w:t>以“红色筑梦·创业延安”“春风行动”“民营企业招聘月”等标志性招聘活动为牵引，推送线上线下岗位信息，支持灵活就业等多种就业形态发展。</w:t>
      </w:r>
      <w:r>
        <w:rPr>
          <w:rFonts w:hint="eastAsia"/>
          <w:color w:val="auto"/>
          <w:spacing w:val="0"/>
          <w:kern w:val="21"/>
          <w:sz w:val="32"/>
          <w:szCs w:val="32"/>
        </w:rPr>
        <w:t>完善覆盖城乡、功能齐全的市、县（区）、乡镇（街道）、村组（社区）四级公共就业服务体系，拓展“政策咨询、岗位对接、技能培训、创业扶持、就业援助、权益维护”一站式服务，增强公共就业服务能力。</w:t>
      </w:r>
      <w:r>
        <w:rPr>
          <w:rFonts w:hint="eastAsia" w:ascii="仿宋_GB2312" w:hAnsi="仿宋_GB2312" w:eastAsia="仿宋_GB2312" w:cs="仿宋_GB2312"/>
          <w:b w:val="0"/>
          <w:bCs/>
          <w:color w:val="auto"/>
          <w:spacing w:val="0"/>
          <w:kern w:val="21"/>
          <w:sz w:val="32"/>
          <w:szCs w:val="32"/>
        </w:rPr>
        <w:t>促进创业带动就业</w:t>
      </w:r>
      <w:r>
        <w:rPr>
          <w:rFonts w:hint="eastAsia" w:ascii="仿宋_GB2312" w:hAnsi="仿宋_GB2312" w:cs="仿宋_GB2312"/>
          <w:b w:val="0"/>
          <w:bCs/>
          <w:color w:val="auto"/>
          <w:spacing w:val="0"/>
          <w:kern w:val="21"/>
          <w:sz w:val="32"/>
          <w:szCs w:val="32"/>
          <w:lang w:eastAsia="zh-CN"/>
        </w:rPr>
        <w:t>，</w:t>
      </w:r>
      <w:r>
        <w:rPr>
          <w:rFonts w:hint="eastAsia" w:ascii="Times New Roman" w:hAnsi="Times New Roman" w:cs="Times New Roman"/>
          <w:color w:val="auto"/>
          <w:spacing w:val="0"/>
          <w:kern w:val="21"/>
          <w:sz w:val="32"/>
          <w:szCs w:val="32"/>
        </w:rPr>
        <w:t>强化创业主体人才引育，对创业人才在专业技术资格、职称申报、人才评定等方面给予倾斜支持。</w:t>
      </w:r>
    </w:p>
    <w:p w14:paraId="3ECA89B2">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hint="eastAsia"/>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抓好重点群体就业。</w:t>
      </w:r>
      <w:r>
        <w:rPr>
          <w:rFonts w:hint="eastAsia" w:ascii="仿宋_GB2312" w:hAnsi="仿宋_GB2312" w:eastAsia="仿宋_GB2312" w:cs="仿宋_GB2312"/>
          <w:b w:val="0"/>
          <w:bCs w:val="0"/>
          <w:color w:val="auto"/>
          <w:spacing w:val="0"/>
          <w:kern w:val="21"/>
          <w:sz w:val="32"/>
          <w:szCs w:val="32"/>
          <w:u w:val="none" w:color="auto"/>
          <w:lang w:val="en-US" w:eastAsia="zh-CN"/>
        </w:rPr>
        <w:t>深化实施职业技能提升、劳务品牌培育、就业服务提质“三项工程”，实施好稳岗扩容提质行动，</w:t>
      </w:r>
      <w:r>
        <w:rPr>
          <w:rFonts w:hint="eastAsia"/>
          <w:color w:val="auto"/>
          <w:spacing w:val="0"/>
          <w:kern w:val="21"/>
          <w:sz w:val="32"/>
          <w:szCs w:val="32"/>
        </w:rPr>
        <w:t>推行“岗位需要+技能培训+技能评价+就业服务”四位一体培训模式。</w:t>
      </w:r>
      <w:r>
        <w:rPr>
          <w:rFonts w:hint="eastAsia" w:ascii="仿宋_GB2312" w:hAnsi="仿宋_GB2312" w:eastAsia="仿宋_GB2312" w:cs="仿宋_GB2312"/>
          <w:b w:val="0"/>
          <w:bCs/>
          <w:color w:val="auto"/>
          <w:spacing w:val="0"/>
          <w:kern w:val="21"/>
          <w:sz w:val="32"/>
          <w:szCs w:val="32"/>
        </w:rPr>
        <w:t>围绕产业发展、特色餐饮、文化传承和养老托育、家政服务等紧缺行业培育更多特色劳务品牌。</w:t>
      </w:r>
      <w:r>
        <w:rPr>
          <w:rFonts w:hint="eastAsia"/>
          <w:color w:val="auto"/>
          <w:spacing w:val="0"/>
          <w:kern w:val="21"/>
          <w:sz w:val="32"/>
          <w:szCs w:val="32"/>
        </w:rPr>
        <w:t>畅通有序外出务工渠道，完善返乡入乡创业支持政策。推广“一岗双助”服务模式，</w:t>
      </w:r>
      <w:r>
        <w:rPr>
          <w:rFonts w:hint="eastAsia" w:ascii="仿宋_GB2312" w:hAnsi="仿宋_GB2312" w:cs="仿宋_GB2312"/>
          <w:color w:val="auto"/>
          <w:spacing w:val="0"/>
          <w:kern w:val="21"/>
          <w:sz w:val="32"/>
          <w:szCs w:val="32"/>
          <w:u w:val="none" w:color="auto"/>
        </w:rPr>
        <w:t>加大高校毕业生、退役军人、农村转移劳动力、就业困难人员等重点群体就业帮扶力度，</w:t>
      </w:r>
      <w:r>
        <w:rPr>
          <w:rFonts w:hint="eastAsia"/>
          <w:color w:val="auto"/>
          <w:spacing w:val="0"/>
          <w:kern w:val="21"/>
          <w:sz w:val="32"/>
          <w:szCs w:val="32"/>
        </w:rPr>
        <w:t>统筹用好公益性岗位，确保零就业家庭动态清零。</w:t>
      </w:r>
    </w:p>
    <w:p w14:paraId="41E8374A">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ascii="Times New Roman" w:hAnsi="Times New Roman" w:cs="Times New Roman"/>
          <w:b/>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加强劳动者权益保障。</w:t>
      </w:r>
      <w:r>
        <w:rPr>
          <w:rFonts w:hint="eastAsia" w:ascii="Times New Roman" w:hAnsi="Times New Roman" w:cs="Times New Roman"/>
          <w:color w:val="auto"/>
          <w:spacing w:val="0"/>
          <w:kern w:val="21"/>
          <w:sz w:val="32"/>
          <w:szCs w:val="32"/>
          <w:lang w:val="en-US" w:eastAsia="zh-CN"/>
        </w:rPr>
        <w:t>用好</w:t>
      </w:r>
      <w:r>
        <w:rPr>
          <w:rFonts w:hint="eastAsia" w:ascii="Times New Roman" w:hAnsi="Times New Roman" w:cs="Times New Roman"/>
          <w:color w:val="auto"/>
          <w:spacing w:val="0"/>
          <w:kern w:val="21"/>
          <w:sz w:val="32"/>
          <w:szCs w:val="32"/>
        </w:rPr>
        <w:t>“安薪陕办”、陕西省农民工工资支付监控预警平台，开展治理欠薪专项行动，推进工程建设领域保障工资支付制度全覆盖。</w:t>
      </w:r>
      <w:r>
        <w:rPr>
          <w:rFonts w:ascii="Times New Roman" w:hAnsi="Times New Roman" w:cs="Times New Roman"/>
          <w:color w:val="auto"/>
          <w:spacing w:val="0"/>
          <w:kern w:val="21"/>
          <w:sz w:val="32"/>
          <w:szCs w:val="32"/>
        </w:rPr>
        <w:t>完善劳动关系协商协调机制，</w:t>
      </w:r>
      <w:r>
        <w:rPr>
          <w:rFonts w:hint="eastAsia" w:ascii="Times New Roman" w:hAnsi="Times New Roman" w:cs="Times New Roman"/>
          <w:color w:val="auto"/>
          <w:spacing w:val="0"/>
          <w:kern w:val="21"/>
          <w:sz w:val="32"/>
          <w:szCs w:val="32"/>
        </w:rPr>
        <w:t>推动企业依法保障劳动者取得劳动报酬、休息休假、获得劳动安全卫生保护等合法权益。健全劳动保障监察、劳动人事争议调解仲裁工作机制，完善</w:t>
      </w:r>
      <w:r>
        <w:rPr>
          <w:rFonts w:ascii="Times New Roman" w:hAnsi="Times New Roman" w:cs="Times New Roman"/>
          <w:color w:val="auto"/>
          <w:spacing w:val="0"/>
          <w:kern w:val="21"/>
          <w:sz w:val="32"/>
          <w:szCs w:val="32"/>
        </w:rPr>
        <w:t>农民工工资支付长效工作机制，保障农民工合法权益。</w:t>
      </w:r>
    </w:p>
    <w:p w14:paraId="6C0AF8C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color w:val="auto"/>
          <w:spacing w:val="0"/>
          <w:kern w:val="21"/>
          <w:sz w:val="32"/>
          <w:szCs w:val="32"/>
        </w:rPr>
      </w:pPr>
      <w:bookmarkStart w:id="123" w:name="_Toc1076"/>
      <w:bookmarkStart w:id="124" w:name="_Toc9200"/>
      <w:bookmarkStart w:id="125" w:name="_Toc6990"/>
    </w:p>
    <w:p w14:paraId="08F7A55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r>
        <w:rPr>
          <w:color w:val="auto"/>
          <w:spacing w:val="0"/>
          <w:kern w:val="21"/>
          <w:sz w:val="32"/>
          <w:szCs w:val="32"/>
        </w:rPr>
        <w:t>第三十</w:t>
      </w:r>
      <w:r>
        <w:rPr>
          <w:rFonts w:hint="eastAsia"/>
          <w:color w:val="auto"/>
          <w:spacing w:val="0"/>
          <w:kern w:val="21"/>
          <w:sz w:val="32"/>
          <w:szCs w:val="32"/>
          <w:lang w:val="en-US" w:eastAsia="zh-CN"/>
        </w:rPr>
        <w:t>三</w:t>
      </w:r>
      <w:r>
        <w:rPr>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着力提升居民收入水平</w:t>
      </w:r>
      <w:bookmarkEnd w:id="123"/>
      <w:bookmarkEnd w:id="124"/>
      <w:bookmarkEnd w:id="125"/>
    </w:p>
    <w:p w14:paraId="50F68CD2">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hint="eastAsia" w:ascii="楷体_GB2312" w:hAnsi="楷体_GB2312" w:eastAsia="楷体_GB2312" w:cs="楷体_GB2312"/>
          <w:b w:val="0"/>
          <w:bCs w:val="0"/>
          <w:color w:val="auto"/>
          <w:spacing w:val="0"/>
          <w:kern w:val="21"/>
          <w:sz w:val="32"/>
          <w:szCs w:val="32"/>
        </w:rPr>
      </w:pPr>
    </w:p>
    <w:p w14:paraId="0630C0E7">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ascii="Times New Roman" w:hAnsi="Times New Roman"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多措并举促进居民收入稳步增长。</w:t>
      </w:r>
      <w:r>
        <w:rPr>
          <w:rFonts w:hint="eastAsia" w:ascii="仿宋_GB2312" w:hAnsi="仿宋_GB2312" w:eastAsia="仿宋_GB2312" w:cs="仿宋_GB2312"/>
          <w:b w:val="0"/>
          <w:bCs/>
          <w:color w:val="auto"/>
          <w:spacing w:val="0"/>
          <w:kern w:val="21"/>
          <w:sz w:val="32"/>
          <w:szCs w:val="32"/>
        </w:rPr>
        <w:t>实施居民收入提升攻坚行动</w:t>
      </w:r>
      <w:r>
        <w:rPr>
          <w:rFonts w:hint="eastAsia" w:ascii="仿宋_GB2312" w:hAnsi="仿宋_GB2312" w:cs="仿宋_GB2312"/>
          <w:b w:val="0"/>
          <w:bCs/>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多渠道增加城乡居民经营性收入和财产性收入，落实税收、社保、转移支付等再分配调节机制。</w:t>
      </w:r>
      <w:r>
        <w:rPr>
          <w:rFonts w:hint="eastAsia" w:ascii="Times New Roman" w:hAnsi="Times New Roman" w:cs="Times New Roman"/>
          <w:color w:val="auto"/>
          <w:spacing w:val="0"/>
          <w:kern w:val="21"/>
          <w:sz w:val="32"/>
          <w:szCs w:val="32"/>
        </w:rPr>
        <w:t>健全工资性收入合理增长机制，</w:t>
      </w:r>
      <w:r>
        <w:rPr>
          <w:rFonts w:hint="eastAsia" w:ascii="仿宋_GB2312" w:hAnsi="仿宋_GB2312" w:eastAsia="仿宋_GB2312" w:cs="仿宋_GB2312"/>
          <w:b w:val="0"/>
          <w:bCs/>
          <w:color w:val="auto"/>
          <w:spacing w:val="0"/>
          <w:kern w:val="21"/>
          <w:sz w:val="32"/>
          <w:szCs w:val="32"/>
        </w:rPr>
        <w:t>完善劳动者工资决定、合理增长、支付保障机制</w:t>
      </w:r>
      <w:r>
        <w:rPr>
          <w:rFonts w:hint="eastAsia" w:ascii="Times New Roman" w:hAnsi="Times New Roman" w:cs="Times New Roman"/>
          <w:color w:val="auto"/>
          <w:spacing w:val="0"/>
          <w:kern w:val="21"/>
          <w:sz w:val="32"/>
          <w:szCs w:val="32"/>
        </w:rPr>
        <w:t>。强化工资性收入与企业效益协同，增加劳动者特别是一线劳动者劳动报酬，加大重点工程项目和中小型农业农村基础设施建设领域以工代赈实施力度，优先吸纳带动低收入人口就地就近就业增收。多种渠道增加居民财产性收入，构建知识、技术、数据等创新要素参与收益分配机制，引导和鼓励居民合理配置金融资产</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稳步推进农村集体产权制度改革，增加农民财产性收入。积极增加居民经营性收入，鼓励自主创业，促进中小微企业、个体工商户等健康发展，支持灵活就业人员勤劳致富。强化社会兜底保障，提高转移性收入水平。</w:t>
      </w:r>
    </w:p>
    <w:p w14:paraId="5633961D">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ascii="Times New Roman" w:hAnsi="Times New Roman"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促进和规范公益慈善事业发展。</w:t>
      </w:r>
      <w:r>
        <w:rPr>
          <w:rFonts w:hint="eastAsia" w:ascii="仿宋_GB2312" w:hAnsi="仿宋_GB2312" w:eastAsia="仿宋_GB2312" w:cs="仿宋_GB2312"/>
          <w:b w:val="0"/>
          <w:bCs/>
          <w:color w:val="auto"/>
          <w:spacing w:val="0"/>
          <w:kern w:val="21"/>
          <w:sz w:val="32"/>
          <w:szCs w:val="32"/>
        </w:rPr>
        <w:t>更好发挥第三次分配作用，</w:t>
      </w:r>
      <w:r>
        <w:rPr>
          <w:rFonts w:hint="eastAsia" w:ascii="Times New Roman" w:hAnsi="Times New Roman" w:cs="Times New Roman"/>
          <w:color w:val="auto"/>
          <w:spacing w:val="0"/>
          <w:kern w:val="21"/>
          <w:sz w:val="32"/>
          <w:szCs w:val="32"/>
        </w:rPr>
        <w:t>探索制定企业履行社会责任、慈善组织规范发展、个人参与公益的激励政策</w:t>
      </w:r>
      <w:r>
        <w:rPr>
          <w:rFonts w:hint="eastAsia" w:ascii="Times New Roman" w:hAnsi="Times New Roman" w:cs="Times New Roman"/>
          <w:color w:val="auto"/>
          <w:spacing w:val="0"/>
          <w:kern w:val="21"/>
          <w:sz w:val="32"/>
          <w:szCs w:val="32"/>
          <w:lang w:eastAsia="zh-CN"/>
        </w:rPr>
        <w:t>，积极推荐符合条件的对象参与中省慈善表彰评选，</w:t>
      </w:r>
      <w:r>
        <w:rPr>
          <w:rFonts w:hint="eastAsia" w:ascii="Times New Roman" w:hAnsi="Times New Roman" w:cs="Times New Roman"/>
          <w:color w:val="auto"/>
          <w:spacing w:val="0"/>
          <w:kern w:val="21"/>
          <w:sz w:val="32"/>
          <w:szCs w:val="32"/>
        </w:rPr>
        <w:t>引导更多社会力量投身慈善事业。加强慈善组织监管，推动慈善组织健全内部管理制度，依法查处慈善组织违法违规行为，促进慈善事业健康发展。</w:t>
      </w:r>
    </w:p>
    <w:p w14:paraId="219EEC7A">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color w:val="auto"/>
          <w:spacing w:val="0"/>
          <w:kern w:val="21"/>
          <w:sz w:val="32"/>
          <w:szCs w:val="32"/>
        </w:rPr>
      </w:pPr>
      <w:bookmarkStart w:id="126" w:name="_Toc15112"/>
      <w:bookmarkStart w:id="127" w:name="_Toc24985"/>
      <w:bookmarkStart w:id="128" w:name="_Toc19834"/>
    </w:p>
    <w:p w14:paraId="2E2E3724">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56" w:lineRule="exact"/>
        <w:ind w:left="0"/>
        <w:textAlignment w:val="auto"/>
        <w:rPr>
          <w:rFonts w:hint="eastAsia"/>
          <w:color w:val="auto"/>
          <w:spacing w:val="0"/>
          <w:kern w:val="21"/>
          <w:sz w:val="32"/>
          <w:szCs w:val="32"/>
        </w:rPr>
      </w:pPr>
      <w:r>
        <w:rPr>
          <w:color w:val="auto"/>
          <w:spacing w:val="0"/>
          <w:kern w:val="21"/>
          <w:sz w:val="32"/>
          <w:szCs w:val="32"/>
        </w:rPr>
        <w:t>第三十</w:t>
      </w:r>
      <w:r>
        <w:rPr>
          <w:rFonts w:hint="eastAsia"/>
          <w:color w:val="auto"/>
          <w:spacing w:val="0"/>
          <w:kern w:val="21"/>
          <w:sz w:val="32"/>
          <w:szCs w:val="32"/>
          <w:lang w:val="en-US" w:eastAsia="zh-CN"/>
        </w:rPr>
        <w:t>四</w:t>
      </w:r>
      <w:r>
        <w:rPr>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坚持用延安精神教书育人</w:t>
      </w:r>
      <w:bookmarkEnd w:id="126"/>
      <w:bookmarkEnd w:id="127"/>
      <w:bookmarkEnd w:id="128"/>
    </w:p>
    <w:p w14:paraId="0AD42A60">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hint="eastAsia" w:ascii="楷体_GB2312" w:hAnsi="楷体_GB2312" w:eastAsia="楷体_GB2312" w:cs="楷体_GB2312"/>
          <w:b w:val="0"/>
          <w:bCs w:val="0"/>
          <w:color w:val="auto"/>
          <w:spacing w:val="0"/>
          <w:kern w:val="21"/>
          <w:sz w:val="32"/>
          <w:szCs w:val="32"/>
          <w:lang w:val="en-US" w:eastAsia="zh-CN"/>
        </w:rPr>
      </w:pPr>
    </w:p>
    <w:p w14:paraId="220FFDFF">
      <w:pPr>
        <w:keepNext w:val="0"/>
        <w:keepLines w:val="0"/>
        <w:pageBreakBefore w:val="0"/>
        <w:widowControl w:val="0"/>
        <w:kinsoku/>
        <w:wordWrap/>
        <w:overflowPunct w:val="0"/>
        <w:topLinePunct w:val="0"/>
        <w:autoSpaceDE/>
        <w:autoSpaceDN/>
        <w:bidi w:val="0"/>
        <w:adjustRightInd/>
        <w:snapToGrid/>
        <w:spacing w:afterAutospacing="0" w:line="556"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实施</w:t>
      </w:r>
      <w:r>
        <w:rPr>
          <w:rFonts w:hint="eastAsia" w:ascii="楷体_GB2312" w:hAnsi="楷体_GB2312" w:eastAsia="楷体_GB2312" w:cs="楷体_GB2312"/>
          <w:b w:val="0"/>
          <w:bCs w:val="0"/>
          <w:color w:val="auto"/>
          <w:spacing w:val="0"/>
          <w:kern w:val="21"/>
          <w:sz w:val="32"/>
          <w:szCs w:val="32"/>
        </w:rPr>
        <w:t>基础教育扩优提质工程。</w:t>
      </w:r>
      <w:r>
        <w:rPr>
          <w:rFonts w:hint="eastAsia" w:ascii="仿宋_GB2312" w:hAnsi="仿宋_GB2312" w:eastAsia="仿宋_GB2312" w:cs="仿宋_GB2312"/>
          <w:b w:val="0"/>
          <w:bCs/>
          <w:color w:val="auto"/>
          <w:spacing w:val="0"/>
          <w:kern w:val="21"/>
          <w:sz w:val="32"/>
          <w:szCs w:val="32"/>
        </w:rPr>
        <w:t>健全与人口相适应的教育资源配置机制，实施基础教育扩优提质工程，提高乡村及薄弱地区义务教育质量，改善薄弱学校基本办学条件，办好乡村小规模学校和乡镇寄宿制学校，</w:t>
      </w:r>
      <w:r>
        <w:rPr>
          <w:rFonts w:hint="eastAsia" w:ascii="仿宋_GB2312" w:hAnsi="仿宋_GB2312" w:cs="仿宋_GB2312"/>
          <w:b w:val="0"/>
          <w:bCs/>
          <w:color w:val="auto"/>
          <w:spacing w:val="0"/>
          <w:kern w:val="21"/>
          <w:sz w:val="32"/>
          <w:szCs w:val="32"/>
          <w:lang w:val="en-US" w:eastAsia="zh-CN"/>
        </w:rPr>
        <w:t>优化实施“</w:t>
      </w:r>
      <w:r>
        <w:rPr>
          <w:rFonts w:hint="eastAsia" w:ascii="仿宋_GB2312" w:hAnsi="仿宋_GB2312" w:eastAsia="仿宋_GB2312" w:cs="仿宋_GB2312"/>
          <w:b w:val="0"/>
          <w:bCs/>
          <w:color w:val="auto"/>
          <w:spacing w:val="0"/>
          <w:kern w:val="21"/>
          <w:sz w:val="32"/>
          <w:szCs w:val="32"/>
        </w:rPr>
        <w:t>特岗计划</w:t>
      </w:r>
      <w:r>
        <w:rPr>
          <w:rFonts w:hint="eastAsia" w:ascii="仿宋_GB2312" w:hAnsi="仿宋_GB2312" w:cs="仿宋_GB2312"/>
          <w:b w:val="0"/>
          <w:bCs/>
          <w:color w:val="auto"/>
          <w:spacing w:val="0"/>
          <w:kern w:val="21"/>
          <w:sz w:val="32"/>
          <w:szCs w:val="32"/>
          <w:lang w:val="en-US" w:eastAsia="zh-CN"/>
        </w:rPr>
        <w:t>”</w:t>
      </w:r>
      <w:r>
        <w:rPr>
          <w:rFonts w:hint="eastAsia" w:ascii="仿宋_GB2312" w:hAnsi="仿宋_GB2312" w:eastAsia="仿宋_GB2312" w:cs="仿宋_GB2312"/>
          <w:b w:val="0"/>
          <w:bCs/>
          <w:color w:val="auto"/>
          <w:spacing w:val="0"/>
          <w:kern w:val="21"/>
          <w:sz w:val="32"/>
          <w:szCs w:val="32"/>
        </w:rPr>
        <w:t>，</w:t>
      </w:r>
      <w:r>
        <w:rPr>
          <w:rFonts w:hint="eastAsia" w:ascii="仿宋_GB2312" w:hAnsi="仿宋_GB2312" w:eastAsia="仿宋_GB2312" w:cs="仿宋_GB2312"/>
          <w:b w:val="0"/>
          <w:bCs/>
          <w:color w:val="auto"/>
          <w:spacing w:val="0"/>
          <w:kern w:val="21"/>
          <w:sz w:val="32"/>
          <w:szCs w:val="32"/>
          <w:lang w:val="en-US" w:eastAsia="zh-CN"/>
        </w:rPr>
        <w:t>推动义务教育优质均衡创建。</w:t>
      </w:r>
      <w:r>
        <w:rPr>
          <w:rFonts w:hint="eastAsia" w:ascii="仿宋_GB2312" w:hAnsi="仿宋_GB2312" w:eastAsia="仿宋_GB2312" w:cs="仿宋_GB2312"/>
          <w:b w:val="0"/>
          <w:bCs/>
          <w:color w:val="auto"/>
          <w:spacing w:val="0"/>
          <w:kern w:val="21"/>
          <w:sz w:val="32"/>
          <w:szCs w:val="32"/>
        </w:rPr>
        <w:t>完善普惠性学前教育保</w:t>
      </w:r>
      <w:r>
        <w:rPr>
          <w:rFonts w:hint="eastAsia" w:ascii="仿宋_GB2312" w:hAnsi="仿宋_GB2312" w:cs="Times New Roman"/>
          <w:color w:val="auto"/>
          <w:spacing w:val="0"/>
          <w:kern w:val="21"/>
          <w:sz w:val="32"/>
          <w:szCs w:val="32"/>
        </w:rPr>
        <w:t>障机制，</w:t>
      </w:r>
      <w:r>
        <w:rPr>
          <w:rFonts w:hint="eastAsia" w:ascii="仿宋_GB2312" w:hAnsi="仿宋_GB2312" w:eastAsia="仿宋_GB2312" w:cs="仿宋_GB2312"/>
          <w:b w:val="0"/>
          <w:bCs/>
          <w:color w:val="auto"/>
          <w:spacing w:val="0"/>
          <w:kern w:val="21"/>
          <w:sz w:val="32"/>
          <w:szCs w:val="32"/>
        </w:rPr>
        <w:t>稳步推进免费学前教育，</w:t>
      </w:r>
      <w:r>
        <w:rPr>
          <w:rFonts w:hint="eastAsia" w:ascii="仿宋_GB2312" w:hAnsi="仿宋_GB2312" w:cs="Times New Roman"/>
          <w:color w:val="auto"/>
          <w:spacing w:val="0"/>
          <w:kern w:val="21"/>
          <w:sz w:val="32"/>
          <w:szCs w:val="32"/>
          <w:lang w:val="en-US" w:eastAsia="zh-CN"/>
        </w:rPr>
        <w:t>推动</w:t>
      </w:r>
      <w:r>
        <w:rPr>
          <w:rFonts w:hint="eastAsia" w:ascii="仿宋_GB2312" w:hAnsi="仿宋_GB2312" w:eastAsia="仿宋_GB2312" w:cs="仿宋_GB2312"/>
          <w:b w:val="0"/>
          <w:bCs/>
          <w:color w:val="auto"/>
          <w:spacing w:val="0"/>
          <w:kern w:val="21"/>
          <w:sz w:val="32"/>
          <w:szCs w:val="32"/>
          <w:u w:val="none" w:color="auto"/>
          <w:lang w:val="en-US" w:eastAsia="zh-CN"/>
        </w:rPr>
        <w:t>学前教育优质普惠发展</w:t>
      </w:r>
      <w:r>
        <w:rPr>
          <w:rFonts w:hint="eastAsia" w:ascii="仿宋_GB2312" w:hAnsi="仿宋_GB2312" w:cs="仿宋_GB2312"/>
          <w:b w:val="0"/>
          <w:bCs/>
          <w:color w:val="auto"/>
          <w:spacing w:val="0"/>
          <w:kern w:val="21"/>
          <w:sz w:val="32"/>
          <w:szCs w:val="32"/>
          <w:u w:val="none" w:color="auto"/>
          <w:lang w:val="en-US" w:eastAsia="zh-CN"/>
        </w:rPr>
        <w:t>。</w:t>
      </w:r>
      <w:r>
        <w:rPr>
          <w:rFonts w:hint="eastAsia" w:ascii="仿宋_GB2312" w:hAnsi="仿宋_GB2312" w:cs="Times New Roman"/>
          <w:color w:val="auto"/>
          <w:spacing w:val="0"/>
          <w:kern w:val="21"/>
          <w:sz w:val="32"/>
          <w:szCs w:val="32"/>
        </w:rPr>
        <w:t>到“十五五”末，全市13个县（市、区）全部通过国家学前教育普及普惠县评估认定，普惠性幼儿园覆盖率达到100%，公办园在园幼儿占比达到</w:t>
      </w:r>
      <w:r>
        <w:rPr>
          <w:rFonts w:hint="eastAsia" w:ascii="仿宋_GB2312" w:hAnsi="仿宋_GB2312" w:cs="Times New Roman"/>
          <w:color w:val="auto"/>
          <w:spacing w:val="0"/>
          <w:kern w:val="21"/>
          <w:sz w:val="32"/>
          <w:szCs w:val="32"/>
          <w:lang w:val="en-US" w:eastAsia="zh-CN"/>
        </w:rPr>
        <w:t>6</w:t>
      </w:r>
      <w:r>
        <w:rPr>
          <w:rFonts w:hint="eastAsia" w:ascii="仿宋_GB2312" w:hAnsi="仿宋_GB2312" w:cs="Times New Roman"/>
          <w:color w:val="auto"/>
          <w:spacing w:val="0"/>
          <w:kern w:val="21"/>
          <w:sz w:val="32"/>
          <w:szCs w:val="32"/>
        </w:rPr>
        <w:t>0%以上。</w:t>
      </w:r>
      <w:r>
        <w:rPr>
          <w:rFonts w:hint="eastAsia" w:ascii="仿宋_GB2312" w:hAnsi="仿宋_GB2312" w:eastAsia="仿宋_GB2312" w:cs="仿宋_GB2312"/>
          <w:b w:val="0"/>
          <w:bCs/>
          <w:color w:val="auto"/>
          <w:spacing w:val="0"/>
          <w:kern w:val="21"/>
          <w:sz w:val="32"/>
          <w:szCs w:val="32"/>
        </w:rPr>
        <w:t>实施县域普通高中振兴行动，</w:t>
      </w:r>
      <w:r>
        <w:rPr>
          <w:rFonts w:hint="eastAsia" w:ascii="仿宋_GB2312" w:hAnsi="仿宋_GB2312" w:eastAsia="仿宋_GB2312" w:cs="仿宋_GB2312"/>
          <w:b w:val="0"/>
          <w:bCs/>
          <w:color w:val="auto"/>
          <w:spacing w:val="0"/>
          <w:kern w:val="21"/>
          <w:sz w:val="32"/>
          <w:szCs w:val="32"/>
          <w:u w:val="none" w:color="auto"/>
          <w:lang w:val="en-US" w:eastAsia="zh-CN"/>
        </w:rPr>
        <w:t>促进高中阶段学校多样化发展</w:t>
      </w:r>
      <w:r>
        <w:rPr>
          <w:rFonts w:hint="eastAsia" w:ascii="仿宋_GB2312" w:hAnsi="仿宋_GB2312" w:cs="仿宋_GB2312"/>
          <w:b w:val="0"/>
          <w:bCs/>
          <w:color w:val="auto"/>
          <w:spacing w:val="0"/>
          <w:kern w:val="21"/>
          <w:sz w:val="32"/>
          <w:szCs w:val="32"/>
          <w:u w:val="none" w:color="auto"/>
          <w:lang w:val="en-US" w:eastAsia="zh-CN"/>
        </w:rPr>
        <w:t>。</w:t>
      </w:r>
      <w:r>
        <w:rPr>
          <w:rFonts w:hint="eastAsia" w:ascii="仿宋_GB2312" w:hAnsi="仿宋_GB2312" w:eastAsia="仿宋_GB2312" w:cs="仿宋_GB2312"/>
          <w:b w:val="0"/>
          <w:bCs/>
          <w:color w:val="auto"/>
          <w:spacing w:val="0"/>
          <w:kern w:val="21"/>
          <w:sz w:val="32"/>
          <w:szCs w:val="32"/>
        </w:rPr>
        <w:t>办好特殊教育、专门教育</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Times New Roman"/>
          <w:color w:val="auto"/>
          <w:spacing w:val="0"/>
          <w:kern w:val="21"/>
          <w:sz w:val="32"/>
          <w:szCs w:val="32"/>
        </w:rPr>
        <w:t>加快延安市十五年一贯制特殊教育学校建设，推进市、县、校特殊教育资源中心建设。深化集团化办学，提升薄弱校办学水平和教育质量。</w:t>
      </w:r>
    </w:p>
    <w:p w14:paraId="16DC10C1">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构建高质量高等教育体系。</w:t>
      </w:r>
      <w:r>
        <w:rPr>
          <w:rFonts w:hint="eastAsia" w:ascii="仿宋_GB2312" w:hAnsi="仿宋_GB2312" w:cs="Times New Roman"/>
          <w:color w:val="auto"/>
          <w:spacing w:val="0"/>
          <w:kern w:val="21"/>
          <w:sz w:val="32"/>
          <w:szCs w:val="32"/>
        </w:rPr>
        <w:t>支持延安大学获批更多博士学位授权点，建设延安大学科技园，深化校地融合发展，建设更有特色、更有水平的一流综合性应用型大学。</w:t>
      </w:r>
      <w:r>
        <w:rPr>
          <w:rFonts w:hint="eastAsia" w:ascii="仿宋_GB2312" w:hAnsi="仿宋_GB2312" w:eastAsia="仿宋_GB2312" w:cs="仿宋_GB2312"/>
          <w:b w:val="0"/>
          <w:bCs/>
          <w:color w:val="auto"/>
          <w:spacing w:val="0"/>
          <w:kern w:val="21"/>
          <w:sz w:val="32"/>
          <w:szCs w:val="32"/>
        </w:rPr>
        <w:t>提升职业教育办学能力，</w:t>
      </w:r>
      <w:r>
        <w:rPr>
          <w:rFonts w:hint="eastAsia" w:ascii="仿宋_GB2312" w:hAnsi="仿宋_GB2312" w:cs="Times New Roman"/>
          <w:color w:val="auto"/>
          <w:spacing w:val="0"/>
          <w:kern w:val="21"/>
          <w:sz w:val="32"/>
          <w:szCs w:val="32"/>
        </w:rPr>
        <w:t>加快延安职业技术学院省级“双高计划”院校建设，</w:t>
      </w:r>
      <w:r>
        <w:rPr>
          <w:rFonts w:hint="eastAsia" w:ascii="仿宋_GB2312" w:hAnsi="仿宋_GB2312" w:eastAsia="仿宋_GB2312" w:cs="仿宋_GB2312"/>
          <w:b w:val="0"/>
          <w:bCs/>
          <w:color w:val="auto"/>
          <w:spacing w:val="0"/>
          <w:kern w:val="21"/>
          <w:sz w:val="32"/>
          <w:szCs w:val="32"/>
        </w:rPr>
        <w:t>支持延安职业技术学院建设本科层次职业技术大学</w:t>
      </w:r>
      <w:r>
        <w:rPr>
          <w:rFonts w:hint="eastAsia" w:ascii="仿宋_GB2312" w:hAnsi="仿宋_GB2312" w:cs="仿宋_GB2312"/>
          <w:b w:val="0"/>
          <w:bCs/>
          <w:color w:val="auto"/>
          <w:spacing w:val="0"/>
          <w:kern w:val="21"/>
          <w:sz w:val="32"/>
          <w:szCs w:val="32"/>
          <w:u w:val="none" w:color="auto"/>
          <w:lang w:val="en-US" w:eastAsia="zh-CN"/>
        </w:rPr>
        <w:t>，</w:t>
      </w:r>
      <w:r>
        <w:rPr>
          <w:rFonts w:hint="eastAsia" w:ascii="仿宋_GB2312" w:hAnsi="仿宋_GB2312" w:cs="Times New Roman"/>
          <w:color w:val="auto"/>
          <w:spacing w:val="0"/>
          <w:kern w:val="21"/>
          <w:sz w:val="32"/>
          <w:szCs w:val="32"/>
        </w:rPr>
        <w:t>鼓励县（市、区）中职学校与延安职院建立“3+2”“3+3”贯通培养模式。推动中等职业教育与普通高中教育融合发展</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推进职普融通、产教融合，增强职业教育适应性，建强市域产教联合体、行业产教融合共同体，优化与区域发展相协调、与产业布局相衔接的职业教育</w:t>
      </w:r>
      <w:r>
        <w:rPr>
          <w:rFonts w:hint="eastAsia" w:ascii="仿宋_GB2312" w:hAnsi="仿宋_GB2312" w:cs="Times New Roman"/>
          <w:color w:val="auto"/>
          <w:spacing w:val="0"/>
          <w:kern w:val="21"/>
          <w:sz w:val="32"/>
          <w:szCs w:val="32"/>
          <w:lang w:val="en-US" w:eastAsia="zh-CN"/>
        </w:rPr>
        <w:t>格</w:t>
      </w:r>
      <w:r>
        <w:rPr>
          <w:rFonts w:hint="eastAsia" w:ascii="仿宋_GB2312" w:hAnsi="仿宋_GB2312" w:cs="Times New Roman"/>
          <w:color w:val="auto"/>
          <w:spacing w:val="0"/>
          <w:kern w:val="21"/>
          <w:sz w:val="32"/>
          <w:szCs w:val="32"/>
        </w:rPr>
        <w:t>局。</w:t>
      </w:r>
    </w:p>
    <w:p w14:paraId="4B2C0079">
      <w:pPr>
        <w:keepNext w:val="0"/>
        <w:keepLines w:val="0"/>
        <w:pageBreakBefore w:val="0"/>
        <w:widowControl w:val="0"/>
        <w:kinsoku/>
        <w:wordWrap/>
        <w:overflowPunct w:val="0"/>
        <w:topLinePunct w:val="0"/>
        <w:autoSpaceDE/>
        <w:autoSpaceDN/>
        <w:bidi w:val="0"/>
        <w:adjustRightInd/>
        <w:snapToGrid/>
        <w:spacing w:afterAutospacing="0" w:line="550" w:lineRule="exact"/>
        <w:ind w:left="0"/>
        <w:textAlignment w:val="auto"/>
        <w:rPr>
          <w:rFonts w:hint="eastAsia" w:ascii="仿宋_GB2312" w:hAnsi="仿宋_GB2312" w:eastAsia="仿宋_GB2312" w:cs="仿宋_GB2312"/>
          <w:b w:val="0"/>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深化教育综合改革。</w:t>
      </w:r>
      <w:r>
        <w:rPr>
          <w:rFonts w:hint="eastAsia" w:ascii="仿宋_GB2312" w:hAnsi="仿宋_GB2312" w:eastAsia="仿宋_GB2312" w:cs="仿宋_GB2312"/>
          <w:b w:val="0"/>
          <w:bCs/>
          <w:color w:val="auto"/>
          <w:spacing w:val="0"/>
          <w:kern w:val="21"/>
          <w:sz w:val="32"/>
          <w:szCs w:val="32"/>
          <w:u w:val="none" w:color="auto"/>
          <w:lang w:val="en-US" w:eastAsia="zh-CN" w:bidi="ar-SA"/>
        </w:rPr>
        <w:t>深化立德树人综合改革，加强体育、美育、劳育教育，推进大中小学思政课一体化建设。</w:t>
      </w:r>
      <w:r>
        <w:rPr>
          <w:rFonts w:hint="eastAsia" w:ascii="仿宋_GB2312" w:hAnsi="仿宋_GB2312" w:eastAsia="仿宋_GB2312" w:cs="仿宋_GB2312"/>
          <w:b w:val="0"/>
          <w:bCs/>
          <w:color w:val="auto"/>
          <w:spacing w:val="0"/>
          <w:kern w:val="21"/>
          <w:sz w:val="32"/>
          <w:szCs w:val="32"/>
        </w:rPr>
        <w:t>深入推进集团化办学改革，健全城乡学校协同发展机制。</w:t>
      </w:r>
      <w:r>
        <w:rPr>
          <w:rFonts w:hint="eastAsia" w:ascii="仿宋_GB2312" w:hAnsi="仿宋_GB2312" w:cs="Times New Roman"/>
          <w:color w:val="auto"/>
          <w:spacing w:val="0"/>
          <w:kern w:val="21"/>
          <w:sz w:val="32"/>
          <w:szCs w:val="32"/>
        </w:rPr>
        <w:t>推进“县管校聘”教师管理制度改革，优化完善义务教育学校校长教师交流轮岗制度，推动城乡教育一体化发展。</w:t>
      </w:r>
      <w:r>
        <w:rPr>
          <w:rFonts w:hint="eastAsia" w:ascii="仿宋_GB2312" w:hAnsi="仿宋_GB2312" w:eastAsia="仿宋_GB2312" w:cs="仿宋_GB2312"/>
          <w:b w:val="0"/>
          <w:bCs/>
          <w:color w:val="auto"/>
          <w:spacing w:val="0"/>
          <w:kern w:val="21"/>
          <w:sz w:val="32"/>
          <w:szCs w:val="32"/>
        </w:rPr>
        <w:t>健全学校家庭社会协同育人机制</w:t>
      </w:r>
      <w:r>
        <w:rPr>
          <w:rFonts w:hint="eastAsia" w:ascii="仿宋_GB2312" w:hAnsi="仿宋_GB2312" w:cs="仿宋_GB2312"/>
          <w:b w:val="0"/>
          <w:bCs/>
          <w:color w:val="auto"/>
          <w:spacing w:val="0"/>
          <w:kern w:val="21"/>
          <w:sz w:val="32"/>
          <w:szCs w:val="32"/>
          <w:u w:val="none" w:color="auto"/>
          <w:lang w:val="en-US" w:eastAsia="zh-CN"/>
        </w:rPr>
        <w:t>，</w:t>
      </w:r>
      <w:r>
        <w:rPr>
          <w:rFonts w:hint="eastAsia" w:ascii="仿宋_GB2312" w:hAnsi="仿宋_GB2312" w:cs="Times New Roman"/>
          <w:color w:val="auto"/>
          <w:spacing w:val="0"/>
          <w:kern w:val="21"/>
          <w:sz w:val="32"/>
          <w:szCs w:val="32"/>
        </w:rPr>
        <w:t>完善社会家庭教育服务体系，建设覆盖城乡社区的家长学校等家庭教育指导服务站点。稳步扩大免费教育范围，探索延长义务教育年限。完善教师培养培训体系，</w:t>
      </w:r>
      <w:r>
        <w:rPr>
          <w:rFonts w:hint="eastAsia" w:ascii="仿宋_GB2312" w:hAnsi="仿宋_GB2312" w:cs="Times New Roman"/>
          <w:color w:val="auto"/>
          <w:spacing w:val="0"/>
          <w:kern w:val="21"/>
          <w:sz w:val="32"/>
          <w:szCs w:val="32"/>
          <w:lang w:val="en-US" w:eastAsia="zh-CN"/>
        </w:rPr>
        <w:t>加大“三级三类”骨干教师培养力度，</w:t>
      </w:r>
      <w:r>
        <w:rPr>
          <w:rFonts w:hint="eastAsia" w:ascii="仿宋_GB2312" w:hAnsi="仿宋_GB2312" w:cs="Times New Roman"/>
          <w:color w:val="auto"/>
          <w:spacing w:val="0"/>
          <w:kern w:val="21"/>
          <w:sz w:val="32"/>
          <w:szCs w:val="32"/>
        </w:rPr>
        <w:t>实施教师全员培训计划、“百千万”人才培养工程。</w:t>
      </w:r>
      <w:r>
        <w:rPr>
          <w:rFonts w:hint="eastAsia" w:ascii="仿宋_GB2312" w:hAnsi="仿宋_GB2312" w:eastAsia="仿宋_GB2312" w:cs="仿宋_GB2312"/>
          <w:b w:val="0"/>
          <w:bCs/>
          <w:color w:val="auto"/>
          <w:spacing w:val="0"/>
          <w:kern w:val="21"/>
          <w:sz w:val="32"/>
          <w:szCs w:val="32"/>
        </w:rPr>
        <w:t>弘扬教育家精神，强化教师待遇保障。</w:t>
      </w:r>
      <w:r>
        <w:rPr>
          <w:rFonts w:hint="eastAsia" w:ascii="仿宋_GB2312" w:hAnsi="仿宋_GB2312" w:eastAsia="仿宋_GB2312" w:cs="仿宋_GB2312"/>
          <w:b w:val="0"/>
          <w:bCs/>
          <w:color w:val="auto"/>
          <w:spacing w:val="0"/>
          <w:kern w:val="21"/>
          <w:sz w:val="32"/>
          <w:szCs w:val="32"/>
          <w:u w:val="none" w:color="auto"/>
          <w:lang w:val="en-US" w:eastAsia="zh-CN"/>
        </w:rPr>
        <w:t>规范民办教育发展。</w:t>
      </w:r>
      <w:r>
        <w:rPr>
          <w:rFonts w:hint="eastAsia" w:ascii="仿宋_GB2312" w:hAnsi="仿宋_GB2312" w:cs="仿宋_GB2312"/>
          <w:b w:val="0"/>
          <w:bCs/>
          <w:color w:val="auto"/>
          <w:spacing w:val="0"/>
          <w:kern w:val="21"/>
          <w:sz w:val="32"/>
          <w:szCs w:val="32"/>
          <w:u w:val="none" w:color="auto"/>
          <w:lang w:val="en-US" w:eastAsia="zh-CN"/>
        </w:rPr>
        <w:t>深入实施教育数字化战略，</w:t>
      </w:r>
      <w:r>
        <w:rPr>
          <w:rFonts w:hint="eastAsia" w:ascii="仿宋_GB2312" w:hAnsi="仿宋_GB2312" w:cs="Times New Roman"/>
          <w:color w:val="auto"/>
          <w:spacing w:val="0"/>
          <w:kern w:val="21"/>
          <w:sz w:val="32"/>
          <w:szCs w:val="32"/>
        </w:rPr>
        <w:t>加强“智慧校园”建设应用，推广普及人工智能教育，推进教育数字化转型。推进学习型社会建设，完善和加强继续教育、网络教育、自学教育、非学历教育等，</w:t>
      </w:r>
      <w:r>
        <w:rPr>
          <w:rFonts w:hint="eastAsia" w:ascii="仿宋_GB2312" w:hAnsi="仿宋_GB2312" w:eastAsia="仿宋_GB2312" w:cs="仿宋_GB2312"/>
          <w:b w:val="0"/>
          <w:bCs w:val="0"/>
          <w:color w:val="auto"/>
          <w:spacing w:val="0"/>
          <w:kern w:val="21"/>
          <w:sz w:val="32"/>
          <w:szCs w:val="32"/>
          <w:u w:val="none" w:color="auto"/>
          <w:lang w:val="en-US" w:eastAsia="zh-CN"/>
        </w:rPr>
        <w:t>优化终身学习公共服务，</w:t>
      </w:r>
      <w:r>
        <w:rPr>
          <w:rFonts w:hint="eastAsia" w:ascii="仿宋_GB2312" w:hAnsi="仿宋_GB2312" w:cs="Times New Roman"/>
          <w:color w:val="auto"/>
          <w:spacing w:val="0"/>
          <w:kern w:val="21"/>
          <w:sz w:val="32"/>
          <w:szCs w:val="32"/>
        </w:rPr>
        <w:t>构建覆盖城乡、机制完善的社区教育办学体系</w:t>
      </w:r>
      <w:r>
        <w:rPr>
          <w:rFonts w:hint="eastAsia" w:ascii="仿宋_GB2312" w:hAnsi="仿宋_GB2312" w:cs="仿宋_GB2312"/>
          <w:b w:val="0"/>
          <w:bCs w:val="0"/>
          <w:color w:val="auto"/>
          <w:spacing w:val="0"/>
          <w:kern w:val="21"/>
          <w:sz w:val="32"/>
          <w:szCs w:val="32"/>
          <w:u w:val="none" w:color="auto"/>
          <w:lang w:val="en-US" w:eastAsia="zh-CN"/>
        </w:rPr>
        <w:t>，</w:t>
      </w:r>
      <w:r>
        <w:rPr>
          <w:rFonts w:hint="eastAsia" w:ascii="仿宋_GB2312" w:hAnsi="仿宋_GB2312" w:eastAsia="仿宋_GB2312" w:cs="仿宋_GB2312"/>
          <w:b w:val="0"/>
          <w:bCs/>
          <w:color w:val="auto"/>
          <w:spacing w:val="0"/>
          <w:kern w:val="21"/>
          <w:sz w:val="32"/>
          <w:szCs w:val="32"/>
        </w:rPr>
        <w:t>办好人民满意的教育。</w:t>
      </w:r>
    </w:p>
    <w:p w14:paraId="6BB104E8">
      <w:pPr>
        <w:keepNext w:val="0"/>
        <w:keepLines w:val="0"/>
        <w:pageBreakBefore w:val="0"/>
        <w:widowControl w:val="0"/>
        <w:kinsoku/>
        <w:wordWrap/>
        <w:overflowPunct w:val="0"/>
        <w:topLinePunct w:val="0"/>
        <w:autoSpaceDE/>
        <w:autoSpaceDN/>
        <w:bidi w:val="0"/>
        <w:adjustRightInd/>
        <w:snapToGrid/>
        <w:spacing w:afterAutospacing="0" w:line="60" w:lineRule="exact"/>
        <w:ind w:left="0"/>
        <w:textAlignment w:val="auto"/>
        <w:rPr>
          <w:rFonts w:hint="eastAsia" w:ascii="仿宋_GB2312" w:hAnsi="仿宋_GB2312" w:eastAsia="仿宋_GB2312" w:cs="仿宋_GB2312"/>
          <w:b w:val="0"/>
          <w:bCs/>
          <w:color w:val="auto"/>
          <w:spacing w:val="0"/>
          <w:kern w:val="21"/>
          <w:sz w:val="30"/>
          <w:szCs w:val="30"/>
        </w:rPr>
      </w:pPr>
    </w:p>
    <w:tbl>
      <w:tblPr>
        <w:tblStyle w:val="16"/>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8"/>
      </w:tblGrid>
      <w:tr w14:paraId="5654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68" w:type="dxa"/>
            <w:vAlign w:val="center"/>
          </w:tcPr>
          <w:p w14:paraId="128842C2">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lang w:val="en-US" w:eastAsia="zh-CN"/>
              </w:rPr>
              <w:t>专栏25 教育事业重点工程</w:t>
            </w:r>
          </w:p>
        </w:tc>
      </w:tr>
      <w:tr w14:paraId="2F27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6" w:hRule="atLeast"/>
          <w:jc w:val="center"/>
        </w:trPr>
        <w:tc>
          <w:tcPr>
            <w:tcW w:w="8668" w:type="dxa"/>
            <w:vAlign w:val="center"/>
          </w:tcPr>
          <w:p w14:paraId="60FB687B">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学前教育</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新建延安新区荣民逸锦园小区配套幼儿园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延安高新区东区居住小区配套幼儿园等，续建延安新区明发小区配套幼儿园、延安新区邦泰（延安锦天府二期）小区配套幼儿园等，改扩建吴起、延川的公办幼儿园</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维修改造洛杉矶保育院。</w:t>
            </w:r>
          </w:p>
          <w:p w14:paraId="19992BF7">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义务教育重点项目。</w:t>
            </w:r>
            <w:r>
              <w:rPr>
                <w:rFonts w:hint="eastAsia" w:ascii="宋体" w:hAnsi="宋体" w:eastAsia="宋体" w:cs="宋体"/>
                <w:color w:val="auto"/>
                <w:spacing w:val="0"/>
                <w:kern w:val="21"/>
                <w:sz w:val="22"/>
                <w:szCs w:val="22"/>
                <w:highlight w:val="none"/>
                <w:u w:val="none"/>
              </w:rPr>
              <w:t>新建黄陵县双龙镇新镇区中心小学等6所</w:t>
            </w:r>
            <w:r>
              <w:rPr>
                <w:rFonts w:hint="eastAsia" w:ascii="宋体" w:hAnsi="宋体" w:eastAsia="宋体" w:cs="宋体"/>
                <w:color w:val="auto"/>
                <w:spacing w:val="0"/>
                <w:kern w:val="21"/>
                <w:sz w:val="22"/>
                <w:szCs w:val="22"/>
                <w:highlight w:val="none"/>
                <w:u w:val="none"/>
                <w:lang w:val="en-US" w:eastAsia="zh-CN"/>
              </w:rPr>
              <w:t>小学</w:t>
            </w:r>
            <w:r>
              <w:rPr>
                <w:rFonts w:hint="eastAsia" w:ascii="宋体" w:hAnsi="宋体" w:eastAsia="宋体" w:cs="宋体"/>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lang w:val="en-US" w:eastAsia="zh-CN"/>
              </w:rPr>
              <w:t>新建</w:t>
            </w:r>
            <w:r>
              <w:rPr>
                <w:rFonts w:hint="eastAsia" w:ascii="宋体" w:hAnsi="宋体" w:eastAsia="宋体" w:cs="宋体"/>
                <w:color w:val="auto"/>
                <w:spacing w:val="0"/>
                <w:kern w:val="21"/>
                <w:sz w:val="22"/>
                <w:szCs w:val="22"/>
                <w:highlight w:val="none"/>
                <w:u w:val="none"/>
              </w:rPr>
              <w:t>延安新区第六中学及第六小学，改扩建延安职业技术学院附属中学</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lang w:val="en-US" w:eastAsia="zh-CN"/>
              </w:rPr>
              <w:t>实施</w:t>
            </w:r>
            <w:r>
              <w:rPr>
                <w:rFonts w:hint="eastAsia" w:ascii="宋体" w:hAnsi="宋体" w:eastAsia="宋体" w:cs="宋体"/>
                <w:color w:val="auto"/>
                <w:spacing w:val="0"/>
                <w:kern w:val="21"/>
                <w:sz w:val="22"/>
                <w:szCs w:val="22"/>
                <w:highlight w:val="none"/>
                <w:u w:val="none"/>
              </w:rPr>
              <w:t>延安实验小学</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宝塔区</w:t>
            </w:r>
            <w:r>
              <w:rPr>
                <w:rFonts w:hint="eastAsia" w:ascii="宋体" w:hAnsi="宋体" w:eastAsia="宋体" w:cs="宋体"/>
                <w:color w:val="auto"/>
                <w:spacing w:val="0"/>
                <w:kern w:val="21"/>
                <w:sz w:val="22"/>
                <w:szCs w:val="22"/>
                <w:highlight w:val="none"/>
                <w:u w:val="none"/>
                <w:lang w:val="en-US" w:eastAsia="zh-CN"/>
              </w:rPr>
              <w:t>创新</w:t>
            </w:r>
            <w:r>
              <w:rPr>
                <w:rFonts w:hint="eastAsia" w:ascii="宋体" w:hAnsi="宋体" w:eastAsia="宋体" w:cs="宋体"/>
                <w:color w:val="auto"/>
                <w:spacing w:val="0"/>
                <w:kern w:val="21"/>
                <w:sz w:val="22"/>
                <w:szCs w:val="22"/>
                <w:highlight w:val="none"/>
                <w:u w:val="none"/>
              </w:rPr>
              <w:t>实验小学等6所</w:t>
            </w:r>
            <w:r>
              <w:rPr>
                <w:rFonts w:hint="eastAsia" w:ascii="宋体" w:hAnsi="宋体" w:eastAsia="宋体" w:cs="宋体"/>
                <w:color w:val="auto"/>
                <w:spacing w:val="0"/>
                <w:kern w:val="21"/>
                <w:sz w:val="22"/>
                <w:szCs w:val="22"/>
                <w:highlight w:val="none"/>
                <w:u w:val="none"/>
                <w:lang w:val="en-US" w:eastAsia="zh-CN"/>
              </w:rPr>
              <w:t>学校</w:t>
            </w:r>
            <w:r>
              <w:rPr>
                <w:rFonts w:hint="eastAsia" w:ascii="宋体" w:hAnsi="宋体" w:eastAsia="宋体" w:cs="宋体"/>
                <w:color w:val="auto"/>
                <w:spacing w:val="0"/>
                <w:kern w:val="21"/>
                <w:sz w:val="22"/>
                <w:szCs w:val="22"/>
                <w:highlight w:val="none"/>
                <w:u w:val="none"/>
              </w:rPr>
              <w:t>维修改造。</w:t>
            </w:r>
          </w:p>
          <w:p w14:paraId="55725E70">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普通高中重点项目。</w:t>
            </w:r>
            <w:r>
              <w:rPr>
                <w:rFonts w:hint="eastAsia" w:ascii="宋体" w:hAnsi="宋体" w:eastAsia="宋体" w:cs="宋体"/>
                <w:color w:val="auto"/>
                <w:spacing w:val="0"/>
                <w:kern w:val="21"/>
                <w:sz w:val="22"/>
                <w:szCs w:val="22"/>
                <w:highlight w:val="none"/>
                <w:u w:val="none"/>
              </w:rPr>
              <w:t>新建宝塔区第八中学等，改扩建子长市中学等，维修改造延安中学枣园校区、</w:t>
            </w:r>
            <w:r>
              <w:rPr>
                <w:rFonts w:hint="eastAsia" w:ascii="宋体" w:hAnsi="宋体" w:eastAsia="宋体" w:cs="宋体"/>
                <w:color w:val="auto"/>
                <w:spacing w:val="0"/>
                <w:kern w:val="21"/>
                <w:sz w:val="22"/>
                <w:szCs w:val="22"/>
                <w:highlight w:val="none"/>
                <w:u w:val="none"/>
                <w:lang w:val="en-US" w:eastAsia="zh-CN"/>
              </w:rPr>
              <w:t>延安市实验中学、</w:t>
            </w:r>
            <w:r>
              <w:rPr>
                <w:rFonts w:hint="eastAsia" w:ascii="宋体" w:hAnsi="宋体" w:eastAsia="宋体" w:cs="宋体"/>
                <w:color w:val="auto"/>
                <w:spacing w:val="0"/>
                <w:kern w:val="21"/>
                <w:sz w:val="22"/>
                <w:szCs w:val="22"/>
                <w:highlight w:val="none"/>
                <w:u w:val="none"/>
              </w:rPr>
              <w:t>宜川中学</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志丹高级中学</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安塞高级中学</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延川</w:t>
            </w:r>
            <w:r>
              <w:rPr>
                <w:rFonts w:hint="eastAsia" w:ascii="宋体" w:hAnsi="宋体" w:eastAsia="宋体" w:cs="宋体"/>
                <w:color w:val="auto"/>
                <w:spacing w:val="0"/>
                <w:kern w:val="21"/>
                <w:sz w:val="22"/>
                <w:szCs w:val="22"/>
                <w:highlight w:val="none"/>
                <w:u w:val="none"/>
              </w:rPr>
              <w:t>高级中学等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谋划建设</w:t>
            </w:r>
            <w:r>
              <w:rPr>
                <w:rFonts w:hint="eastAsia" w:ascii="宋体" w:hAnsi="宋体" w:eastAsia="宋体" w:cs="宋体"/>
                <w:color w:val="auto"/>
                <w:spacing w:val="0"/>
                <w:kern w:val="21"/>
                <w:sz w:val="22"/>
                <w:szCs w:val="22"/>
                <w:highlight w:val="none"/>
                <w:u w:val="none"/>
              </w:rPr>
              <w:t>高新区东区延安无锡实验高中</w:t>
            </w:r>
            <w:r>
              <w:rPr>
                <w:rFonts w:hint="eastAsia" w:ascii="宋体" w:hAnsi="宋体" w:eastAsia="宋体" w:cs="宋体"/>
                <w:color w:val="auto"/>
                <w:spacing w:val="0"/>
                <w:kern w:val="21"/>
                <w:sz w:val="22"/>
                <w:szCs w:val="22"/>
                <w:highlight w:val="none"/>
                <w:u w:val="none"/>
                <w:lang w:eastAsia="zh-CN"/>
              </w:rPr>
              <w:t>。</w:t>
            </w:r>
          </w:p>
          <w:p w14:paraId="2E963FCA">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rPr>
              <w:t>职业教育</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改扩建子长市职业教育中心等。</w:t>
            </w:r>
          </w:p>
          <w:p w14:paraId="73CEF06D">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教育信息化</w:t>
            </w:r>
            <w:r>
              <w:rPr>
                <w:rFonts w:hint="eastAsia" w:ascii="楷体_GB2312" w:hAnsi="楷体_GB2312" w:eastAsia="楷体_GB2312" w:cs="楷体_GB2312"/>
                <w:b w:val="0"/>
                <w:bCs w:val="0"/>
                <w:color w:val="auto"/>
                <w:spacing w:val="0"/>
                <w:kern w:val="21"/>
                <w:sz w:val="22"/>
                <w:szCs w:val="22"/>
                <w:highlight w:val="none"/>
                <w:u w:val="none"/>
                <w:lang w:val="en-US" w:eastAsia="zh-CN"/>
              </w:rPr>
              <w:t>重点项目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重点实施延安市教育大数据管理平台、延安市AI智慧学习室等。</w:t>
            </w:r>
          </w:p>
          <w:p w14:paraId="46A19860">
            <w:pPr>
              <w:keepNext w:val="0"/>
              <w:keepLines w:val="0"/>
              <w:pageBreakBefore w:val="0"/>
              <w:widowControl w:val="0"/>
              <w:kinsoku/>
              <w:wordWrap/>
              <w:overflowPunct w:val="0"/>
              <w:topLinePunct w:val="0"/>
              <w:autoSpaceDE/>
              <w:autoSpaceDN/>
              <w:bidi w:val="0"/>
              <w:adjustRightInd/>
              <w:snapToGrid/>
              <w:spacing w:afterAutospacing="0" w:line="420" w:lineRule="exact"/>
              <w:ind w:left="0" w:firstLine="562"/>
              <w:jc w:val="both"/>
              <w:textAlignment w:val="auto"/>
              <w:rPr>
                <w:rFonts w:hint="eastAsia" w:ascii="宋体" w:hAnsi="宋体" w:eastAsia="宋体" w:cs="宋体"/>
                <w:color w:val="auto"/>
                <w:spacing w:val="0"/>
                <w:kern w:val="21"/>
                <w:sz w:val="30"/>
                <w:szCs w:val="30"/>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其他类型。</w:t>
            </w:r>
            <w:r>
              <w:rPr>
                <w:rFonts w:hint="eastAsia" w:ascii="宋体" w:hAnsi="宋体" w:eastAsia="宋体" w:cs="宋体"/>
                <w:color w:val="auto"/>
                <w:spacing w:val="0"/>
                <w:kern w:val="21"/>
                <w:sz w:val="22"/>
                <w:szCs w:val="22"/>
                <w:highlight w:val="none"/>
                <w:u w:val="none"/>
                <w:lang w:val="en-US" w:eastAsia="zh-CN"/>
              </w:rPr>
              <w:t>新</w:t>
            </w:r>
            <w:r>
              <w:rPr>
                <w:rFonts w:hint="eastAsia" w:ascii="宋体" w:hAnsi="宋体" w:eastAsia="宋体" w:cs="宋体"/>
                <w:color w:val="auto"/>
                <w:spacing w:val="0"/>
                <w:kern w:val="21"/>
                <w:sz w:val="22"/>
                <w:szCs w:val="22"/>
                <w:highlight w:val="none"/>
                <w:u w:val="none"/>
              </w:rPr>
              <w:t>建延安市十五年一贯制特殊教育学校，改扩建子长市特殊教育学校，维修改造延安开放大学老年教育指导中心综合场地项目。</w:t>
            </w:r>
          </w:p>
        </w:tc>
      </w:tr>
    </w:tbl>
    <w:p w14:paraId="0568CC57">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color w:val="auto"/>
          <w:spacing w:val="0"/>
          <w:kern w:val="21"/>
          <w:sz w:val="32"/>
          <w:szCs w:val="32"/>
        </w:rPr>
      </w:pPr>
      <w:bookmarkStart w:id="129" w:name="_Toc18041"/>
      <w:bookmarkStart w:id="130" w:name="_Toc14737"/>
      <w:bookmarkStart w:id="131" w:name="_Toc23846"/>
    </w:p>
    <w:p w14:paraId="2F31A7F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0" w:lineRule="exact"/>
        <w:ind w:left="0"/>
        <w:textAlignment w:val="auto"/>
        <w:rPr>
          <w:color w:val="auto"/>
          <w:spacing w:val="0"/>
          <w:kern w:val="21"/>
          <w:sz w:val="32"/>
          <w:szCs w:val="32"/>
        </w:rPr>
      </w:pPr>
      <w:r>
        <w:rPr>
          <w:color w:val="auto"/>
          <w:spacing w:val="0"/>
          <w:kern w:val="21"/>
          <w:sz w:val="32"/>
          <w:szCs w:val="32"/>
        </w:rPr>
        <w:t>第</w:t>
      </w:r>
      <w:r>
        <w:rPr>
          <w:rFonts w:hint="eastAsia"/>
          <w:color w:val="auto"/>
          <w:spacing w:val="0"/>
          <w:kern w:val="21"/>
          <w:sz w:val="32"/>
          <w:szCs w:val="32"/>
        </w:rPr>
        <w:t>三十</w:t>
      </w:r>
      <w:r>
        <w:rPr>
          <w:rFonts w:hint="eastAsia"/>
          <w:color w:val="auto"/>
          <w:spacing w:val="0"/>
          <w:kern w:val="21"/>
          <w:sz w:val="32"/>
          <w:szCs w:val="32"/>
          <w:lang w:val="en-US" w:eastAsia="zh-CN"/>
        </w:rPr>
        <w:t>五</w:t>
      </w:r>
      <w:r>
        <w:rPr>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扎实</w:t>
      </w:r>
      <w:r>
        <w:rPr>
          <w:color w:val="auto"/>
          <w:spacing w:val="0"/>
          <w:kern w:val="21"/>
          <w:sz w:val="32"/>
          <w:szCs w:val="32"/>
        </w:rPr>
        <w:t>推进健康延安建设</w:t>
      </w:r>
      <w:bookmarkEnd w:id="129"/>
      <w:bookmarkEnd w:id="130"/>
      <w:bookmarkEnd w:id="131"/>
    </w:p>
    <w:p w14:paraId="14B0BB54">
      <w:pPr>
        <w:keepNext w:val="0"/>
        <w:keepLines w:val="0"/>
        <w:pageBreakBefore w:val="0"/>
        <w:widowControl w:val="0"/>
        <w:kinsoku/>
        <w:wordWrap/>
        <w:overflowPunct w:val="0"/>
        <w:topLinePunct w:val="0"/>
        <w:autoSpaceDE/>
        <w:autoSpaceDN/>
        <w:bidi w:val="0"/>
        <w:adjustRightInd/>
        <w:snapToGrid/>
        <w:spacing w:afterAutospacing="0" w:line="564" w:lineRule="exact"/>
        <w:ind w:left="0"/>
        <w:textAlignment w:val="auto"/>
        <w:rPr>
          <w:rFonts w:hint="eastAsia" w:ascii="楷体_GB2312" w:hAnsi="楷体_GB2312" w:eastAsia="楷体_GB2312" w:cs="楷体_GB2312"/>
          <w:b w:val="0"/>
          <w:bCs w:val="0"/>
          <w:color w:val="auto"/>
          <w:spacing w:val="0"/>
          <w:kern w:val="21"/>
          <w:sz w:val="32"/>
          <w:szCs w:val="32"/>
        </w:rPr>
      </w:pPr>
    </w:p>
    <w:p w14:paraId="1F1BBD6D">
      <w:pPr>
        <w:keepNext w:val="0"/>
        <w:keepLines w:val="0"/>
        <w:pageBreakBefore w:val="0"/>
        <w:widowControl w:val="0"/>
        <w:kinsoku/>
        <w:wordWrap/>
        <w:overflowPunct w:val="0"/>
        <w:topLinePunct w:val="0"/>
        <w:autoSpaceDE/>
        <w:autoSpaceDN/>
        <w:bidi w:val="0"/>
        <w:adjustRightInd/>
        <w:snapToGrid/>
        <w:spacing w:afterAutospacing="0" w:line="564"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优化全方位医疗健康服务。</w:t>
      </w:r>
      <w:r>
        <w:rPr>
          <w:rFonts w:hint="eastAsia" w:ascii="仿宋_GB2312" w:hAnsi="仿宋_GB2312" w:cs="Times New Roman"/>
          <w:color w:val="auto"/>
          <w:spacing w:val="0"/>
          <w:kern w:val="21"/>
          <w:sz w:val="32"/>
          <w:szCs w:val="32"/>
        </w:rPr>
        <w:t>加大与国内顶尖医疗院校合作办医力度，提升市人民医院、中医医院、延安大学附属医院、妇女儿童医院综合服务能力，推进市第三人民医院建成三级精神卫生专科医院。提升县级医疗能力，加快子长、吴起、洛川县人民医院建设市级区域医疗中心。</w:t>
      </w:r>
      <w:r>
        <w:rPr>
          <w:rFonts w:hint="eastAsia" w:ascii="仿宋_GB2312" w:hAnsi="仿宋_GB2312" w:eastAsia="仿宋_GB2312" w:cs="仿宋_GB2312"/>
          <w:b w:val="0"/>
          <w:bCs/>
          <w:color w:val="auto"/>
          <w:spacing w:val="0"/>
          <w:kern w:val="21"/>
          <w:sz w:val="32"/>
          <w:szCs w:val="32"/>
        </w:rPr>
        <w:t>实施医疗卫生强基工程，</w:t>
      </w:r>
      <w:r>
        <w:rPr>
          <w:rFonts w:hint="eastAsia" w:ascii="仿宋_GB2312" w:hAnsi="仿宋_GB2312" w:cs="Times New Roman"/>
          <w:color w:val="auto"/>
          <w:spacing w:val="0"/>
          <w:kern w:val="21"/>
          <w:sz w:val="32"/>
          <w:szCs w:val="32"/>
        </w:rPr>
        <w:t>完善乡村医疗卫生机构服务功能，整合优化医疗卫生资源，推进以县带乡、以乡带村和县乡一体、乡村一体。加强县区、基层医疗机构运行保障，持续开展“优质服务基层行”活动。强</w:t>
      </w:r>
      <w:r>
        <w:rPr>
          <w:rFonts w:hint="eastAsia" w:ascii="仿宋_GB2312" w:hAnsi="仿宋_GB2312" w:eastAsia="仿宋_GB2312" w:cs="仿宋_GB2312"/>
          <w:b w:val="0"/>
          <w:bCs/>
          <w:color w:val="auto"/>
          <w:spacing w:val="0"/>
          <w:kern w:val="21"/>
          <w:sz w:val="32"/>
          <w:szCs w:val="32"/>
        </w:rPr>
        <w:t>化公共卫生能力，推进疾控体系现代化建设，优化重大疾病防控策略，完善传染病联防联控机制。</w:t>
      </w:r>
      <w:r>
        <w:rPr>
          <w:rFonts w:hint="eastAsia" w:ascii="仿宋_GB2312" w:hAnsi="仿宋_GB2312" w:cs="Times New Roman"/>
          <w:color w:val="auto"/>
          <w:spacing w:val="0"/>
          <w:kern w:val="21"/>
          <w:sz w:val="32"/>
          <w:szCs w:val="32"/>
        </w:rPr>
        <w:t>到2030年</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现有县级中医院全部达到二级甲等水平</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95%</w:t>
      </w:r>
      <w:r>
        <w:rPr>
          <w:rFonts w:hint="eastAsia" w:ascii="仿宋_GB2312" w:hAnsi="仿宋_GB2312" w:cs="Times New Roman"/>
          <w:color w:val="auto"/>
          <w:spacing w:val="0"/>
          <w:kern w:val="21"/>
          <w:sz w:val="32"/>
          <w:szCs w:val="32"/>
          <w:lang w:val="en-US" w:eastAsia="zh-CN"/>
        </w:rPr>
        <w:t>以上</w:t>
      </w:r>
      <w:r>
        <w:rPr>
          <w:rFonts w:hint="eastAsia" w:ascii="仿宋_GB2312" w:hAnsi="仿宋_GB2312" w:cs="Times New Roman"/>
          <w:color w:val="auto"/>
          <w:spacing w:val="0"/>
          <w:kern w:val="21"/>
          <w:sz w:val="32"/>
          <w:szCs w:val="32"/>
        </w:rPr>
        <w:t>的乡镇卫生院、社区卫生服务中心达到服务能力标准。</w:t>
      </w:r>
    </w:p>
    <w:p w14:paraId="3FA7C968">
      <w:pPr>
        <w:keepNext w:val="0"/>
        <w:keepLines w:val="0"/>
        <w:pageBreakBefore w:val="0"/>
        <w:widowControl w:val="0"/>
        <w:kinsoku/>
        <w:wordWrap/>
        <w:overflowPunct w:val="0"/>
        <w:topLinePunct w:val="0"/>
        <w:autoSpaceDE/>
        <w:autoSpaceDN/>
        <w:bidi w:val="0"/>
        <w:adjustRightInd/>
        <w:snapToGrid/>
        <w:spacing w:afterAutospacing="0" w:line="550"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深化医疗卫生体制改革。</w:t>
      </w:r>
      <w:r>
        <w:rPr>
          <w:rFonts w:hint="eastAsia" w:ascii="仿宋_GB2312" w:hAnsi="仿宋_GB2312" w:cs="Times New Roman"/>
          <w:color w:val="auto"/>
          <w:spacing w:val="0"/>
          <w:kern w:val="21"/>
          <w:sz w:val="32"/>
          <w:szCs w:val="32"/>
        </w:rPr>
        <w:t>健全医疗、医保、医药协同发展和治理机制，加快紧密型城市医疗集团和县域医共体建设，深化与高校托管帮扶合作机制，推进优质资源扩容和布局</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发展“固定+流动”的医疗卫生服务供给模式，实现巡回医疗在医疗资源薄弱县全覆盖。</w:t>
      </w:r>
      <w:r>
        <w:rPr>
          <w:rFonts w:hint="eastAsia" w:ascii="仿宋_GB2312" w:hAnsi="仿宋_GB2312" w:eastAsia="仿宋_GB2312" w:cs="仿宋_GB2312"/>
          <w:b w:val="0"/>
          <w:bCs/>
          <w:color w:val="auto"/>
          <w:spacing w:val="0"/>
          <w:kern w:val="21"/>
          <w:sz w:val="32"/>
          <w:szCs w:val="32"/>
        </w:rPr>
        <w:t>完善医疗服务监管体系。</w:t>
      </w:r>
      <w:r>
        <w:rPr>
          <w:rFonts w:hint="eastAsia" w:ascii="仿宋_GB2312" w:hAnsi="仿宋_GB2312" w:cs="Times New Roman"/>
          <w:color w:val="auto"/>
          <w:spacing w:val="0"/>
          <w:kern w:val="21"/>
          <w:sz w:val="32"/>
          <w:szCs w:val="32"/>
        </w:rPr>
        <w:t>加强医疗卫生健康信息化建设，开展智慧医院建设，实现医疗诊断、健康服务、管理考核工作数字化转型</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lang w:val="en-US" w:eastAsia="zh-CN"/>
        </w:rPr>
        <w:t>提升</w:t>
      </w:r>
      <w:r>
        <w:rPr>
          <w:rFonts w:hint="eastAsia" w:ascii="仿宋_GB2312" w:hAnsi="仿宋_GB2312" w:cs="Times New Roman"/>
          <w:color w:val="auto"/>
          <w:spacing w:val="0"/>
          <w:kern w:val="21"/>
          <w:sz w:val="32"/>
          <w:szCs w:val="32"/>
        </w:rPr>
        <w:t>远程医疗服务能力，促进优质医疗资源下沉。</w:t>
      </w:r>
      <w:r>
        <w:rPr>
          <w:rFonts w:hint="eastAsia" w:ascii="仿宋_GB2312" w:hAnsi="仿宋_GB2312" w:eastAsia="仿宋_GB2312" w:cs="仿宋_GB2312"/>
          <w:b w:val="0"/>
          <w:bCs/>
          <w:color w:val="auto"/>
          <w:spacing w:val="0"/>
          <w:kern w:val="21"/>
          <w:sz w:val="32"/>
          <w:szCs w:val="32"/>
          <w:highlight w:val="none"/>
        </w:rPr>
        <w:t>推进基本医保“应保尽保”，</w:t>
      </w:r>
      <w:r>
        <w:rPr>
          <w:rFonts w:hint="eastAsia" w:ascii="Times New Roman" w:hAnsi="Times New Roman" w:cs="Times New Roman"/>
          <w:color w:val="auto"/>
          <w:spacing w:val="0"/>
          <w:kern w:val="21"/>
          <w:sz w:val="32"/>
          <w:szCs w:val="32"/>
          <w:highlight w:val="none"/>
          <w:lang w:val="en-US" w:eastAsia="zh-CN"/>
        </w:rPr>
        <w:t>完善</w:t>
      </w:r>
      <w:r>
        <w:rPr>
          <w:rFonts w:hint="eastAsia" w:ascii="Times New Roman" w:hAnsi="Times New Roman" w:cs="Times New Roman"/>
          <w:color w:val="auto"/>
          <w:spacing w:val="0"/>
          <w:kern w:val="21"/>
          <w:sz w:val="32"/>
          <w:szCs w:val="32"/>
          <w:highlight w:val="none"/>
        </w:rPr>
        <w:t>重大疾病医疗保险和救助制度</w:t>
      </w:r>
      <w:r>
        <w:rPr>
          <w:rFonts w:hint="eastAsia" w:ascii="Times New Roman" w:hAnsi="Times New Roman" w:cs="Times New Roman"/>
          <w:color w:val="auto"/>
          <w:spacing w:val="0"/>
          <w:kern w:val="21"/>
          <w:sz w:val="32"/>
          <w:szCs w:val="32"/>
          <w:highlight w:val="none"/>
          <w:lang w:eastAsia="zh-CN"/>
        </w:rPr>
        <w:t>，</w:t>
      </w:r>
      <w:r>
        <w:rPr>
          <w:rFonts w:hint="eastAsia" w:ascii="Times New Roman" w:hAnsi="Times New Roman" w:cs="Times New Roman"/>
          <w:color w:val="auto"/>
          <w:spacing w:val="0"/>
          <w:kern w:val="21"/>
          <w:sz w:val="32"/>
          <w:szCs w:val="32"/>
          <w:highlight w:val="none"/>
        </w:rPr>
        <w:t>做好刚性支出困难家庭重病患者医疗救助。</w:t>
      </w:r>
      <w:r>
        <w:rPr>
          <w:rFonts w:hint="eastAsia" w:ascii="仿宋_GB2312" w:hAnsi="仿宋_GB2312" w:eastAsia="仿宋_GB2312" w:cs="仿宋_GB2312"/>
          <w:b w:val="0"/>
          <w:bCs/>
          <w:color w:val="auto"/>
          <w:spacing w:val="0"/>
          <w:kern w:val="21"/>
          <w:sz w:val="32"/>
          <w:szCs w:val="32"/>
          <w:highlight w:val="none"/>
        </w:rPr>
        <w:t>深化支付方式改革、药品耗材集中带量采购、医疗服务价格改革，</w:t>
      </w:r>
      <w:r>
        <w:rPr>
          <w:rFonts w:hint="eastAsia" w:ascii="Times New Roman" w:hAnsi="Times New Roman" w:cs="Times New Roman"/>
          <w:color w:val="auto"/>
          <w:spacing w:val="0"/>
          <w:kern w:val="21"/>
          <w:sz w:val="32"/>
          <w:szCs w:val="32"/>
          <w:highlight w:val="none"/>
        </w:rPr>
        <w:t>拓展异地就医服务和门诊慢特病异地直接结算范围</w:t>
      </w:r>
      <w:r>
        <w:rPr>
          <w:rFonts w:hint="eastAsia" w:ascii="Times New Roman" w:hAnsi="Times New Roman" w:cs="Times New Roman"/>
          <w:color w:val="auto"/>
          <w:spacing w:val="0"/>
          <w:kern w:val="21"/>
          <w:sz w:val="32"/>
          <w:szCs w:val="32"/>
          <w:highlight w:val="none"/>
          <w:lang w:eastAsia="zh-CN"/>
        </w:rPr>
        <w:t>，</w:t>
      </w:r>
      <w:r>
        <w:rPr>
          <w:rFonts w:hint="eastAsia" w:ascii="仿宋_GB2312" w:hAnsi="仿宋_GB2312" w:eastAsia="仿宋_GB2312" w:cs="仿宋_GB2312"/>
          <w:b w:val="0"/>
          <w:bCs/>
          <w:color w:val="auto"/>
          <w:spacing w:val="0"/>
          <w:kern w:val="21"/>
          <w:sz w:val="32"/>
          <w:szCs w:val="32"/>
          <w:highlight w:val="none"/>
        </w:rPr>
        <w:t>优化群众就医报销体验感。</w:t>
      </w:r>
      <w:r>
        <w:rPr>
          <w:rFonts w:hint="eastAsia" w:ascii="仿宋_GB2312" w:hAnsi="仿宋_GB2312" w:cs="Times New Roman"/>
          <w:color w:val="auto"/>
          <w:spacing w:val="0"/>
          <w:kern w:val="21"/>
          <w:sz w:val="32"/>
          <w:szCs w:val="32"/>
        </w:rPr>
        <w:t>加强医学人才引育</w:t>
      </w:r>
      <w:r>
        <w:rPr>
          <w:rFonts w:hint="eastAsia" w:ascii="仿宋_GB2312" w:hAnsi="仿宋_GB2312" w:cs="Times New Roman"/>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实施卫生健康基层人才队伍建设和高层次人才引进培育行动。</w:t>
      </w:r>
      <w:r>
        <w:rPr>
          <w:rFonts w:hint="eastAsia" w:ascii="仿宋_GB2312" w:hAnsi="仿宋_GB2312" w:cs="Times New Roman"/>
          <w:color w:val="auto"/>
          <w:spacing w:val="0"/>
          <w:kern w:val="21"/>
          <w:sz w:val="32"/>
          <w:szCs w:val="32"/>
        </w:rPr>
        <w:t>推动中医药传承创新，推进中西医结合，开展名中医师带徒活动，强化中医药人才队伍建设。</w:t>
      </w:r>
    </w:p>
    <w:p w14:paraId="1D80ED80">
      <w:pPr>
        <w:keepNext w:val="0"/>
        <w:keepLines w:val="0"/>
        <w:pageBreakBefore w:val="0"/>
        <w:widowControl w:val="0"/>
        <w:kinsoku/>
        <w:wordWrap/>
        <w:overflowPunct w:val="0"/>
        <w:topLinePunct w:val="0"/>
        <w:autoSpaceDE/>
        <w:autoSpaceDN/>
        <w:bidi w:val="0"/>
        <w:adjustRightInd/>
        <w:snapToGrid/>
        <w:spacing w:afterAutospacing="0" w:line="550" w:lineRule="exact"/>
        <w:ind w:left="0" w:firstLine="640"/>
        <w:textAlignment w:val="auto"/>
        <w:rPr>
          <w:rFonts w:hint="eastAsia" w:ascii="仿宋_GB2312" w:hAnsi="仿宋_GB2312" w:cs="Times New Roman"/>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val="en-US" w:eastAsia="zh-CN"/>
        </w:rPr>
        <w:t>引导全民健康生活。</w:t>
      </w:r>
      <w:r>
        <w:rPr>
          <w:rFonts w:hint="eastAsia" w:ascii="仿宋_GB2312" w:hAnsi="仿宋_GB2312" w:eastAsia="仿宋_GB2312" w:cs="仿宋_GB2312"/>
          <w:b w:val="0"/>
          <w:bCs/>
          <w:color w:val="auto"/>
          <w:spacing w:val="0"/>
          <w:kern w:val="21"/>
          <w:sz w:val="32"/>
          <w:szCs w:val="32"/>
        </w:rPr>
        <w:t>强化健康素养提升行动，创新健康科普形式，提升爱国卫生运动成效。</w:t>
      </w:r>
      <w:r>
        <w:rPr>
          <w:rFonts w:hint="eastAsia" w:ascii="仿宋_GB2312" w:hAnsi="仿宋_GB2312" w:cs="Times New Roman"/>
          <w:color w:val="auto"/>
          <w:spacing w:val="0"/>
          <w:kern w:val="21"/>
          <w:sz w:val="32"/>
          <w:szCs w:val="32"/>
        </w:rPr>
        <w:t>加强慢性病防治康管全链条服务，</w:t>
      </w:r>
      <w:r>
        <w:rPr>
          <w:rFonts w:hint="eastAsia" w:ascii="仿宋_GB2312" w:hAnsi="仿宋_GB2312" w:eastAsia="仿宋_GB2312" w:cs="仿宋_GB2312"/>
          <w:b w:val="0"/>
          <w:bCs/>
          <w:color w:val="auto"/>
          <w:spacing w:val="0"/>
          <w:kern w:val="21"/>
          <w:sz w:val="32"/>
          <w:szCs w:val="32"/>
        </w:rPr>
        <w:t>加强心理健康和精神卫生服务</w:t>
      </w:r>
      <w:r>
        <w:rPr>
          <w:rFonts w:hint="eastAsia" w:ascii="仿宋_GB2312" w:hAnsi="仿宋_GB2312" w:cs="Times New Roman"/>
          <w:color w:val="auto"/>
          <w:spacing w:val="0"/>
          <w:kern w:val="21"/>
          <w:sz w:val="32"/>
          <w:szCs w:val="32"/>
        </w:rPr>
        <w:t>，健全社会心理服务体系和危机干预机制，加强社区、校园等心理咨询室、社会工作室建设，积极开展心理健康宣传教育</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强化职业病防治和职业健康保护。统筹建设全民健身公共设施，建设智慧体育公园、健身步道和户外运动目的地，推进全民健身。常态化开展</w:t>
      </w:r>
      <w:r>
        <w:rPr>
          <w:rFonts w:hint="eastAsia" w:ascii="仿宋_GB2312" w:hAnsi="仿宋_GB2312" w:cs="Times New Roman"/>
          <w:color w:val="auto"/>
          <w:spacing w:val="0"/>
          <w:kern w:val="21"/>
          <w:sz w:val="32"/>
          <w:szCs w:val="32"/>
          <w:lang w:val="en-US" w:eastAsia="zh-CN"/>
        </w:rPr>
        <w:t>国民</w:t>
      </w:r>
      <w:r>
        <w:rPr>
          <w:rFonts w:hint="eastAsia" w:ascii="仿宋_GB2312" w:hAnsi="仿宋_GB2312" w:cs="Times New Roman"/>
          <w:color w:val="auto"/>
          <w:spacing w:val="0"/>
          <w:kern w:val="21"/>
          <w:sz w:val="32"/>
          <w:szCs w:val="32"/>
        </w:rPr>
        <w:t>体质监测工作</w:t>
      </w:r>
      <w:r>
        <w:rPr>
          <w:rFonts w:hint="eastAsia" w:ascii="仿宋_GB2312" w:hAnsi="仿宋_GB2312" w:cs="Times New Roman"/>
          <w:color w:val="auto"/>
          <w:spacing w:val="0"/>
          <w:kern w:val="21"/>
          <w:sz w:val="32"/>
          <w:szCs w:val="32"/>
          <w:lang w:eastAsia="zh-CN"/>
        </w:rPr>
        <w:t>。</w:t>
      </w:r>
    </w:p>
    <w:p w14:paraId="0EC6C212">
      <w:pPr>
        <w:pStyle w:val="2"/>
        <w:keepNext w:val="0"/>
        <w:keepLines w:val="0"/>
        <w:pageBreakBefore w:val="0"/>
        <w:widowControl w:val="0"/>
        <w:kinsoku/>
        <w:wordWrap/>
        <w:overflowPunct/>
        <w:topLinePunct w:val="0"/>
        <w:autoSpaceDE/>
        <w:autoSpaceDN/>
        <w:bidi w:val="0"/>
        <w:adjustRightInd/>
        <w:snapToGrid/>
        <w:spacing w:after="0" w:line="60" w:lineRule="exact"/>
        <w:textAlignment w:val="auto"/>
        <w:rPr>
          <w:rFonts w:hint="eastAsia"/>
          <w:color w:val="auto"/>
          <w:lang w:eastAsia="zh-CN"/>
        </w:rPr>
      </w:pPr>
    </w:p>
    <w:tbl>
      <w:tblPr>
        <w:tblStyle w:val="16"/>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14:paraId="5839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647" w:type="dxa"/>
            <w:vAlign w:val="center"/>
          </w:tcPr>
          <w:p w14:paraId="75DDEA0A">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黑体" w:hAnsi="黑体" w:eastAsia="黑体" w:cs="黑体"/>
                <w:b w:val="0"/>
                <w:bCs w:val="0"/>
                <w:color w:val="auto"/>
                <w:spacing w:val="0"/>
                <w:kern w:val="21"/>
                <w:sz w:val="25"/>
                <w:szCs w:val="25"/>
                <w:highlight w:val="none"/>
                <w:u w:val="none"/>
                <w:lang w:val="en-US" w:eastAsia="zh-CN"/>
              </w:rPr>
            </w:pPr>
            <w:r>
              <w:rPr>
                <w:rFonts w:hint="eastAsia" w:ascii="黑体" w:hAnsi="黑体" w:eastAsia="黑体" w:cs="黑体"/>
                <w:b w:val="0"/>
                <w:bCs w:val="0"/>
                <w:color w:val="auto"/>
                <w:spacing w:val="0"/>
                <w:kern w:val="21"/>
                <w:sz w:val="25"/>
                <w:szCs w:val="25"/>
                <w:highlight w:val="none"/>
                <w:u w:val="none"/>
                <w:lang w:val="en-US" w:eastAsia="zh-CN"/>
              </w:rPr>
              <w:t>专栏26 健康延安重点项目</w:t>
            </w:r>
          </w:p>
        </w:tc>
      </w:tr>
      <w:tr w14:paraId="53FC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5" w:hRule="atLeast"/>
          <w:jc w:val="center"/>
        </w:trPr>
        <w:tc>
          <w:tcPr>
            <w:tcW w:w="8647" w:type="dxa"/>
          </w:tcPr>
          <w:p w14:paraId="0606369C">
            <w:pPr>
              <w:keepNext w:val="0"/>
              <w:keepLines w:val="0"/>
              <w:pageBreakBefore w:val="0"/>
              <w:widowControl w:val="0"/>
              <w:kinsoku/>
              <w:wordWrap/>
              <w:overflowPunct w:val="0"/>
              <w:topLinePunct w:val="0"/>
              <w:autoSpaceDE/>
              <w:autoSpaceDN/>
              <w:bidi w:val="0"/>
              <w:adjustRightInd/>
              <w:snapToGrid/>
              <w:spacing w:afterAutospacing="0" w:line="31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延安市中心血站能力提升项目。</w:t>
            </w:r>
            <w:r>
              <w:rPr>
                <w:rFonts w:hint="eastAsia" w:ascii="宋体" w:hAnsi="宋体" w:eastAsia="宋体" w:cs="宋体"/>
                <w:color w:val="auto"/>
                <w:spacing w:val="0"/>
                <w:kern w:val="21"/>
                <w:sz w:val="22"/>
                <w:szCs w:val="22"/>
                <w:highlight w:val="none"/>
                <w:u w:val="none"/>
                <w:lang w:val="en-US" w:eastAsia="zh-CN"/>
              </w:rPr>
              <w:t>新建采供血综合楼，更新检验检测设备。</w:t>
            </w:r>
          </w:p>
          <w:p w14:paraId="3025DCF7">
            <w:pPr>
              <w:keepNext w:val="0"/>
              <w:keepLines w:val="0"/>
              <w:pageBreakBefore w:val="0"/>
              <w:widowControl w:val="0"/>
              <w:kinsoku/>
              <w:wordWrap/>
              <w:overflowPunct w:val="0"/>
              <w:topLinePunct w:val="0"/>
              <w:autoSpaceDE/>
              <w:autoSpaceDN/>
              <w:bidi w:val="0"/>
              <w:adjustRightInd/>
              <w:snapToGrid/>
              <w:spacing w:afterAutospacing="0" w:line="310" w:lineRule="exact"/>
              <w:ind w:left="0" w:firstLine="562"/>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延安市基层服务能力提升项目。</w:t>
            </w:r>
            <w:r>
              <w:rPr>
                <w:rFonts w:hint="eastAsia" w:ascii="宋体" w:hAnsi="宋体" w:eastAsia="宋体" w:cs="宋体"/>
                <w:color w:val="auto"/>
                <w:spacing w:val="0"/>
                <w:kern w:val="21"/>
                <w:sz w:val="22"/>
                <w:szCs w:val="22"/>
                <w:highlight w:val="none"/>
                <w:u w:val="none"/>
              </w:rPr>
              <w:t>建设8个紧密型县域医共体，实施县级医院、乡镇卫生院维修改造，加快推进医学影像、心电诊断、医学检验、消毒供应资源共享中心及中心药房建设等。</w:t>
            </w:r>
          </w:p>
          <w:p w14:paraId="4642303F">
            <w:pPr>
              <w:keepNext w:val="0"/>
              <w:keepLines w:val="0"/>
              <w:pageBreakBefore w:val="0"/>
              <w:widowControl w:val="0"/>
              <w:kinsoku/>
              <w:wordWrap/>
              <w:overflowPunct w:val="0"/>
              <w:topLinePunct w:val="0"/>
              <w:autoSpaceDE/>
              <w:autoSpaceDN/>
              <w:bidi w:val="0"/>
              <w:adjustRightInd/>
              <w:snapToGrid/>
              <w:spacing w:afterAutospacing="0" w:line="310" w:lineRule="exact"/>
              <w:ind w:left="0" w:firstLine="562"/>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lang w:val="en-US" w:eastAsia="zh-CN"/>
              </w:rPr>
              <w:t>重点学科专科建设项目。</w:t>
            </w:r>
            <w:r>
              <w:rPr>
                <w:rFonts w:hint="eastAsia" w:ascii="宋体" w:hAnsi="宋体" w:eastAsia="宋体" w:cs="宋体"/>
                <w:color w:val="auto"/>
                <w:spacing w:val="0"/>
                <w:kern w:val="21"/>
                <w:sz w:val="22"/>
                <w:szCs w:val="22"/>
                <w:highlight w:val="none"/>
                <w:u w:val="none"/>
              </w:rPr>
              <w:t>建设5个国家级临床重点专科，10个省级临床重点专科</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20个市级临床重点专科。</w:t>
            </w:r>
          </w:p>
          <w:p w14:paraId="68E9B3C5">
            <w:pPr>
              <w:keepNext w:val="0"/>
              <w:keepLines w:val="0"/>
              <w:pageBreakBefore w:val="0"/>
              <w:widowControl w:val="0"/>
              <w:kinsoku/>
              <w:wordWrap/>
              <w:overflowPunct w:val="0"/>
              <w:topLinePunct w:val="0"/>
              <w:autoSpaceDE/>
              <w:autoSpaceDN/>
              <w:bidi w:val="0"/>
              <w:adjustRightInd/>
              <w:snapToGrid/>
              <w:spacing w:afterAutospacing="0" w:line="310" w:lineRule="exact"/>
              <w:ind w:left="0" w:firstLine="562"/>
              <w:textAlignment w:val="auto"/>
              <w:rPr>
                <w:rFonts w:hint="eastAsia" w:ascii="宋体" w:hAnsi="宋体" w:eastAsia="宋体" w:cs="宋体"/>
                <w:color w:val="auto"/>
                <w:spacing w:val="0"/>
                <w:kern w:val="21"/>
                <w:sz w:val="22"/>
                <w:szCs w:val="22"/>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延安市公立医院改革与高质量发展信息化项目。</w:t>
            </w:r>
            <w:r>
              <w:rPr>
                <w:rFonts w:hint="eastAsia" w:ascii="宋体" w:hAnsi="宋体" w:eastAsia="宋体" w:cs="宋体"/>
                <w:color w:val="auto"/>
                <w:spacing w:val="0"/>
                <w:kern w:val="21"/>
                <w:sz w:val="22"/>
                <w:szCs w:val="22"/>
                <w:highlight w:val="none"/>
                <w:u w:val="none"/>
              </w:rPr>
              <w:t>建设全民健康信息平台，采集、汇聚、治理延安市域内各类医疗卫生健康数据；建设信息互通共享系统、智慧医院及配套相应的云网资源。</w:t>
            </w:r>
          </w:p>
          <w:p w14:paraId="1885CE8D">
            <w:pPr>
              <w:keepNext w:val="0"/>
              <w:keepLines w:val="0"/>
              <w:pageBreakBefore w:val="0"/>
              <w:widowControl w:val="0"/>
              <w:kinsoku/>
              <w:wordWrap/>
              <w:overflowPunct w:val="0"/>
              <w:topLinePunct w:val="0"/>
              <w:autoSpaceDE/>
              <w:autoSpaceDN/>
              <w:bidi w:val="0"/>
              <w:adjustRightInd/>
              <w:snapToGrid/>
              <w:spacing w:afterAutospacing="0" w:line="310" w:lineRule="exact"/>
              <w:ind w:left="0" w:firstLine="562"/>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全民健身运动项目。</w:t>
            </w:r>
            <w:r>
              <w:rPr>
                <w:rFonts w:hint="eastAsia" w:ascii="宋体" w:hAnsi="宋体" w:eastAsia="宋体" w:cs="宋体"/>
                <w:color w:val="auto"/>
                <w:spacing w:val="0"/>
                <w:kern w:val="21"/>
                <w:sz w:val="22"/>
                <w:szCs w:val="22"/>
                <w:highlight w:val="none"/>
                <w:u w:val="none"/>
              </w:rPr>
              <w:t>实施延安市青少年足球训练中心、西部体教融合足球青训体系建设试点</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lang w:val="en-US" w:eastAsia="zh-CN"/>
              </w:rPr>
              <w:t>志丹</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延安市百米大道全民健身中心、延安市射击射箭训练馆</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延安新区体育公园建设</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延安高新区户外运动基地、子长市新区公共体育场、子长市全民健身中心</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黄陵县全民健身中心、</w:t>
            </w:r>
            <w:r>
              <w:rPr>
                <w:rFonts w:hint="eastAsia" w:ascii="宋体" w:hAnsi="宋体" w:eastAsia="宋体" w:cs="宋体"/>
                <w:color w:val="auto"/>
                <w:spacing w:val="0"/>
                <w:kern w:val="21"/>
                <w:sz w:val="22"/>
                <w:szCs w:val="22"/>
                <w:highlight w:val="none"/>
                <w:u w:val="none"/>
                <w:lang w:val="en-US" w:eastAsia="zh-CN"/>
              </w:rPr>
              <w:t>延川县</w:t>
            </w:r>
            <w:r>
              <w:rPr>
                <w:rFonts w:hint="eastAsia" w:ascii="宋体" w:hAnsi="宋体" w:eastAsia="宋体" w:cs="宋体"/>
                <w:color w:val="auto"/>
                <w:spacing w:val="0"/>
                <w:kern w:val="21"/>
                <w:sz w:val="22"/>
                <w:szCs w:val="22"/>
                <w:highlight w:val="none"/>
                <w:u w:val="none"/>
              </w:rPr>
              <w:t>全民健身中心</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黄龙山高质量户外运动目的地等项目。</w:t>
            </w:r>
          </w:p>
        </w:tc>
      </w:tr>
    </w:tbl>
    <w:p w14:paraId="263034BF">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color w:val="auto"/>
          <w:spacing w:val="0"/>
          <w:kern w:val="21"/>
          <w:sz w:val="32"/>
          <w:szCs w:val="32"/>
        </w:rPr>
      </w:pPr>
      <w:bookmarkStart w:id="132" w:name="_Toc17626"/>
      <w:bookmarkStart w:id="133" w:name="_Toc2754"/>
      <w:bookmarkStart w:id="134" w:name="_Toc20153"/>
    </w:p>
    <w:p w14:paraId="7C06721D">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color w:val="auto"/>
          <w:spacing w:val="0"/>
          <w:kern w:val="21"/>
          <w:sz w:val="32"/>
          <w:szCs w:val="32"/>
        </w:rPr>
      </w:pPr>
      <w:r>
        <w:rPr>
          <w:color w:val="auto"/>
          <w:spacing w:val="0"/>
          <w:kern w:val="21"/>
          <w:sz w:val="32"/>
          <w:szCs w:val="32"/>
        </w:rPr>
        <w:t>第</w:t>
      </w:r>
      <w:r>
        <w:rPr>
          <w:rFonts w:hint="eastAsia"/>
          <w:color w:val="auto"/>
          <w:spacing w:val="0"/>
          <w:kern w:val="21"/>
          <w:sz w:val="32"/>
          <w:szCs w:val="32"/>
        </w:rPr>
        <w:t>三十</w:t>
      </w:r>
      <w:r>
        <w:rPr>
          <w:rFonts w:hint="eastAsia"/>
          <w:color w:val="auto"/>
          <w:spacing w:val="0"/>
          <w:kern w:val="21"/>
          <w:sz w:val="32"/>
          <w:szCs w:val="32"/>
          <w:lang w:val="en-US" w:eastAsia="zh-CN"/>
        </w:rPr>
        <w:t>六</w:t>
      </w:r>
      <w:r>
        <w:rPr>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推动</w:t>
      </w:r>
      <w:r>
        <w:rPr>
          <w:color w:val="auto"/>
          <w:spacing w:val="0"/>
          <w:kern w:val="21"/>
          <w:sz w:val="32"/>
          <w:szCs w:val="32"/>
        </w:rPr>
        <w:t>人口高质量发展</w:t>
      </w:r>
      <w:bookmarkEnd w:id="132"/>
      <w:bookmarkEnd w:id="133"/>
      <w:bookmarkEnd w:id="134"/>
    </w:p>
    <w:p w14:paraId="3573CBF6">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楷体_GB2312" w:hAnsi="楷体_GB2312" w:eastAsia="楷体_GB2312" w:cs="楷体_GB2312"/>
          <w:b w:val="0"/>
          <w:bCs w:val="0"/>
          <w:color w:val="auto"/>
          <w:spacing w:val="0"/>
          <w:kern w:val="21"/>
          <w:sz w:val="32"/>
          <w:szCs w:val="32"/>
          <w:lang w:val="en-US" w:eastAsia="zh-CN"/>
        </w:rPr>
      </w:pPr>
    </w:p>
    <w:p w14:paraId="6D9CDA58">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Times New Roman" w:hAnsi="Times New Roman" w:eastAsia="仿宋_GB2312" w:cs="Times New Roman"/>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lang w:val="en-US" w:eastAsia="zh-CN"/>
        </w:rPr>
        <w:t>建设生育友好型社会。</w:t>
      </w:r>
      <w:r>
        <w:rPr>
          <w:rFonts w:hint="eastAsia" w:ascii="仿宋_GB2312" w:hAnsi="仿宋_GB2312" w:eastAsia="仿宋_GB2312" w:cs="仿宋_GB2312"/>
          <w:b w:val="0"/>
          <w:bCs/>
          <w:color w:val="auto"/>
          <w:spacing w:val="0"/>
          <w:kern w:val="21"/>
          <w:sz w:val="32"/>
          <w:szCs w:val="32"/>
        </w:rPr>
        <w:t>建立全人群、全生命周期人口服务体系。</w:t>
      </w:r>
      <w:r>
        <w:rPr>
          <w:rFonts w:hint="eastAsia" w:ascii="Times New Roman" w:hAnsi="Times New Roman" w:cs="Times New Roman"/>
          <w:color w:val="auto"/>
          <w:spacing w:val="0"/>
          <w:kern w:val="21"/>
          <w:sz w:val="32"/>
          <w:szCs w:val="32"/>
        </w:rPr>
        <w:t>倡导积极婚育观，优化生育支持政策体系</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有效降低家庭生育养育教育成本。加强婚姻登记机关场地规范化建设，提升婚姻服务水平。落实生育保险、育儿补贴、个人所得税抵扣等政策，推行产假、生育奖励假、陪产假、育儿假等制度，实施早孕关爱行动、孕育和出生缺陷防治计划</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增加托育服务有效供给，发展社区嵌入式托育、家庭托育点，加强普惠育幼服务体系建设。</w:t>
      </w:r>
      <w:r>
        <w:rPr>
          <w:rFonts w:hint="eastAsia" w:ascii="Times New Roman" w:hAnsi="Times New Roman" w:cs="Times New Roman"/>
          <w:color w:val="auto"/>
          <w:spacing w:val="0"/>
          <w:kern w:val="21"/>
          <w:sz w:val="32"/>
          <w:szCs w:val="32"/>
          <w:lang w:val="en-US" w:eastAsia="zh-CN"/>
        </w:rPr>
        <w:t>加快适儿化设施建设改造。</w:t>
      </w:r>
      <w:r>
        <w:rPr>
          <w:rFonts w:hint="eastAsia" w:ascii="Times New Roman" w:hAnsi="Times New Roman" w:cs="Times New Roman"/>
          <w:color w:val="auto"/>
          <w:spacing w:val="0"/>
          <w:kern w:val="21"/>
          <w:sz w:val="32"/>
          <w:szCs w:val="32"/>
        </w:rPr>
        <w:t>坚持男女平等基本国策，保障妇女儿童合法权益。到</w:t>
      </w:r>
      <w:r>
        <w:rPr>
          <w:rFonts w:hint="eastAsia" w:ascii="Times New Roman" w:hAnsi="Times New Roman" w:cs="Times New Roman"/>
          <w:color w:val="auto"/>
          <w:spacing w:val="0"/>
          <w:kern w:val="21"/>
          <w:sz w:val="32"/>
          <w:szCs w:val="32"/>
          <w:lang w:eastAsia="zh-CN"/>
        </w:rPr>
        <w:t>2</w:t>
      </w:r>
      <w:r>
        <w:rPr>
          <w:rFonts w:hint="eastAsia" w:ascii="Times New Roman" w:hAnsi="Times New Roman" w:cs="Times New Roman"/>
          <w:color w:val="auto"/>
          <w:spacing w:val="0"/>
          <w:kern w:val="21"/>
          <w:sz w:val="32"/>
          <w:szCs w:val="32"/>
          <w:lang w:val="en-US" w:eastAsia="zh-CN"/>
        </w:rPr>
        <w:t>030年</w:t>
      </w:r>
      <w:r>
        <w:rPr>
          <w:rFonts w:hint="eastAsia" w:ascii="Times New Roman" w:hAnsi="Times New Roman" w:cs="Times New Roman"/>
          <w:color w:val="auto"/>
          <w:spacing w:val="0"/>
          <w:kern w:val="21"/>
          <w:sz w:val="32"/>
          <w:szCs w:val="32"/>
        </w:rPr>
        <w:t>，每千名儿童拥有儿科执业（助理）医生达到0.87名、床位增至2.5张。</w:t>
      </w:r>
    </w:p>
    <w:p w14:paraId="2D27810B">
      <w:pPr>
        <w:keepNext w:val="0"/>
        <w:keepLines w:val="0"/>
        <w:pageBreakBefore w:val="0"/>
        <w:widowControl w:val="0"/>
        <w:kinsoku/>
        <w:wordWrap/>
        <w:overflowPunct w:val="0"/>
        <w:topLinePunct w:val="0"/>
        <w:autoSpaceDE/>
        <w:autoSpaceDN/>
        <w:bidi w:val="0"/>
        <w:adjustRightInd/>
        <w:snapToGrid/>
        <w:spacing w:afterAutospacing="0" w:line="566" w:lineRule="exact"/>
        <w:ind w:left="0"/>
        <w:textAlignment w:val="auto"/>
        <w:rPr>
          <w:rFonts w:hint="eastAsia" w:ascii="Times New Roman" w:hAnsi="Times New Roman" w:cs="Times New Roman"/>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积极应对人口老龄化。</w:t>
      </w:r>
      <w:r>
        <w:rPr>
          <w:rFonts w:hint="eastAsia" w:ascii="仿宋_GB2312" w:hAnsi="仿宋_GB2312" w:eastAsia="仿宋_GB2312" w:cs="仿宋_GB2312"/>
          <w:b w:val="0"/>
          <w:bCs w:val="0"/>
          <w:color w:val="auto"/>
          <w:spacing w:val="0"/>
          <w:kern w:val="21"/>
          <w:sz w:val="32"/>
          <w:szCs w:val="32"/>
          <w:lang w:val="en-US" w:eastAsia="zh-CN"/>
        </w:rPr>
        <w:t>深入开展老龄化国情教育，深化拓展“圣地银龄行动”，持续推进老年友好型社会建设。</w:t>
      </w:r>
      <w:r>
        <w:rPr>
          <w:rFonts w:hint="eastAsia" w:ascii="Times New Roman" w:hAnsi="Times New Roman" w:cs="Times New Roman"/>
          <w:color w:val="auto"/>
          <w:spacing w:val="0"/>
          <w:kern w:val="21"/>
          <w:sz w:val="32"/>
          <w:szCs w:val="32"/>
          <w:lang w:val="en-US" w:eastAsia="zh-CN"/>
        </w:rPr>
        <w:t>推动建设市、县、镇（街）、村（社区）四级养老服务网络，</w:t>
      </w:r>
      <w:r>
        <w:rPr>
          <w:rFonts w:hint="eastAsia" w:ascii="Times New Roman" w:hAnsi="Times New Roman" w:cs="Times New Roman"/>
          <w:color w:val="auto"/>
          <w:spacing w:val="0"/>
          <w:kern w:val="21"/>
          <w:sz w:val="32"/>
          <w:szCs w:val="32"/>
        </w:rPr>
        <w:t>加快构建居家为基础、社区为依托、机构为专业支撑</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医养相结合的养老服务</w:t>
      </w:r>
      <w:r>
        <w:rPr>
          <w:rFonts w:hint="eastAsia" w:ascii="Times New Roman" w:hAnsi="Times New Roman" w:cs="Times New Roman"/>
          <w:color w:val="auto"/>
          <w:spacing w:val="0"/>
          <w:kern w:val="21"/>
          <w:sz w:val="32"/>
          <w:szCs w:val="32"/>
          <w:lang w:val="en-US" w:eastAsia="zh-CN"/>
        </w:rPr>
        <w:t>供给</w:t>
      </w:r>
      <w:r>
        <w:rPr>
          <w:rFonts w:hint="eastAsia" w:ascii="Times New Roman" w:hAnsi="Times New Roman" w:cs="Times New Roman"/>
          <w:color w:val="auto"/>
          <w:spacing w:val="0"/>
          <w:kern w:val="21"/>
          <w:sz w:val="32"/>
          <w:szCs w:val="32"/>
        </w:rPr>
        <w:t>格局。做好公办养老机构兜底保障服务能力，</w:t>
      </w:r>
      <w:r>
        <w:rPr>
          <w:rFonts w:hint="eastAsia" w:ascii="Times New Roman" w:hAnsi="Times New Roman" w:cs="Times New Roman"/>
          <w:color w:val="auto"/>
          <w:spacing w:val="0"/>
          <w:kern w:val="21"/>
          <w:sz w:val="32"/>
          <w:szCs w:val="32"/>
          <w:lang w:val="en-US" w:eastAsia="zh-CN"/>
        </w:rPr>
        <w:t>健全失能失智老年人照护体系。深化医养融合发展，推行“五床联动”和“两院共建”，推进医疗和养老资源共享、人才互通。加快补齐农村养老服务短板，引导优质养老资源向镇村延伸下沉，支持发展农村互助养老，发扬邻里互帮、守望相助传统美德。大力发展银发经济，积极培育养老服务经营主体，促进养老与健康、文旅等产业融合发展，打造旅居康养目的地。到2030年，养老机构护理型床位占比达到70%以上。</w:t>
      </w:r>
    </w:p>
    <w:p w14:paraId="7BC112EC">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color w:val="auto"/>
          <w:spacing w:val="0"/>
          <w:kern w:val="21"/>
          <w:sz w:val="32"/>
          <w:szCs w:val="32"/>
        </w:rPr>
      </w:pPr>
      <w:bookmarkStart w:id="135" w:name="_Toc18223"/>
      <w:bookmarkStart w:id="136" w:name="_Toc28104"/>
      <w:bookmarkStart w:id="137" w:name="_Toc10258"/>
    </w:p>
    <w:p w14:paraId="3DF4FBB2">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color w:val="auto"/>
          <w:spacing w:val="0"/>
          <w:kern w:val="21"/>
          <w:sz w:val="32"/>
          <w:szCs w:val="32"/>
        </w:rPr>
        <w:t>第三十</w:t>
      </w:r>
      <w:r>
        <w:rPr>
          <w:rFonts w:hint="eastAsia"/>
          <w:color w:val="auto"/>
          <w:spacing w:val="0"/>
          <w:kern w:val="21"/>
          <w:sz w:val="32"/>
          <w:szCs w:val="32"/>
          <w:lang w:val="en-US" w:eastAsia="zh-CN"/>
        </w:rPr>
        <w:t>七</w:t>
      </w:r>
      <w:r>
        <w:rPr>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完善社会保障</w:t>
      </w:r>
      <w:r>
        <w:rPr>
          <w:rFonts w:hint="eastAsia"/>
          <w:color w:val="auto"/>
          <w:spacing w:val="0"/>
          <w:kern w:val="21"/>
          <w:sz w:val="32"/>
          <w:szCs w:val="32"/>
          <w:lang w:val="en-US" w:eastAsia="zh-CN"/>
        </w:rPr>
        <w:t>和公共服务</w:t>
      </w:r>
      <w:r>
        <w:rPr>
          <w:rFonts w:hint="eastAsia"/>
          <w:color w:val="auto"/>
          <w:spacing w:val="0"/>
          <w:kern w:val="21"/>
          <w:sz w:val="32"/>
          <w:szCs w:val="32"/>
        </w:rPr>
        <w:t>体系</w:t>
      </w:r>
      <w:bookmarkEnd w:id="135"/>
      <w:bookmarkEnd w:id="136"/>
      <w:bookmarkEnd w:id="137"/>
    </w:p>
    <w:p w14:paraId="0FA81D39">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楷体_GB2312" w:hAnsi="楷体_GB2312" w:eastAsia="楷体_GB2312" w:cs="楷体_GB2312"/>
          <w:b w:val="0"/>
          <w:bCs w:val="0"/>
          <w:color w:val="auto"/>
          <w:spacing w:val="0"/>
          <w:kern w:val="21"/>
          <w:sz w:val="32"/>
          <w:szCs w:val="32"/>
          <w:lang w:val="en-US" w:eastAsia="zh-CN"/>
        </w:rPr>
      </w:pPr>
    </w:p>
    <w:p w14:paraId="37BBDC28">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Times New Roman" w:hAnsi="Times New Roman"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lang w:val="en-US" w:eastAsia="zh-CN"/>
        </w:rPr>
        <w:t>完善多层次</w:t>
      </w:r>
      <w:r>
        <w:rPr>
          <w:rFonts w:hint="eastAsia" w:ascii="楷体_GB2312" w:hAnsi="楷体_GB2312" w:eastAsia="楷体_GB2312" w:cs="楷体_GB2312"/>
          <w:b w:val="0"/>
          <w:bCs w:val="0"/>
          <w:color w:val="auto"/>
          <w:spacing w:val="0"/>
          <w:kern w:val="21"/>
          <w:sz w:val="32"/>
          <w:szCs w:val="32"/>
        </w:rPr>
        <w:t>社会</w:t>
      </w:r>
      <w:r>
        <w:rPr>
          <w:rFonts w:hint="eastAsia" w:ascii="楷体_GB2312" w:hAnsi="楷体_GB2312" w:eastAsia="楷体_GB2312" w:cs="楷体_GB2312"/>
          <w:b w:val="0"/>
          <w:bCs w:val="0"/>
          <w:color w:val="auto"/>
          <w:spacing w:val="0"/>
          <w:kern w:val="21"/>
          <w:sz w:val="32"/>
          <w:szCs w:val="32"/>
          <w:lang w:val="en-US" w:eastAsia="zh-CN"/>
        </w:rPr>
        <w:t>保障</w:t>
      </w:r>
      <w:r>
        <w:rPr>
          <w:rFonts w:hint="eastAsia" w:ascii="楷体_GB2312" w:hAnsi="楷体_GB2312" w:eastAsia="楷体_GB2312" w:cs="楷体_GB2312"/>
          <w:b w:val="0"/>
          <w:bCs w:val="0"/>
          <w:color w:val="auto"/>
          <w:spacing w:val="0"/>
          <w:kern w:val="21"/>
          <w:sz w:val="32"/>
          <w:szCs w:val="32"/>
        </w:rPr>
        <w:t>体系。</w:t>
      </w:r>
      <w:r>
        <w:rPr>
          <w:rFonts w:hint="eastAsia" w:ascii="仿宋_GB2312" w:hAnsi="仿宋_GB2312" w:eastAsia="仿宋_GB2312" w:cs="仿宋_GB2312"/>
          <w:b w:val="0"/>
          <w:bCs/>
          <w:color w:val="auto"/>
          <w:spacing w:val="0"/>
          <w:kern w:val="21"/>
          <w:sz w:val="32"/>
          <w:szCs w:val="32"/>
        </w:rPr>
        <w:t>深入实施全民参保计划，逐步提高城乡居民基础养老金，扩大失业、工伤保险覆盖面，严格落实被征地农民社会保障。</w:t>
      </w:r>
      <w:r>
        <w:rPr>
          <w:rFonts w:hint="eastAsia" w:ascii="Times New Roman" w:hAnsi="Times New Roman" w:cs="Times New Roman"/>
          <w:color w:val="auto"/>
          <w:spacing w:val="0"/>
          <w:kern w:val="21"/>
          <w:sz w:val="32"/>
          <w:szCs w:val="32"/>
        </w:rPr>
        <w:t>打造“红色社保”服务品牌，开展“社保服务进万家”等活动</w:t>
      </w:r>
      <w:r>
        <w:rPr>
          <w:rFonts w:hint="eastAsia" w:ascii="仿宋_GB2312" w:hAnsi="仿宋_GB2312" w:eastAsia="仿宋_GB2312" w:cs="仿宋_GB2312"/>
          <w:color w:val="auto"/>
          <w:spacing w:val="0"/>
          <w:kern w:val="21"/>
          <w:sz w:val="32"/>
          <w:szCs w:val="32"/>
          <w:u w:val="none" w:color="auto"/>
          <w:lang w:val="en-US" w:eastAsia="zh-CN"/>
        </w:rPr>
        <w:t>。</w:t>
      </w:r>
      <w:r>
        <w:rPr>
          <w:rFonts w:hint="eastAsia" w:ascii="Times New Roman" w:hAnsi="Times New Roman" w:cs="Times New Roman"/>
          <w:color w:val="auto"/>
          <w:spacing w:val="0"/>
          <w:kern w:val="21"/>
          <w:sz w:val="32"/>
          <w:szCs w:val="32"/>
        </w:rPr>
        <w:t>加强社会保险基金监管，健全基金支出审批和风险防控机制，完善基金管理“事前预警、事中管控、事后追责”的闭环管理模式。落实社保关系转移接续政策，提高灵活就业人员、农民工、新就业形态人员参保率。发挥各类商业保险补充保障作用。</w:t>
      </w:r>
    </w:p>
    <w:p w14:paraId="5953B90C">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Times New Roman" w:hAnsi="Times New Roman" w:eastAsia="仿宋_GB2312" w:cs="Times New Roman"/>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保障重点人群发展权益</w:t>
      </w:r>
      <w:r>
        <w:rPr>
          <w:rFonts w:hint="eastAsia" w:ascii="楷体_GB2312" w:hAnsi="楷体_GB2312" w:eastAsia="楷体_GB2312" w:cs="楷体_GB2312"/>
          <w:b w:val="0"/>
          <w:bCs w:val="0"/>
          <w:color w:val="auto"/>
          <w:spacing w:val="0"/>
          <w:kern w:val="21"/>
          <w:sz w:val="32"/>
          <w:szCs w:val="32"/>
        </w:rPr>
        <w:t>。</w:t>
      </w:r>
      <w:r>
        <w:rPr>
          <w:rFonts w:hint="eastAsia" w:ascii="Times New Roman" w:hAnsi="Times New Roman" w:cs="Times New Roman"/>
          <w:color w:val="auto"/>
          <w:spacing w:val="0"/>
          <w:kern w:val="21"/>
          <w:sz w:val="32"/>
          <w:szCs w:val="32"/>
        </w:rPr>
        <w:t>健全分层分类社会救助体系，</w:t>
      </w:r>
      <w:r>
        <w:rPr>
          <w:rFonts w:hint="eastAsia" w:ascii="仿宋_GB2312" w:hAnsi="仿宋_GB2312" w:eastAsia="仿宋_GB2312" w:cs="仿宋_GB2312"/>
          <w:b w:val="0"/>
          <w:bCs/>
          <w:color w:val="auto"/>
          <w:spacing w:val="0"/>
          <w:kern w:val="21"/>
          <w:sz w:val="32"/>
          <w:szCs w:val="32"/>
        </w:rPr>
        <w:t>深化“融救助”改革，</w:t>
      </w:r>
      <w:r>
        <w:rPr>
          <w:rFonts w:hint="eastAsia" w:ascii="Times New Roman" w:hAnsi="Times New Roman" w:cs="Times New Roman"/>
          <w:color w:val="auto"/>
          <w:spacing w:val="0"/>
          <w:kern w:val="21"/>
          <w:sz w:val="32"/>
          <w:szCs w:val="32"/>
        </w:rPr>
        <w:t>加强政府救助与慈善帮扶有效衔接，推进服务类社会救助工作</w:t>
      </w:r>
      <w:r>
        <w:rPr>
          <w:rFonts w:hint="eastAsia" w:ascii="Times New Roman" w:hAnsi="Times New Roman" w:cs="Times New Roman"/>
          <w:color w:val="auto"/>
          <w:spacing w:val="0"/>
          <w:kern w:val="21"/>
          <w:sz w:val="32"/>
          <w:szCs w:val="32"/>
          <w:lang w:eastAsia="zh-CN"/>
        </w:rPr>
        <w:t>，</w:t>
      </w:r>
      <w:r>
        <w:rPr>
          <w:rFonts w:hint="eastAsia" w:ascii="仿宋_GB2312" w:hAnsi="仿宋_GB2312" w:cs="仿宋_GB2312"/>
          <w:b w:val="0"/>
          <w:bCs/>
          <w:color w:val="auto"/>
          <w:spacing w:val="0"/>
          <w:kern w:val="21"/>
          <w:sz w:val="32"/>
          <w:szCs w:val="32"/>
          <w:lang w:val="en-US" w:eastAsia="zh-CN"/>
        </w:rPr>
        <w:t>提升</w:t>
      </w:r>
      <w:r>
        <w:rPr>
          <w:rFonts w:hint="eastAsia" w:ascii="仿宋_GB2312" w:hAnsi="仿宋_GB2312" w:eastAsia="仿宋_GB2312" w:cs="仿宋_GB2312"/>
          <w:b w:val="0"/>
          <w:bCs/>
          <w:color w:val="auto"/>
          <w:spacing w:val="0"/>
          <w:kern w:val="21"/>
          <w:sz w:val="32"/>
          <w:szCs w:val="32"/>
        </w:rPr>
        <w:t>融合救助效能</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加强未成年人</w:t>
      </w:r>
      <w:r>
        <w:rPr>
          <w:rFonts w:hint="eastAsia" w:ascii="Times New Roman" w:hAnsi="Times New Roman" w:cs="Times New Roman"/>
          <w:color w:val="auto"/>
          <w:spacing w:val="0"/>
          <w:kern w:val="21"/>
          <w:sz w:val="32"/>
          <w:szCs w:val="32"/>
          <w:lang w:val="en-US" w:eastAsia="zh-CN"/>
        </w:rPr>
        <w:t>关爱</w:t>
      </w:r>
      <w:r>
        <w:rPr>
          <w:rFonts w:hint="eastAsia" w:ascii="Times New Roman" w:hAnsi="Times New Roman" w:cs="Times New Roman"/>
          <w:color w:val="auto"/>
          <w:spacing w:val="0"/>
          <w:kern w:val="21"/>
          <w:sz w:val="32"/>
          <w:szCs w:val="32"/>
        </w:rPr>
        <w:t>保护，实现县级未成</w:t>
      </w:r>
      <w:r>
        <w:rPr>
          <w:rFonts w:hint="eastAsia" w:ascii="Times New Roman" w:hAnsi="Times New Roman" w:cs="Times New Roman"/>
          <w:color w:val="auto"/>
          <w:spacing w:val="0"/>
          <w:kern w:val="21"/>
          <w:sz w:val="32"/>
          <w:szCs w:val="32"/>
          <w:lang w:eastAsia="zh-CN"/>
        </w:rPr>
        <w:t>年人</w:t>
      </w:r>
      <w:r>
        <w:rPr>
          <w:rFonts w:hint="eastAsia" w:ascii="Times New Roman" w:hAnsi="Times New Roman" w:cs="Times New Roman"/>
          <w:color w:val="auto"/>
          <w:spacing w:val="0"/>
          <w:kern w:val="21"/>
          <w:sz w:val="32"/>
          <w:szCs w:val="32"/>
          <w:lang w:val="en-US" w:eastAsia="zh-CN"/>
        </w:rPr>
        <w:t>救助</w:t>
      </w:r>
      <w:r>
        <w:rPr>
          <w:rFonts w:hint="eastAsia" w:ascii="Times New Roman" w:hAnsi="Times New Roman" w:cs="Times New Roman"/>
          <w:color w:val="auto"/>
          <w:spacing w:val="0"/>
          <w:kern w:val="21"/>
          <w:sz w:val="32"/>
          <w:szCs w:val="32"/>
        </w:rPr>
        <w:t>保护机构、乡镇未成年人</w:t>
      </w:r>
      <w:r>
        <w:rPr>
          <w:rFonts w:hint="eastAsia" w:ascii="Times New Roman" w:hAnsi="Times New Roman" w:cs="Times New Roman"/>
          <w:color w:val="auto"/>
          <w:spacing w:val="0"/>
          <w:kern w:val="21"/>
          <w:sz w:val="32"/>
          <w:szCs w:val="32"/>
          <w:lang w:val="en-US" w:eastAsia="zh-CN"/>
        </w:rPr>
        <w:t>救助</w:t>
      </w:r>
      <w:r>
        <w:rPr>
          <w:rFonts w:hint="eastAsia" w:ascii="Times New Roman" w:hAnsi="Times New Roman" w:cs="Times New Roman"/>
          <w:color w:val="auto"/>
          <w:spacing w:val="0"/>
          <w:kern w:val="21"/>
          <w:sz w:val="32"/>
          <w:szCs w:val="32"/>
        </w:rPr>
        <w:t>保护站点全覆盖</w:t>
      </w:r>
      <w:r>
        <w:rPr>
          <w:rFonts w:hint="eastAsia" w:ascii="Times New Roman" w:hAnsi="Times New Roman" w:cs="Times New Roman"/>
          <w:color w:val="auto"/>
          <w:spacing w:val="0"/>
          <w:kern w:val="21"/>
          <w:sz w:val="32"/>
          <w:szCs w:val="32"/>
          <w:lang w:eastAsia="zh-CN"/>
        </w:rPr>
        <w:t>，有效提升儿童福利保障水平</w:t>
      </w:r>
      <w:r>
        <w:rPr>
          <w:rFonts w:hint="eastAsia" w:ascii="Times New Roman" w:hAnsi="Times New Roman" w:cs="Times New Roman"/>
          <w:color w:val="auto"/>
          <w:spacing w:val="0"/>
          <w:kern w:val="21"/>
          <w:sz w:val="32"/>
          <w:szCs w:val="32"/>
        </w:rPr>
        <w:t>。积极增进残疾人福祉，推动残疾人“两项补贴”精细化管理，增强精神障碍社区康复服务能力。做好流浪流动人员救助管理，切实保障人身安全和基本生活。</w:t>
      </w:r>
      <w:r>
        <w:rPr>
          <w:rFonts w:hint="eastAsia" w:ascii="仿宋_GB2312" w:hAnsi="仿宋_GB2312" w:eastAsia="仿宋_GB2312" w:cs="仿宋_GB2312"/>
          <w:b w:val="0"/>
          <w:bCs/>
          <w:color w:val="auto"/>
          <w:spacing w:val="0"/>
          <w:kern w:val="21"/>
          <w:sz w:val="32"/>
          <w:szCs w:val="32"/>
        </w:rPr>
        <w:t>加强退役军人服务保障</w:t>
      </w:r>
      <w:r>
        <w:rPr>
          <w:rFonts w:hint="eastAsia" w:ascii="Times New Roman" w:hAnsi="Times New Roman" w:cs="Times New Roman"/>
          <w:color w:val="auto"/>
          <w:spacing w:val="0"/>
          <w:kern w:val="21"/>
          <w:sz w:val="32"/>
          <w:szCs w:val="32"/>
          <w:lang w:eastAsia="zh-CN"/>
        </w:rPr>
        <w:t>，</w:t>
      </w:r>
      <w:r>
        <w:rPr>
          <w:rFonts w:hint="eastAsia" w:ascii="Times New Roman" w:hAnsi="Times New Roman" w:cs="Times New Roman"/>
          <w:color w:val="auto"/>
          <w:spacing w:val="0"/>
          <w:kern w:val="21"/>
          <w:sz w:val="32"/>
          <w:szCs w:val="32"/>
        </w:rPr>
        <w:t>加强烈士纪念设施修缮管理保护，扎实开展双拥模范城（县）创建活动。</w:t>
      </w:r>
    </w:p>
    <w:p w14:paraId="0C163DFE">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楷体_GB2312" w:hAnsi="楷体_GB2312" w:eastAsia="楷体_GB2312" w:cs="楷体_GB2312"/>
          <w:b w:val="0"/>
          <w:bCs w:val="0"/>
          <w:color w:val="auto"/>
          <w:spacing w:val="0"/>
          <w:kern w:val="21"/>
          <w:sz w:val="32"/>
          <w:szCs w:val="32"/>
        </w:rPr>
      </w:pPr>
      <w:r>
        <w:rPr>
          <w:rFonts w:hint="eastAsia" w:ascii="楷体_GB2312" w:hAnsi="楷体_GB2312" w:eastAsia="楷体_GB2312" w:cs="楷体_GB2312"/>
          <w:b w:val="0"/>
          <w:bCs w:val="0"/>
          <w:color w:val="auto"/>
          <w:spacing w:val="0"/>
          <w:kern w:val="21"/>
          <w:sz w:val="32"/>
          <w:szCs w:val="32"/>
          <w:u w:val="none"/>
          <w:lang w:val="en-US" w:eastAsia="zh-CN"/>
        </w:rPr>
        <w:t>完善住房保障体系。</w:t>
      </w:r>
      <w:r>
        <w:rPr>
          <w:rFonts w:hint="eastAsia" w:ascii="仿宋_GB2312" w:hAnsi="仿宋_GB2312" w:eastAsia="仿宋_GB2312" w:cs="仿宋_GB2312"/>
          <w:b w:val="0"/>
          <w:bCs/>
          <w:color w:val="auto"/>
          <w:spacing w:val="0"/>
          <w:kern w:val="21"/>
          <w:sz w:val="32"/>
          <w:szCs w:val="32"/>
        </w:rPr>
        <w:t>优化和完善住房供给体系，满足城镇工薪群体和各类困难家庭基本住房需求。</w:t>
      </w:r>
      <w:r>
        <w:rPr>
          <w:rFonts w:hint="eastAsia" w:ascii="仿宋_GB2312" w:hAnsi="仿宋_GB2312" w:cs="Times New Roman"/>
          <w:color w:val="auto"/>
          <w:spacing w:val="0"/>
          <w:kern w:val="21"/>
          <w:sz w:val="32"/>
          <w:szCs w:val="32"/>
        </w:rPr>
        <w:t>探索政府购买公租房运营管理服务试点</w:t>
      </w:r>
      <w:r>
        <w:rPr>
          <w:rFonts w:hint="eastAsia" w:ascii="仿宋_GB2312" w:hAnsi="仿宋_GB2312" w:cs="Times New Roman"/>
          <w:color w:val="auto"/>
          <w:spacing w:val="0"/>
          <w:kern w:val="21"/>
          <w:sz w:val="32"/>
          <w:szCs w:val="32"/>
          <w:lang w:eastAsia="zh-CN"/>
        </w:rPr>
        <w:t>，</w:t>
      </w:r>
      <w:r>
        <w:rPr>
          <w:rFonts w:hint="eastAsia" w:ascii="仿宋_GB2312"/>
          <w:color w:val="auto"/>
          <w:spacing w:val="0"/>
          <w:kern w:val="21"/>
          <w:sz w:val="32"/>
          <w:szCs w:val="32"/>
        </w:rPr>
        <w:t>健全保障性住房全流程管理制度，</w:t>
      </w:r>
      <w:r>
        <w:rPr>
          <w:rFonts w:hint="eastAsia" w:ascii="Times New Roman" w:hAnsi="Times New Roman" w:cs="Times New Roman"/>
          <w:color w:val="auto"/>
          <w:spacing w:val="0"/>
          <w:kern w:val="21"/>
          <w:sz w:val="32"/>
          <w:szCs w:val="32"/>
        </w:rPr>
        <w:t>建立有序退出机制</w:t>
      </w:r>
      <w:r>
        <w:rPr>
          <w:rFonts w:hint="eastAsia" w:ascii="仿宋_GB2312"/>
          <w:color w:val="auto"/>
          <w:spacing w:val="0"/>
          <w:kern w:val="21"/>
          <w:sz w:val="32"/>
          <w:szCs w:val="32"/>
        </w:rPr>
        <w:t>。</w:t>
      </w:r>
      <w:r>
        <w:rPr>
          <w:rFonts w:ascii="仿宋_GB2312" w:hAnsi="仿宋_GB2312" w:cs="Times New Roman"/>
          <w:color w:val="auto"/>
          <w:spacing w:val="0"/>
          <w:kern w:val="21"/>
          <w:sz w:val="32"/>
          <w:szCs w:val="32"/>
        </w:rPr>
        <w:t>引导支持社会力量运营长期租赁住房，推动建立多主体</w:t>
      </w:r>
      <w:r>
        <w:rPr>
          <w:rFonts w:hint="eastAsia" w:ascii="仿宋_GB2312" w:hAnsi="仿宋_GB2312" w:cs="Times New Roman"/>
          <w:color w:val="auto"/>
          <w:spacing w:val="0"/>
          <w:kern w:val="21"/>
          <w:sz w:val="32"/>
          <w:szCs w:val="32"/>
          <w:lang w:val="en-US" w:eastAsia="zh-CN"/>
        </w:rPr>
        <w:t>供给</w:t>
      </w:r>
      <w:r>
        <w:rPr>
          <w:rFonts w:ascii="仿宋_GB2312" w:hAnsi="仿宋_GB2312" w:cs="Times New Roman"/>
          <w:color w:val="auto"/>
          <w:spacing w:val="0"/>
          <w:kern w:val="21"/>
          <w:sz w:val="32"/>
          <w:szCs w:val="32"/>
        </w:rPr>
        <w:t>、多渠道保障、租购并举的住房制度，构建房地产发展新模式。</w:t>
      </w:r>
      <w:r>
        <w:rPr>
          <w:rFonts w:hint="eastAsia"/>
          <w:color w:val="auto"/>
          <w:spacing w:val="0"/>
          <w:kern w:val="21"/>
          <w:sz w:val="32"/>
          <w:szCs w:val="32"/>
        </w:rPr>
        <w:t>加强对“好房子”项目建设的保障力度，建立房屋安全体检、房屋安全管理资金、房屋质量安全保险制度，构建房屋全生命周期安全管理长效机制。</w:t>
      </w:r>
    </w:p>
    <w:p w14:paraId="4AC73618">
      <w:pPr>
        <w:keepNext w:val="0"/>
        <w:keepLines w:val="0"/>
        <w:pageBreakBefore w:val="0"/>
        <w:widowControl w:val="0"/>
        <w:kinsoku/>
        <w:wordWrap/>
        <w:overflowPunct w:val="0"/>
        <w:topLinePunct w:val="0"/>
        <w:autoSpaceDE/>
        <w:autoSpaceDN/>
        <w:bidi w:val="0"/>
        <w:adjustRightInd/>
        <w:snapToGrid/>
        <w:spacing w:afterAutospacing="0" w:line="570" w:lineRule="exact"/>
        <w:ind w:left="0" w:firstLine="640"/>
        <w:textAlignment w:val="auto"/>
        <w:rPr>
          <w:rFonts w:hint="eastAsia" w:ascii="等线" w:hAnsi="等线" w:cs="Times New Roman"/>
          <w:color w:val="auto"/>
          <w:spacing w:val="0"/>
          <w:kern w:val="21"/>
          <w:sz w:val="32"/>
          <w:szCs w:val="32"/>
          <w:highlight w:val="none"/>
          <w:lang w:eastAsia="zh-CN"/>
        </w:rPr>
      </w:pPr>
      <w:r>
        <w:rPr>
          <w:rFonts w:hint="eastAsia" w:ascii="楷体_GB2312" w:hAnsi="楷体_GB2312" w:eastAsia="楷体_GB2312" w:cs="楷体_GB2312"/>
          <w:b w:val="0"/>
          <w:bCs w:val="0"/>
          <w:color w:val="auto"/>
          <w:spacing w:val="0"/>
          <w:kern w:val="21"/>
          <w:sz w:val="32"/>
          <w:szCs w:val="32"/>
        </w:rPr>
        <w:t>推进基本公共服务均等化</w:t>
      </w:r>
      <w:r>
        <w:rPr>
          <w:rFonts w:hint="eastAsia" w:ascii="楷体_GB2312" w:hAnsi="楷体_GB2312" w:eastAsia="楷体_GB2312" w:cs="楷体_GB2312"/>
          <w:b w:val="0"/>
          <w:bCs w:val="0"/>
          <w:color w:val="auto"/>
          <w:spacing w:val="0"/>
          <w:kern w:val="21"/>
          <w:sz w:val="32"/>
          <w:szCs w:val="32"/>
          <w:lang w:eastAsia="zh-CN"/>
        </w:rPr>
        <w:t>。</w:t>
      </w:r>
      <w:r>
        <w:rPr>
          <w:rFonts w:hint="eastAsia" w:ascii="等线" w:hAnsi="等线" w:cs="Times New Roman"/>
          <w:color w:val="auto"/>
          <w:spacing w:val="0"/>
          <w:kern w:val="21"/>
          <w:sz w:val="32"/>
          <w:szCs w:val="32"/>
        </w:rPr>
        <w:t>强化政府基本公共服务兜底保障职责，推动符合条件的新增基本公共服务事项优先以政府购买服务方式提供。</w:t>
      </w:r>
      <w:r>
        <w:rPr>
          <w:rFonts w:hint="eastAsia" w:ascii="仿宋_GB2312" w:hAnsi="仿宋_GB2312" w:eastAsia="仿宋_GB2312" w:cs="仿宋_GB2312"/>
          <w:b w:val="0"/>
          <w:bCs/>
          <w:color w:val="auto"/>
          <w:spacing w:val="0"/>
          <w:kern w:val="21"/>
          <w:sz w:val="32"/>
          <w:szCs w:val="32"/>
        </w:rPr>
        <w:t>以县域为基本单元，全面推进公共服务规划布局、设施建设、资源配置、人才调配城乡一体化。推动更多基本公共服务向基层下沉、向农村覆盖、向生活困难群众倾斜，健全与常住人口相匹配的公共资源配置机制。</w:t>
      </w:r>
      <w:r>
        <w:rPr>
          <w:rFonts w:hint="eastAsia" w:ascii="等线" w:hAnsi="等线" w:cs="Times New Roman"/>
          <w:color w:val="auto"/>
          <w:spacing w:val="0"/>
          <w:kern w:val="21"/>
          <w:sz w:val="32"/>
          <w:szCs w:val="32"/>
        </w:rPr>
        <w:t>推动养老托育、社区助餐、家政便民、健康服务、体育健身、文化休闲、儿童游憩等有机嵌入社区，促进公共服务项目延伸覆盖社区。</w:t>
      </w:r>
      <w:r>
        <w:rPr>
          <w:rFonts w:hint="eastAsia" w:ascii="仿宋_GB2312" w:hAnsi="仿宋_GB2312" w:eastAsia="仿宋_GB2312" w:cs="仿宋_GB2312"/>
          <w:b w:val="0"/>
          <w:bCs/>
          <w:color w:val="auto"/>
          <w:spacing w:val="0"/>
          <w:kern w:val="21"/>
          <w:sz w:val="32"/>
          <w:szCs w:val="32"/>
        </w:rPr>
        <w:t>加快城乡公益性公墓、殡葬服务设施建设，</w:t>
      </w:r>
      <w:r>
        <w:rPr>
          <w:rFonts w:hint="eastAsia" w:ascii="仿宋_GB2312" w:hAnsi="仿宋_GB2312" w:eastAsia="仿宋_GB2312" w:cs="仿宋_GB2312"/>
          <w:b w:val="0"/>
          <w:bCs w:val="0"/>
          <w:color w:val="auto"/>
          <w:spacing w:val="0"/>
          <w:kern w:val="21"/>
          <w:sz w:val="32"/>
          <w:szCs w:val="32"/>
          <w:u w:val="none"/>
          <w:lang w:val="en-US" w:eastAsia="zh-CN" w:bidi="ar-SA"/>
        </w:rPr>
        <w:t>建立健全基本殡葬服务制度，</w:t>
      </w:r>
      <w:r>
        <w:rPr>
          <w:rFonts w:hint="eastAsia" w:ascii="仿宋_GB2312" w:hAnsi="仿宋_GB2312" w:eastAsia="仿宋_GB2312" w:cs="仿宋_GB2312"/>
          <w:b w:val="0"/>
          <w:bCs/>
          <w:color w:val="auto"/>
          <w:spacing w:val="0"/>
          <w:kern w:val="21"/>
          <w:sz w:val="32"/>
          <w:szCs w:val="32"/>
        </w:rPr>
        <w:t>引导殡葬行业健康发展。全面深化事业单位改革</w:t>
      </w:r>
      <w:r>
        <w:rPr>
          <w:rFonts w:hint="eastAsia" w:ascii="仿宋_GB2312" w:hAnsi="仿宋_GB2312" w:cs="仿宋_GB2312"/>
          <w:b w:val="0"/>
          <w:bCs/>
          <w:color w:val="auto"/>
          <w:spacing w:val="0"/>
          <w:kern w:val="21"/>
          <w:sz w:val="32"/>
          <w:szCs w:val="32"/>
          <w:lang w:eastAsia="zh-CN"/>
        </w:rPr>
        <w:t>，</w:t>
      </w:r>
      <w:r>
        <w:rPr>
          <w:rFonts w:hint="eastAsia" w:ascii="等线" w:hAnsi="等线" w:cs="Times New Roman"/>
          <w:color w:val="auto"/>
          <w:spacing w:val="0"/>
          <w:kern w:val="21"/>
          <w:sz w:val="32"/>
          <w:szCs w:val="32"/>
        </w:rPr>
        <w:t>发挥好各类企事业单位、协会商会、公益</w:t>
      </w:r>
      <w:r>
        <w:rPr>
          <w:rFonts w:hint="eastAsia" w:ascii="等线" w:hAnsi="等线" w:cs="Times New Roman"/>
          <w:color w:val="auto"/>
          <w:spacing w:val="0"/>
          <w:kern w:val="21"/>
          <w:sz w:val="32"/>
          <w:szCs w:val="32"/>
          <w:highlight w:val="none"/>
        </w:rPr>
        <w:t>团体等经营主体和社会组织的作用，支持社会力量参与公共服务</w:t>
      </w:r>
      <w:r>
        <w:rPr>
          <w:rFonts w:hint="eastAsia" w:ascii="等线" w:hAnsi="等线" w:cs="Times New Roman"/>
          <w:color w:val="auto"/>
          <w:spacing w:val="0"/>
          <w:kern w:val="21"/>
          <w:sz w:val="32"/>
          <w:szCs w:val="32"/>
          <w:highlight w:val="none"/>
          <w:lang w:eastAsia="zh-CN"/>
        </w:rPr>
        <w:t>。</w:t>
      </w:r>
    </w:p>
    <w:p w14:paraId="5321385E">
      <w:pPr>
        <w:pStyle w:val="2"/>
        <w:rPr>
          <w:rFonts w:hint="eastAsia"/>
          <w:color w:val="auto"/>
          <w:lang w:eastAsia="zh-CN"/>
        </w:rPr>
      </w:pPr>
    </w:p>
    <w:p w14:paraId="5EBC86B7">
      <w:pPr>
        <w:pStyle w:val="2"/>
        <w:keepNext w:val="0"/>
        <w:keepLines w:val="0"/>
        <w:pageBreakBefore w:val="0"/>
        <w:widowControl w:val="0"/>
        <w:kinsoku/>
        <w:wordWrap/>
        <w:overflowPunct w:val="0"/>
        <w:topLinePunct w:val="0"/>
        <w:autoSpaceDE/>
        <w:autoSpaceDN/>
        <w:bidi w:val="0"/>
        <w:adjustRightInd/>
        <w:snapToGrid/>
        <w:spacing w:before="0" w:after="0" w:afterAutospacing="0" w:line="240" w:lineRule="exact"/>
        <w:ind w:left="0"/>
        <w:textAlignment w:val="auto"/>
        <w:rPr>
          <w:rFonts w:hint="eastAsia"/>
          <w:color w:val="auto"/>
          <w:spacing w:val="0"/>
          <w:kern w:val="21"/>
          <w:sz w:val="18"/>
          <w:szCs w:val="21"/>
          <w:lang w:eastAsia="zh-CN"/>
        </w:rPr>
      </w:pPr>
    </w:p>
    <w:tbl>
      <w:tblPr>
        <w:tblStyle w:val="16"/>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2"/>
      </w:tblGrid>
      <w:tr w14:paraId="0671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8622" w:type="dxa"/>
            <w:vAlign w:val="center"/>
          </w:tcPr>
          <w:p w14:paraId="228983DA">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Times New Roman"/>
                <w:b w:val="0"/>
                <w:bCs w:val="0"/>
                <w:color w:val="auto"/>
                <w:spacing w:val="0"/>
                <w:kern w:val="21"/>
                <w:sz w:val="30"/>
                <w:szCs w:val="30"/>
                <w:highlight w:val="none"/>
                <w:u w:val="none"/>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27</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eastAsia="zh-CN"/>
              </w:rPr>
              <w:t>“</w:t>
            </w:r>
            <w:r>
              <w:rPr>
                <w:rFonts w:hint="eastAsia" w:ascii="黑体" w:hAnsi="黑体" w:eastAsia="黑体" w:cs="黑体"/>
                <w:b w:val="0"/>
                <w:bCs w:val="0"/>
                <w:color w:val="auto"/>
                <w:spacing w:val="0"/>
                <w:kern w:val="21"/>
                <w:sz w:val="25"/>
                <w:szCs w:val="25"/>
                <w:highlight w:val="none"/>
                <w:u w:val="none"/>
                <w:lang w:val="en-US" w:eastAsia="zh-CN"/>
              </w:rPr>
              <w:t>一老一小</w:t>
            </w:r>
            <w:r>
              <w:rPr>
                <w:rFonts w:hint="eastAsia" w:ascii="黑体" w:hAnsi="黑体" w:eastAsia="黑体" w:cs="黑体"/>
                <w:b w:val="0"/>
                <w:bCs w:val="0"/>
                <w:color w:val="auto"/>
                <w:spacing w:val="0"/>
                <w:kern w:val="21"/>
                <w:sz w:val="25"/>
                <w:szCs w:val="25"/>
                <w:highlight w:val="none"/>
                <w:u w:val="none"/>
                <w:lang w:eastAsia="zh-CN"/>
              </w:rPr>
              <w:t>”</w:t>
            </w:r>
            <w:r>
              <w:rPr>
                <w:rFonts w:hint="eastAsia" w:ascii="黑体" w:hAnsi="黑体" w:eastAsia="黑体" w:cs="黑体"/>
                <w:b w:val="0"/>
                <w:bCs w:val="0"/>
                <w:color w:val="auto"/>
                <w:spacing w:val="0"/>
                <w:kern w:val="21"/>
                <w:sz w:val="25"/>
                <w:szCs w:val="25"/>
                <w:highlight w:val="none"/>
                <w:u w:val="none"/>
              </w:rPr>
              <w:t>重点项目</w:t>
            </w:r>
          </w:p>
        </w:tc>
      </w:tr>
      <w:tr w14:paraId="2FEF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8622" w:type="dxa"/>
            <w:vAlign w:val="center"/>
          </w:tcPr>
          <w:p w14:paraId="4EFB2CFA">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lang w:eastAsia="zh-CN"/>
              </w:rPr>
            </w:pPr>
            <w:r>
              <w:rPr>
                <w:rFonts w:hint="eastAsia" w:ascii="楷体_GB2312" w:hAnsi="楷体_GB2312" w:eastAsia="楷体_GB2312" w:cs="楷体_GB2312"/>
                <w:b w:val="0"/>
                <w:bCs w:val="0"/>
                <w:color w:val="auto"/>
                <w:spacing w:val="0"/>
                <w:kern w:val="21"/>
                <w:sz w:val="22"/>
                <w:szCs w:val="22"/>
                <w:highlight w:val="none"/>
                <w:u w:val="none"/>
              </w:rPr>
              <w:t>托育服务</w:t>
            </w:r>
            <w:r>
              <w:rPr>
                <w:rFonts w:hint="eastAsia" w:ascii="楷体_GB2312" w:hAnsi="楷体_GB2312" w:eastAsia="楷体_GB2312" w:cs="楷体_GB2312"/>
                <w:b w:val="0"/>
                <w:bCs w:val="0"/>
                <w:color w:val="auto"/>
                <w:spacing w:val="0"/>
                <w:kern w:val="21"/>
                <w:sz w:val="22"/>
                <w:szCs w:val="22"/>
                <w:highlight w:val="none"/>
                <w:u w:val="none"/>
                <w:lang w:val="en-US" w:eastAsia="zh-CN"/>
              </w:rPr>
              <w:t>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新建</w:t>
            </w:r>
            <w:r>
              <w:rPr>
                <w:rFonts w:hint="eastAsia" w:ascii="宋体" w:hAnsi="宋体" w:eastAsia="宋体" w:cs="宋体"/>
                <w:color w:val="auto"/>
                <w:spacing w:val="0"/>
                <w:kern w:val="21"/>
                <w:sz w:val="22"/>
                <w:szCs w:val="22"/>
                <w:highlight w:val="none"/>
                <w:u w:val="none"/>
                <w:lang w:val="en-US" w:eastAsia="zh-CN"/>
              </w:rPr>
              <w:t>及改扩建</w:t>
            </w:r>
            <w:r>
              <w:rPr>
                <w:rFonts w:hint="eastAsia" w:ascii="宋体" w:hAnsi="宋体" w:eastAsia="宋体" w:cs="宋体"/>
                <w:b w:val="0"/>
                <w:bCs w:val="0"/>
                <w:color w:val="auto"/>
                <w:spacing w:val="0"/>
                <w:kern w:val="21"/>
                <w:sz w:val="22"/>
                <w:szCs w:val="22"/>
                <w:highlight w:val="none"/>
                <w:u w:val="none"/>
                <w:lang w:val="en-US" w:eastAsia="zh-CN"/>
              </w:rPr>
              <w:t>子</w:t>
            </w:r>
            <w:r>
              <w:rPr>
                <w:rFonts w:hint="eastAsia" w:ascii="宋体" w:hAnsi="宋体" w:eastAsia="宋体" w:cs="宋体"/>
                <w:color w:val="auto"/>
                <w:spacing w:val="0"/>
                <w:kern w:val="21"/>
                <w:sz w:val="22"/>
                <w:szCs w:val="22"/>
                <w:highlight w:val="none"/>
                <w:u w:val="none"/>
              </w:rPr>
              <w:t>长、安塞、黄龙</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rPr>
              <w:t>托育综合服务中心。</w:t>
            </w:r>
          </w:p>
          <w:p w14:paraId="63BCD9DA">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未成年人救助保护项目。</w:t>
            </w:r>
            <w:r>
              <w:rPr>
                <w:rFonts w:hint="eastAsia" w:ascii="宋体" w:hAnsi="宋体" w:eastAsia="宋体" w:cs="宋体"/>
                <w:color w:val="auto"/>
                <w:spacing w:val="0"/>
                <w:kern w:val="21"/>
                <w:sz w:val="22"/>
                <w:szCs w:val="22"/>
                <w:highlight w:val="none"/>
                <w:u w:val="none"/>
              </w:rPr>
              <w:t>提升改造市本级和宝塔、甘泉</w:t>
            </w:r>
            <w:r>
              <w:rPr>
                <w:rFonts w:hint="eastAsia" w:ascii="宋体" w:hAnsi="宋体" w:eastAsia="宋体" w:cs="宋体"/>
                <w:color w:val="auto"/>
                <w:spacing w:val="0"/>
                <w:kern w:val="21"/>
                <w:sz w:val="22"/>
                <w:szCs w:val="22"/>
                <w:highlight w:val="none"/>
                <w:u w:val="none"/>
                <w:lang w:eastAsia="zh-CN"/>
              </w:rPr>
              <w:t>、</w:t>
            </w:r>
            <w:r>
              <w:rPr>
                <w:rFonts w:hint="eastAsia" w:ascii="宋体" w:hAnsi="宋体" w:eastAsia="宋体" w:cs="宋体"/>
                <w:color w:val="auto"/>
                <w:spacing w:val="0"/>
                <w:kern w:val="21"/>
                <w:sz w:val="22"/>
                <w:szCs w:val="22"/>
                <w:highlight w:val="none"/>
                <w:u w:val="none"/>
              </w:rPr>
              <w:t>吴起、志丹、安塞、延长、延川、宜川、洛川、黄陵</w:t>
            </w:r>
            <w:r>
              <w:rPr>
                <w:rFonts w:hint="eastAsia" w:ascii="宋体" w:hAnsi="宋体" w:eastAsia="宋体" w:cs="宋体"/>
                <w:color w:val="auto"/>
                <w:spacing w:val="0"/>
                <w:kern w:val="21"/>
                <w:sz w:val="22"/>
                <w:szCs w:val="22"/>
                <w:highlight w:val="none"/>
                <w:u w:val="none"/>
                <w:lang w:val="en-US" w:eastAsia="zh-CN"/>
              </w:rPr>
              <w:t>等</w:t>
            </w:r>
            <w:r>
              <w:rPr>
                <w:rFonts w:hint="eastAsia" w:ascii="宋体" w:hAnsi="宋体" w:eastAsia="宋体" w:cs="宋体"/>
                <w:color w:val="auto"/>
                <w:spacing w:val="0"/>
                <w:kern w:val="21"/>
                <w:sz w:val="22"/>
                <w:szCs w:val="22"/>
                <w:highlight w:val="none"/>
                <w:u w:val="none"/>
              </w:rPr>
              <w:t>县级未成年救助保护中心。</w:t>
            </w:r>
          </w:p>
          <w:p w14:paraId="71213FF1">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22"/>
                <w:szCs w:val="22"/>
                <w:highlight w:val="none"/>
                <w:u w:val="none"/>
              </w:rPr>
            </w:pPr>
            <w:r>
              <w:rPr>
                <w:rFonts w:hint="eastAsia" w:ascii="楷体_GB2312" w:hAnsi="楷体_GB2312" w:eastAsia="楷体_GB2312" w:cs="楷体_GB2312"/>
                <w:b w:val="0"/>
                <w:bCs w:val="0"/>
                <w:color w:val="auto"/>
                <w:spacing w:val="0"/>
                <w:kern w:val="21"/>
                <w:sz w:val="22"/>
                <w:szCs w:val="22"/>
                <w:highlight w:val="none"/>
                <w:u w:val="none"/>
              </w:rPr>
              <w:t>城乡养老服务</w:t>
            </w:r>
            <w:r>
              <w:rPr>
                <w:rFonts w:hint="eastAsia" w:ascii="楷体_GB2312" w:hAnsi="楷体_GB2312" w:eastAsia="楷体_GB2312" w:cs="楷体_GB2312"/>
                <w:b w:val="0"/>
                <w:bCs w:val="0"/>
                <w:color w:val="auto"/>
                <w:spacing w:val="0"/>
                <w:kern w:val="21"/>
                <w:sz w:val="22"/>
                <w:szCs w:val="22"/>
                <w:highlight w:val="none"/>
                <w:u w:val="none"/>
                <w:lang w:val="en-US" w:eastAsia="zh-CN"/>
              </w:rPr>
              <w:t>项目</w:t>
            </w:r>
            <w:r>
              <w:rPr>
                <w:rFonts w:hint="eastAsia" w:ascii="楷体_GB2312" w:hAnsi="楷体_GB2312" w:eastAsia="楷体_GB2312" w:cs="楷体_GB2312"/>
                <w:b w:val="0"/>
                <w:bCs w:val="0"/>
                <w:color w:val="auto"/>
                <w:spacing w:val="0"/>
                <w:kern w:val="21"/>
                <w:sz w:val="22"/>
                <w:szCs w:val="22"/>
                <w:highlight w:val="none"/>
                <w:u w:val="none"/>
              </w:rPr>
              <w:t>。</w:t>
            </w:r>
            <w:r>
              <w:rPr>
                <w:rFonts w:hint="eastAsia" w:ascii="宋体" w:hAnsi="宋体" w:eastAsia="宋体" w:cs="宋体"/>
                <w:color w:val="auto"/>
                <w:spacing w:val="0"/>
                <w:kern w:val="21"/>
                <w:sz w:val="22"/>
                <w:szCs w:val="22"/>
                <w:highlight w:val="none"/>
                <w:u w:val="none"/>
              </w:rPr>
              <w:t>建设市认知症障碍照护中心，提升改造13个县级公办养老机构，新建或改扩建48个镇街区域养老服务中心，力争实现城市社区嵌入式养老服务站全覆盖。</w:t>
            </w:r>
          </w:p>
          <w:p w14:paraId="17F0049F">
            <w:pPr>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color w:val="auto"/>
                <w:spacing w:val="0"/>
                <w:kern w:val="21"/>
                <w:sz w:val="30"/>
                <w:szCs w:val="30"/>
                <w:highlight w:val="none"/>
                <w:u w:val="none"/>
                <w:lang w:val="en-US" w:eastAsia="zh-CN"/>
              </w:rPr>
            </w:pPr>
            <w:r>
              <w:rPr>
                <w:rFonts w:hint="eastAsia" w:ascii="楷体_GB2312" w:hAnsi="楷体_GB2312" w:eastAsia="楷体_GB2312" w:cs="楷体_GB2312"/>
                <w:b w:val="0"/>
                <w:bCs w:val="0"/>
                <w:color w:val="auto"/>
                <w:spacing w:val="0"/>
                <w:kern w:val="21"/>
                <w:sz w:val="22"/>
                <w:szCs w:val="22"/>
                <w:highlight w:val="none"/>
                <w:u w:val="none"/>
                <w:lang w:val="en-US" w:eastAsia="zh-CN"/>
              </w:rPr>
              <w:t>殡葬服务</w:t>
            </w:r>
            <w:r>
              <w:rPr>
                <w:rFonts w:hint="eastAsia" w:ascii="楷体_GB2312" w:hAnsi="楷体_GB2312" w:eastAsia="楷体_GB2312" w:cs="楷体_GB2312"/>
                <w:b w:val="0"/>
                <w:bCs w:val="0"/>
                <w:color w:val="auto"/>
                <w:spacing w:val="0"/>
                <w:kern w:val="21"/>
                <w:sz w:val="22"/>
                <w:szCs w:val="22"/>
                <w:highlight w:val="none"/>
                <w:u w:val="none"/>
              </w:rPr>
              <w:t>项目。</w:t>
            </w:r>
            <w:r>
              <w:rPr>
                <w:rFonts w:hint="eastAsia" w:ascii="宋体" w:hAnsi="宋体" w:eastAsia="宋体" w:cs="宋体"/>
                <w:color w:val="auto"/>
                <w:spacing w:val="0"/>
                <w:kern w:val="21"/>
                <w:sz w:val="22"/>
                <w:szCs w:val="22"/>
                <w:highlight w:val="none"/>
                <w:u w:val="none"/>
              </w:rPr>
              <w:t>建设黄龙县、志丹县、延川县、安塞区、洛川县、吴起县等县区公益性公墓，完成黄陵县、吴起县、富县等殡仪馆和宜川县公益性公墓提升改造，新建志丹县、安塞区、子长市、延长县等殡仪服务中心，推进农村公益性公墓建设。</w:t>
            </w:r>
          </w:p>
        </w:tc>
      </w:tr>
    </w:tbl>
    <w:p w14:paraId="2445FF8B">
      <w:pPr>
        <w:keepNext w:val="0"/>
        <w:keepLines w:val="0"/>
        <w:pageBreakBefore w:val="0"/>
        <w:widowControl w:val="0"/>
        <w:kinsoku/>
        <w:wordWrap/>
        <w:overflowPunct w:val="0"/>
        <w:topLinePunct w:val="0"/>
        <w:autoSpaceDE/>
        <w:autoSpaceDN/>
        <w:bidi w:val="0"/>
        <w:spacing w:afterAutospacing="0" w:line="240" w:lineRule="auto"/>
        <w:ind w:left="0" w:firstLine="64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06A22F33">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0"/>
          <w:szCs w:val="30"/>
        </w:rPr>
      </w:pPr>
      <w:bookmarkStart w:id="138" w:name="_Toc10586"/>
      <w:bookmarkStart w:id="139" w:name="_Toc2278"/>
      <w:bookmarkStart w:id="140" w:name="_Toc13393"/>
    </w:p>
    <w:p w14:paraId="208CA27C">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6"/>
          <w:szCs w:val="36"/>
        </w:rPr>
      </w:pPr>
      <w:r>
        <w:rPr>
          <w:rFonts w:hint="eastAsia"/>
          <w:color w:val="auto"/>
          <w:spacing w:val="0"/>
          <w:kern w:val="21"/>
          <w:sz w:val="36"/>
          <w:szCs w:val="36"/>
        </w:rPr>
        <w:t>第九篇</w:t>
      </w:r>
      <w:r>
        <w:rPr>
          <w:rFonts w:hint="eastAsia"/>
          <w:color w:val="auto"/>
          <w:spacing w:val="0"/>
          <w:kern w:val="21"/>
          <w:sz w:val="36"/>
          <w:szCs w:val="36"/>
          <w:lang w:val="en-US" w:eastAsia="zh-CN"/>
        </w:rPr>
        <w:t xml:space="preserve">  </w:t>
      </w:r>
      <w:r>
        <w:rPr>
          <w:rFonts w:hint="eastAsia"/>
          <w:color w:val="auto"/>
          <w:spacing w:val="0"/>
          <w:kern w:val="21"/>
          <w:sz w:val="36"/>
          <w:szCs w:val="36"/>
        </w:rPr>
        <w:t>加快建设生态强市 全面推进美丽延安建设</w:t>
      </w:r>
      <w:bookmarkEnd w:id="138"/>
      <w:bookmarkEnd w:id="139"/>
      <w:bookmarkEnd w:id="140"/>
    </w:p>
    <w:p w14:paraId="31F74224">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s="仿宋_GB2312"/>
          <w:color w:val="auto"/>
          <w:spacing w:val="0"/>
          <w:kern w:val="21"/>
          <w:sz w:val="30"/>
          <w:szCs w:val="30"/>
        </w:rPr>
      </w:pPr>
    </w:p>
    <w:p w14:paraId="754DFF86">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s="仿宋_GB2312"/>
          <w:color w:val="auto"/>
          <w:spacing w:val="0"/>
          <w:kern w:val="21"/>
          <w:sz w:val="32"/>
          <w:szCs w:val="32"/>
        </w:rPr>
      </w:pPr>
      <w:r>
        <w:rPr>
          <w:rFonts w:hint="eastAsia" w:ascii="仿宋_GB2312" w:hAnsi="仿宋_GB2312" w:cs="仿宋_GB2312"/>
          <w:color w:val="auto"/>
          <w:spacing w:val="0"/>
          <w:kern w:val="21"/>
          <w:sz w:val="32"/>
          <w:szCs w:val="32"/>
        </w:rPr>
        <w:t>牢固树立和践行绿水青山就是金山银山理念，把生态保护作为高质量发展的基准线，更好统筹生态本底保护与生态价值转换，协同推进降碳、减污、扩绿、增长，推进生态优先、节约集约、绿色低碳发展。</w:t>
      </w:r>
    </w:p>
    <w:p w14:paraId="2D3BC846">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41" w:name="_Toc14801"/>
      <w:bookmarkStart w:id="142" w:name="_Toc14444"/>
      <w:bookmarkStart w:id="143" w:name="_Toc25249"/>
    </w:p>
    <w:p w14:paraId="21AAD9E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第三十</w:t>
      </w:r>
      <w:r>
        <w:rPr>
          <w:rFonts w:hint="eastAsia" w:ascii="仿宋_GB2312" w:hAnsi="仿宋_GB2312"/>
          <w:color w:val="auto"/>
          <w:spacing w:val="0"/>
          <w:kern w:val="21"/>
          <w:sz w:val="32"/>
          <w:szCs w:val="32"/>
          <w:lang w:val="en-US" w:eastAsia="zh-CN"/>
        </w:rPr>
        <w:t>八</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构筑黄河中游生态安全屏障</w:t>
      </w:r>
      <w:bookmarkEnd w:id="141"/>
      <w:bookmarkEnd w:id="142"/>
      <w:bookmarkEnd w:id="143"/>
    </w:p>
    <w:p w14:paraId="3688315D">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49002866">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守</w:t>
      </w:r>
      <w:r>
        <w:rPr>
          <w:rFonts w:hint="eastAsia" w:ascii="楷体_GB2312" w:hAnsi="楷体_GB2312" w:eastAsia="楷体_GB2312" w:cs="楷体_GB2312"/>
          <w:b w:val="0"/>
          <w:bCs w:val="0"/>
          <w:color w:val="auto"/>
          <w:spacing w:val="0"/>
          <w:kern w:val="21"/>
          <w:sz w:val="32"/>
          <w:szCs w:val="32"/>
          <w:lang w:val="en-US" w:eastAsia="zh-CN"/>
        </w:rPr>
        <w:t>牢</w:t>
      </w:r>
      <w:r>
        <w:rPr>
          <w:rFonts w:hint="eastAsia" w:ascii="楷体_GB2312" w:hAnsi="楷体_GB2312" w:eastAsia="楷体_GB2312" w:cs="楷体_GB2312"/>
          <w:b w:val="0"/>
          <w:bCs w:val="0"/>
          <w:color w:val="auto"/>
          <w:spacing w:val="0"/>
          <w:kern w:val="21"/>
          <w:sz w:val="32"/>
          <w:szCs w:val="32"/>
        </w:rPr>
        <w:t>黄河</w:t>
      </w:r>
      <w:r>
        <w:rPr>
          <w:rFonts w:hint="eastAsia" w:ascii="楷体_GB2312" w:hAnsi="楷体_GB2312" w:eastAsia="楷体_GB2312" w:cs="楷体_GB2312"/>
          <w:b w:val="0"/>
          <w:bCs w:val="0"/>
          <w:color w:val="auto"/>
          <w:spacing w:val="0"/>
          <w:kern w:val="21"/>
          <w:sz w:val="32"/>
          <w:szCs w:val="32"/>
          <w:lang w:val="en-US" w:eastAsia="zh-CN"/>
        </w:rPr>
        <w:t>流域生态保护基准线</w:t>
      </w:r>
      <w:r>
        <w:rPr>
          <w:rFonts w:hint="eastAsia" w:ascii="楷体_GB2312" w:hAnsi="楷体_GB2312" w:eastAsia="楷体_GB2312" w:cs="楷体_GB2312"/>
          <w:b w:val="0"/>
          <w:bCs w:val="0"/>
          <w:color w:val="auto"/>
          <w:spacing w:val="0"/>
          <w:kern w:val="21"/>
          <w:sz w:val="32"/>
          <w:szCs w:val="32"/>
        </w:rPr>
        <w:t>。</w:t>
      </w:r>
      <w:r>
        <w:rPr>
          <w:rFonts w:hint="eastAsia" w:ascii="仿宋_GB2312" w:hAnsi="仿宋_GB2312" w:cs="仿宋_GB2312"/>
          <w:color w:val="auto"/>
          <w:spacing w:val="0"/>
          <w:kern w:val="21"/>
          <w:sz w:val="32"/>
          <w:szCs w:val="32"/>
        </w:rPr>
        <w:t>严格执行黄河保护法和相关规划，严格落实“四水四定”，实施“水美黄河”行动，学习借鉴富平治水经验和高西沟生态治理模式，提高淤地坝建设管理水平，推进黄河干流保Ⅱ类和支流水质消劣</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围绕全国水土保持先行区建设，以小流域为单元，积极推进水土保持重点工程建设，</w:t>
      </w:r>
      <w:r>
        <w:rPr>
          <w:rFonts w:hint="eastAsia" w:ascii="仿宋_GB2312" w:hAnsi="仿宋_GB2312" w:cs="仿宋_GB2312"/>
          <w:color w:val="auto"/>
          <w:spacing w:val="0"/>
          <w:kern w:val="21"/>
          <w:sz w:val="32"/>
          <w:szCs w:val="32"/>
          <w:lang w:val="en-US" w:eastAsia="zh-CN"/>
        </w:rPr>
        <w:t>进一步实现水土流失面积、强度双下降</w:t>
      </w:r>
      <w:r>
        <w:rPr>
          <w:rFonts w:hint="eastAsia" w:ascii="仿宋_GB2312" w:hAnsi="仿宋_GB2312" w:cs="仿宋_GB2312"/>
          <w:color w:val="auto"/>
          <w:spacing w:val="0"/>
          <w:kern w:val="21"/>
          <w:sz w:val="32"/>
          <w:szCs w:val="32"/>
        </w:rPr>
        <w:t>。</w:t>
      </w:r>
      <w:r>
        <w:rPr>
          <w:rFonts w:hint="eastAsia" w:ascii="仿宋_GB2312" w:hAnsi="仿宋_GB2312" w:cs="仿宋_GB2312"/>
          <w:color w:val="auto"/>
          <w:spacing w:val="0"/>
          <w:kern w:val="21"/>
          <w:sz w:val="32"/>
          <w:szCs w:val="32"/>
          <w:lang w:val="en-US" w:eastAsia="zh-CN"/>
        </w:rPr>
        <w:t>在非常规水利用激励约束方面先行先试，</w:t>
      </w:r>
      <w:r>
        <w:rPr>
          <w:rFonts w:hint="eastAsia" w:ascii="仿宋_GB2312" w:hAnsi="仿宋_GB2312" w:cs="仿宋_GB2312"/>
          <w:color w:val="auto"/>
          <w:spacing w:val="0"/>
          <w:kern w:val="21"/>
          <w:sz w:val="32"/>
          <w:szCs w:val="32"/>
        </w:rPr>
        <w:t>开展深度节水控水行动，推动取水行为规范和节水技术创新应用，强化水资源刚性约束，优化水资源配置，加大农业节水力度，深挖工业节水潜力，形成节水型生活方式</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加快再生水重点城市建设。</w:t>
      </w:r>
    </w:p>
    <w:p w14:paraId="5F797F30">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加强生态保护修复。</w:t>
      </w:r>
      <w:r>
        <w:rPr>
          <w:rFonts w:hint="eastAsia" w:ascii="仿宋_GB2312" w:hAnsi="仿宋_GB2312" w:cs="仿宋_GB2312"/>
          <w:color w:val="auto"/>
          <w:spacing w:val="0"/>
          <w:kern w:val="21"/>
          <w:sz w:val="32"/>
          <w:szCs w:val="32"/>
        </w:rPr>
        <w:t>统筹推进山水林田湖草沙一体化保护和系统治理，持续实施“三北”工程建设等生态系统保护和修复重大工程，围绕白于山区毛乌素沙地南侵“阻击战”、黄河西岸土石山区综合治理“歼灭战”、中部人居生态环境“提升战”、南部天然林区森林可持续经营“持久战”，坚决打赢延安片区黄河“几字弯”攻坚战。坚持扩绿、兴绿、护绿并举，科学开展国土绿化。持续巩固退耕还林成果，全面加强林草资源保护，持续做好林业草原有害生物防治工作。做好第三次全国古树名木资源普查</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加强林区火险预警监测系统、通信指挥系统、林区防火道路、航空消防能力等建设，形成完善的森林草原防灭火体系。</w:t>
      </w:r>
      <w:r>
        <w:rPr>
          <w:rFonts w:ascii="仿宋_GB2312" w:hAnsi="仿宋_GB2312" w:cs="仿宋_GB2312"/>
          <w:color w:val="auto"/>
          <w:spacing w:val="0"/>
          <w:kern w:val="21"/>
          <w:sz w:val="32"/>
          <w:szCs w:val="32"/>
        </w:rPr>
        <w:t>加强生态系统保护监管</w:t>
      </w:r>
      <w:r>
        <w:rPr>
          <w:rFonts w:hint="eastAsia" w:ascii="仿宋_GB2312" w:hAnsi="仿宋_GB2312" w:cs="仿宋_GB2312"/>
          <w:color w:val="auto"/>
          <w:spacing w:val="0"/>
          <w:kern w:val="21"/>
          <w:sz w:val="32"/>
          <w:szCs w:val="32"/>
        </w:rPr>
        <w:t>，</w:t>
      </w:r>
      <w:r>
        <w:rPr>
          <w:rFonts w:ascii="仿宋_GB2312" w:hAnsi="仿宋_GB2312" w:cs="仿宋_GB2312"/>
          <w:color w:val="auto"/>
          <w:spacing w:val="0"/>
          <w:kern w:val="21"/>
          <w:sz w:val="32"/>
          <w:szCs w:val="32"/>
        </w:rPr>
        <w:t>健全生态保护红线生态破坏问题监督机制。</w:t>
      </w:r>
      <w:r>
        <w:rPr>
          <w:rFonts w:hint="eastAsia" w:ascii="仿宋_GB2312" w:hAnsi="仿宋_GB2312" w:cs="仿宋_GB2312"/>
          <w:color w:val="auto"/>
          <w:spacing w:val="0"/>
          <w:kern w:val="21"/>
          <w:sz w:val="32"/>
          <w:szCs w:val="32"/>
          <w:lang w:val="en-US" w:eastAsia="zh-CN"/>
        </w:rPr>
        <w:t>推进</w:t>
      </w:r>
      <w:r>
        <w:rPr>
          <w:rFonts w:hint="eastAsia" w:ascii="仿宋_GB2312" w:hAnsi="仿宋_GB2312" w:cs="仿宋_GB2312"/>
          <w:color w:val="auto"/>
          <w:spacing w:val="0"/>
          <w:kern w:val="21"/>
          <w:sz w:val="32"/>
          <w:szCs w:val="32"/>
        </w:rPr>
        <w:t>生态警务建设</w:t>
      </w:r>
      <w:r>
        <w:rPr>
          <w:rFonts w:hint="eastAsia" w:ascii="仿宋_GB2312" w:hAnsi="仿宋_GB2312" w:cs="仿宋_GB2312"/>
          <w:color w:val="auto"/>
          <w:spacing w:val="0"/>
          <w:kern w:val="21"/>
          <w:sz w:val="32"/>
          <w:szCs w:val="32"/>
          <w:lang w:eastAsia="zh-CN"/>
        </w:rPr>
        <w:t>，建成系统完备、科学规范、运行高效的现代化生态警务体系，全面融入全市生态环境治理体系，为生态高质量发展提供坚强警务保障。</w:t>
      </w:r>
    </w:p>
    <w:p w14:paraId="3DEF88B4">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加强生物多样性保护。</w:t>
      </w:r>
      <w:r>
        <w:rPr>
          <w:rFonts w:hint="eastAsia" w:ascii="仿宋_GB2312" w:hAnsi="仿宋_GB2312" w:cs="仿宋_GB2312"/>
          <w:color w:val="auto"/>
          <w:spacing w:val="0"/>
          <w:kern w:val="21"/>
          <w:sz w:val="32"/>
          <w:szCs w:val="32"/>
        </w:rPr>
        <w:t>加快构建统一有序的生物多样性保护空间格局，提升生态系统多样性稳定性持续性。推进黄龙山等区域生物多样性保护重大工程建设，建立完备的生物多样性保护监测体系。推进濒危野生动植物就地保护、迁地保护、种质资源保存。加强野生动植物生境保护修复和自然保护区基础设施建设。持续开展林草有害生物执法检查，严防松材线虫病和美国白蛾等重大林业有害生物传入。推进动物疫病预防、控制工作。实施珍稀濒危野生动植物保护繁育行动，深入开展全面保护鸟类和专项打击非法猎捕贩卖野生鸟类行动，严厉打击各类破坏野生动物资源违法犯罪。</w:t>
      </w:r>
    </w:p>
    <w:p w14:paraId="289F861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44" w:name="_Toc4583"/>
      <w:bookmarkStart w:id="145" w:name="_Toc29648"/>
      <w:bookmarkStart w:id="146" w:name="_Toc4137"/>
    </w:p>
    <w:p w14:paraId="463AB5C2">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w:t>
      </w:r>
      <w:r>
        <w:rPr>
          <w:rFonts w:hint="eastAsia" w:ascii="仿宋_GB2312" w:hAnsi="仿宋_GB2312"/>
          <w:color w:val="auto"/>
          <w:spacing w:val="0"/>
          <w:kern w:val="21"/>
          <w:sz w:val="32"/>
          <w:szCs w:val="32"/>
          <w:lang w:val="en-US" w:eastAsia="zh-CN"/>
        </w:rPr>
        <w:t>三十九</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持续打好污染防治攻坚战</w:t>
      </w:r>
      <w:bookmarkEnd w:id="144"/>
      <w:bookmarkEnd w:id="145"/>
      <w:bookmarkEnd w:id="146"/>
    </w:p>
    <w:p w14:paraId="0FEAA772">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楷体_GB2312" w:hAnsi="楷体_GB2312" w:eastAsia="楷体_GB2312" w:cs="楷体_GB2312"/>
          <w:b w:val="0"/>
          <w:bCs w:val="0"/>
          <w:color w:val="auto"/>
          <w:spacing w:val="0"/>
          <w:kern w:val="21"/>
          <w:sz w:val="32"/>
          <w:szCs w:val="32"/>
        </w:rPr>
      </w:pPr>
    </w:p>
    <w:p w14:paraId="60AD0105">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default" w:ascii="仿宋_GB2312" w:hAnsi="仿宋_GB2312" w:eastAsia="仿宋_GB2312" w:cs="仿宋_GB2312"/>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rPr>
        <w:t>深入</w:t>
      </w:r>
      <w:r>
        <w:rPr>
          <w:rFonts w:hint="eastAsia" w:ascii="楷体_GB2312" w:hAnsi="楷体_GB2312" w:eastAsia="楷体_GB2312" w:cs="楷体_GB2312"/>
          <w:b w:val="0"/>
          <w:bCs w:val="0"/>
          <w:color w:val="auto"/>
          <w:spacing w:val="0"/>
          <w:kern w:val="21"/>
          <w:sz w:val="32"/>
          <w:szCs w:val="32"/>
          <w:lang w:val="en-US" w:eastAsia="zh-CN"/>
        </w:rPr>
        <w:t>推进</w:t>
      </w:r>
      <w:r>
        <w:rPr>
          <w:rFonts w:hint="eastAsia" w:ascii="楷体_GB2312" w:hAnsi="楷体_GB2312" w:eastAsia="楷体_GB2312" w:cs="楷体_GB2312"/>
          <w:b w:val="0"/>
          <w:bCs w:val="0"/>
          <w:color w:val="auto"/>
          <w:spacing w:val="0"/>
          <w:kern w:val="21"/>
          <w:sz w:val="32"/>
          <w:szCs w:val="32"/>
        </w:rPr>
        <w:t>蓝天保卫战。</w:t>
      </w:r>
      <w:r>
        <w:rPr>
          <w:rFonts w:hint="eastAsia" w:ascii="仿宋_GB2312" w:hAnsi="仿宋_GB2312" w:cs="仿宋_GB2312"/>
          <w:color w:val="auto"/>
          <w:spacing w:val="0"/>
          <w:kern w:val="21"/>
          <w:sz w:val="32"/>
          <w:szCs w:val="32"/>
        </w:rPr>
        <w:t>突出控源头、增碳汇、固根本</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加强多污染协同减排，推动降碳减污协同增效。扎实推进大气污染治理专项行动，坚决遏制</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两高一低</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项目盲目发展，淘汰压减低效失效产能，持续开展重点行业超低排放改造、工业窑炉深度治理，推进传统产业集群升级改造及含VOCs产品源头替代。严格实施煤炭总量控制，不再新建燃煤集中供热站和城区燃煤锅炉，巩固冬季清洁取暖改造成效。构建绿色清洁运输体系，推动重点行业企业用车大户、施工工地、矿山等重点用车单位运输车辆绿色化转型。强化移动源达标监管，规范油品储运销，加强移动源高效末端治理。深化扬尘精细化管控，提升道路</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五位一体</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保洁水平。强化秸秆综合利用和禁烧管控，持续开展餐饮油烟污染与恶臭异味专项治理，加强燃杂燃非与烟花爆竹禁燃禁放管控，强化农业氨排放控制。完善城市空气质量治理体系</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提升大气环境监测监控能力。强化宣传引导，构建全民共治体系，确保城区空气质量保持在全省第一方阵。</w:t>
      </w:r>
    </w:p>
    <w:p w14:paraId="49D0623B">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深入</w:t>
      </w:r>
      <w:r>
        <w:rPr>
          <w:rFonts w:hint="eastAsia" w:ascii="楷体_GB2312" w:hAnsi="楷体_GB2312" w:eastAsia="楷体_GB2312" w:cs="楷体_GB2312"/>
          <w:b w:val="0"/>
          <w:bCs w:val="0"/>
          <w:color w:val="auto"/>
          <w:spacing w:val="0"/>
          <w:kern w:val="21"/>
          <w:sz w:val="32"/>
          <w:szCs w:val="32"/>
          <w:lang w:val="en-US" w:eastAsia="zh-CN"/>
        </w:rPr>
        <w:t>推进</w:t>
      </w:r>
      <w:r>
        <w:rPr>
          <w:rFonts w:hint="eastAsia" w:ascii="楷体_GB2312" w:hAnsi="楷体_GB2312" w:eastAsia="楷体_GB2312" w:cs="楷体_GB2312"/>
          <w:b w:val="0"/>
          <w:bCs w:val="0"/>
          <w:color w:val="auto"/>
          <w:spacing w:val="0"/>
          <w:kern w:val="21"/>
          <w:sz w:val="32"/>
          <w:szCs w:val="32"/>
        </w:rPr>
        <w:t>碧水保卫战。</w:t>
      </w:r>
      <w:r>
        <w:rPr>
          <w:rFonts w:hint="eastAsia" w:ascii="仿宋_GB2312" w:hAnsi="仿宋_GB2312" w:eastAsia="仿宋_GB2312" w:cs="仿宋_GB2312"/>
          <w:b w:val="0"/>
          <w:bCs/>
          <w:color w:val="auto"/>
          <w:spacing w:val="0"/>
          <w:kern w:val="21"/>
          <w:sz w:val="32"/>
          <w:szCs w:val="32"/>
        </w:rPr>
        <w:t>坚持以河湖长制为抓手，统筹推进水资源节约、水生态修复、水灾害防治、水环境治理、水文化挖掘、水价值转化。</w:t>
      </w:r>
      <w:r>
        <w:rPr>
          <w:rFonts w:hint="eastAsia" w:ascii="仿宋_GB2312" w:hAnsi="仿宋_GB2312" w:cs="仿宋_GB2312"/>
          <w:color w:val="auto"/>
          <w:spacing w:val="0"/>
          <w:kern w:val="21"/>
          <w:sz w:val="32"/>
          <w:szCs w:val="32"/>
        </w:rPr>
        <w:t>推进延河“美丽河湖”建设，</w:t>
      </w:r>
      <w:r>
        <w:rPr>
          <w:rFonts w:hint="eastAsia" w:ascii="仿宋_GB2312" w:hAnsi="仿宋_GB2312" w:cs="仿宋_GB2312"/>
          <w:color w:val="auto"/>
          <w:spacing w:val="0"/>
          <w:kern w:val="21"/>
          <w:sz w:val="32"/>
          <w:szCs w:val="32"/>
          <w:lang w:val="en-US" w:eastAsia="zh-CN"/>
        </w:rPr>
        <w:t>实施</w:t>
      </w:r>
      <w:r>
        <w:rPr>
          <w:rFonts w:hint="eastAsia" w:ascii="仿宋_GB2312" w:hAnsi="仿宋_GB2312" w:cs="仿宋_GB2312"/>
          <w:color w:val="auto"/>
          <w:spacing w:val="0"/>
          <w:kern w:val="21"/>
          <w:sz w:val="32"/>
          <w:szCs w:val="32"/>
        </w:rPr>
        <w:t>延河城区核心段治理、延河及北洛河延安段防洪治理工程</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强集中式饮用水水源保护区环境综合整治。开展断面精准溯源，细化完善“一断一策”治理措施。巩固城乡黑臭水体治理成效。持续补齐城镇污水收集管网短板，加快污水收集空白区的生活管网延伸和覆盖，提高污水收集效率。持续做好黄河干流、延河、北洛河、清涧河、仕望河和云岩河入河排污口动态更新和整治。构建以排污许可制为核心的固定污染源监管制度体系，推动排污许可提质增效。巩固治水成效，保持地表水100%优良比例，黄河干流壶口断面保持Ⅱ类水质出境，县级及以上城市集中式饮用水水源水质达到或优于Ⅲ类比例为100%，县级城市建成区黑臭水体消除比例达到90％以上。完善水生态监测网络建设，提升全市水环境精细化监管和治理水平。</w:t>
      </w:r>
    </w:p>
    <w:p w14:paraId="4A5F0978">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rPr>
        <w:t>深入</w:t>
      </w:r>
      <w:r>
        <w:rPr>
          <w:rFonts w:hint="eastAsia" w:ascii="楷体_GB2312" w:hAnsi="楷体_GB2312" w:eastAsia="楷体_GB2312" w:cs="楷体_GB2312"/>
          <w:b w:val="0"/>
          <w:bCs w:val="0"/>
          <w:color w:val="auto"/>
          <w:spacing w:val="0"/>
          <w:kern w:val="21"/>
          <w:sz w:val="32"/>
          <w:szCs w:val="32"/>
          <w:lang w:val="en-US" w:eastAsia="zh-CN"/>
        </w:rPr>
        <w:t>推进</w:t>
      </w:r>
      <w:r>
        <w:rPr>
          <w:rFonts w:hint="eastAsia" w:ascii="楷体_GB2312" w:hAnsi="楷体_GB2312" w:eastAsia="楷体_GB2312" w:cs="楷体_GB2312"/>
          <w:b w:val="0"/>
          <w:bCs w:val="0"/>
          <w:color w:val="auto"/>
          <w:spacing w:val="0"/>
          <w:kern w:val="21"/>
          <w:sz w:val="32"/>
          <w:szCs w:val="32"/>
        </w:rPr>
        <w:t>净土保卫战。</w:t>
      </w:r>
      <w:r>
        <w:rPr>
          <w:rFonts w:hint="eastAsia" w:ascii="仿宋_GB2312" w:hAnsi="仿宋_GB2312" w:cs="仿宋_GB2312"/>
          <w:color w:val="auto"/>
          <w:spacing w:val="0"/>
          <w:kern w:val="21"/>
          <w:sz w:val="32"/>
          <w:szCs w:val="32"/>
        </w:rPr>
        <w:t>坚持减存量、控增量，强化重点建设用地准入管理，严格执行</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一住两公</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用地土壤污染状况调查制度，推进建设用地土壤污染防治与国土空间规划</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一张图</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系统衔接。扎实推进农村环境整治，大力推广生态净化、循环利用等低耗高效技术，推动农村生活污水就近就地资源化利用。加强土壤污染源头防控与隐患排查治理。防范工矿企业新增土壤污染，以土壤污染重点监管单位为重点，深入开展地下管线罐体、防渗设施等隐蔽性风险隐患排查</w:t>
      </w:r>
      <w:r>
        <w:rPr>
          <w:rFonts w:hint="eastAsia" w:ascii="仿宋_GB2312" w:hAnsi="仿宋_GB2312" w:cs="仿宋_GB2312"/>
          <w:color w:val="auto"/>
          <w:spacing w:val="0"/>
          <w:kern w:val="21"/>
          <w:sz w:val="32"/>
          <w:szCs w:val="32"/>
          <w:lang w:val="en-US" w:eastAsia="zh-CN"/>
        </w:rPr>
        <w:t>和</w:t>
      </w:r>
      <w:r>
        <w:rPr>
          <w:rFonts w:hint="eastAsia" w:ascii="仿宋_GB2312" w:hAnsi="仿宋_GB2312" w:cs="仿宋_GB2312"/>
          <w:color w:val="auto"/>
          <w:spacing w:val="0"/>
          <w:kern w:val="21"/>
          <w:sz w:val="32"/>
          <w:szCs w:val="32"/>
        </w:rPr>
        <w:t>整改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持续开展清洁田园建设。</w:t>
      </w:r>
    </w:p>
    <w:p w14:paraId="520384D5">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协同实施固体废物</w:t>
      </w:r>
      <w:r>
        <w:rPr>
          <w:rFonts w:hint="eastAsia" w:ascii="楷体_GB2312" w:hAnsi="楷体_GB2312" w:eastAsia="楷体_GB2312" w:cs="楷体_GB2312"/>
          <w:b w:val="0"/>
          <w:bCs w:val="0"/>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新污染物和噪声污染防治。</w:t>
      </w:r>
      <w:r>
        <w:rPr>
          <w:rFonts w:hint="eastAsia" w:ascii="仿宋_GB2312" w:hAnsi="仿宋_GB2312" w:cs="仿宋_GB2312"/>
          <w:color w:val="auto"/>
          <w:spacing w:val="0"/>
          <w:kern w:val="21"/>
          <w:sz w:val="32"/>
          <w:szCs w:val="32"/>
        </w:rPr>
        <w:t>深入推进煤矸石、粉煤灰、尾矿、工业副产石膏、建筑垃圾等大宗固体废物资源综合利用，推动大宗工业固体废物贮存处置总量趋零增长。加强危险废物污染环境防治</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持续开展危险废物专项排查整治和规范化管理</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加快推进新污染物环境风险管控，建立健全新污染物治理体系</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推动“无废城市”建设。加强环境噪声污染防治。</w:t>
      </w:r>
    </w:p>
    <w:p w14:paraId="1D112A8C">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bookmarkStart w:id="147" w:name="_Toc20842"/>
      <w:bookmarkStart w:id="148" w:name="_Toc19776"/>
      <w:bookmarkStart w:id="149" w:name="_Toc19135"/>
    </w:p>
    <w:p w14:paraId="6438B032">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第</w:t>
      </w:r>
      <w:r>
        <w:rPr>
          <w:rFonts w:hint="eastAsia" w:ascii="仿宋_GB2312" w:hAnsi="仿宋_GB2312"/>
          <w:color w:val="auto"/>
          <w:spacing w:val="0"/>
          <w:kern w:val="21"/>
          <w:sz w:val="32"/>
          <w:szCs w:val="32"/>
          <w:lang w:val="en-US" w:eastAsia="zh-CN"/>
        </w:rPr>
        <w:t>四十</w:t>
      </w:r>
      <w:r>
        <w:rPr>
          <w:rFonts w:hint="eastAsia" w:ascii="仿宋_GB2312" w:hAnsi="仿宋_GB2312"/>
          <w:color w:val="auto"/>
          <w:spacing w:val="0"/>
          <w:kern w:val="21"/>
          <w:sz w:val="32"/>
          <w:szCs w:val="32"/>
        </w:rPr>
        <w:t>章</w:t>
      </w:r>
      <w:r>
        <w:rPr>
          <w:rFonts w:hint="eastAsia" w:ascii="仿宋_GB2312" w:hAnsi="仿宋_GB2312"/>
          <w:color w:val="auto"/>
          <w:spacing w:val="0"/>
          <w:kern w:val="21"/>
          <w:sz w:val="32"/>
          <w:szCs w:val="32"/>
          <w:lang w:val="en-US" w:eastAsia="zh-CN"/>
        </w:rPr>
        <w:t xml:space="preserve">  </w:t>
      </w:r>
      <w:r>
        <w:rPr>
          <w:rFonts w:hint="eastAsia" w:ascii="仿宋_GB2312" w:hAnsi="仿宋_GB2312"/>
          <w:color w:val="auto"/>
          <w:spacing w:val="0"/>
          <w:kern w:val="21"/>
          <w:sz w:val="32"/>
          <w:szCs w:val="32"/>
        </w:rPr>
        <w:t>推动绿色低碳转型发展</w:t>
      </w:r>
      <w:bookmarkEnd w:id="147"/>
      <w:bookmarkEnd w:id="148"/>
      <w:bookmarkEnd w:id="149"/>
    </w:p>
    <w:p w14:paraId="36648F55">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rPr>
      </w:pPr>
    </w:p>
    <w:p w14:paraId="04E91006">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积极稳妥推进碳达峰碳中和。</w:t>
      </w:r>
      <w:r>
        <w:rPr>
          <w:rFonts w:hint="eastAsia" w:ascii="仿宋_GB2312" w:hAnsi="仿宋_GB2312" w:cs="仿宋_GB2312"/>
          <w:color w:val="auto"/>
          <w:spacing w:val="0"/>
          <w:kern w:val="21"/>
          <w:sz w:val="32"/>
          <w:szCs w:val="32"/>
        </w:rPr>
        <w:t>落实碳排放总量和强度“双控”部署，</w:t>
      </w:r>
      <w:r>
        <w:rPr>
          <w:rFonts w:hint="eastAsia" w:ascii="仿宋_GB2312" w:hAnsi="仿宋_GB2312" w:eastAsia="仿宋_GB2312" w:cs="仿宋_GB2312"/>
          <w:b w:val="0"/>
          <w:bCs w:val="0"/>
          <w:color w:val="auto"/>
          <w:spacing w:val="0"/>
          <w:kern w:val="21"/>
          <w:sz w:val="32"/>
          <w:szCs w:val="32"/>
        </w:rPr>
        <w:t>严格落实生态环境分区管控制度，</w:t>
      </w:r>
      <w:r>
        <w:rPr>
          <w:rFonts w:hint="eastAsia" w:ascii="仿宋_GB2312" w:hAnsi="仿宋_GB2312" w:cs="仿宋_GB2312"/>
          <w:color w:val="auto"/>
          <w:spacing w:val="0"/>
          <w:kern w:val="21"/>
          <w:sz w:val="32"/>
          <w:szCs w:val="32"/>
        </w:rPr>
        <w:t>推动落实碳达峰实施方案</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加快产业结构、能源结构、用地结构、交通运输结构、城市供热结构优化调整。</w:t>
      </w:r>
      <w:r>
        <w:rPr>
          <w:rFonts w:hint="eastAsia" w:ascii="仿宋_GB2312"/>
          <w:color w:val="auto"/>
          <w:spacing w:val="0"/>
          <w:kern w:val="21"/>
          <w:sz w:val="32"/>
          <w:szCs w:val="32"/>
        </w:rPr>
        <w:t>以产业绿色化低碳化为导向，发展壮大绿色低碳优势产业。以构建新型能源系统为目标，严控化石能源消费，加快推进太阳能、风能、生物质能等可再生能源的开发和利用，构建生产、传输、存储、消费等一体化的清洁低碳能源产业链。</w:t>
      </w:r>
      <w:r>
        <w:rPr>
          <w:rFonts w:hint="eastAsia" w:ascii="仿宋_GB2312" w:hAnsi="仿宋_GB2312" w:cs="仿宋_GB2312"/>
          <w:color w:val="auto"/>
          <w:spacing w:val="0"/>
          <w:kern w:val="21"/>
          <w:sz w:val="32"/>
          <w:szCs w:val="32"/>
        </w:rPr>
        <w:t>推进零碳园区、绿色工厂、绿色社区、绿色家庭建设，推广绿色低碳生产生活方式和消费方式。</w:t>
      </w:r>
    </w:p>
    <w:p w14:paraId="72E2C4D9">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大力推动工业领域节能降碳。</w:t>
      </w:r>
      <w:r>
        <w:rPr>
          <w:rFonts w:hint="eastAsia" w:ascii="仿宋_GB2312" w:hAnsi="仿宋_GB2312" w:cs="仿宋_GB2312"/>
          <w:color w:val="auto"/>
          <w:spacing w:val="0"/>
          <w:kern w:val="21"/>
          <w:sz w:val="32"/>
          <w:szCs w:val="32"/>
        </w:rPr>
        <w:t>推进工业领域低碳工艺革新和数字化转型，推动石化、煤化工、煤电等传统工业绿色改造提升，促进工业结构低碳化、生产过程清洁化、资源能源利用高效化。推动能化产业延链补链与清洁低碳化发展，提高煤炭清洁高效利用水平和油气资源利用效率，支持企业主要产品工艺升级与节能技术改造。以循环化改造园区建设为重点，统筹推进园区基础设施绿色化建设，鼓励园区开展循环化绿色化改造，提高工业园区绿色发展水平。</w:t>
      </w:r>
    </w:p>
    <w:p w14:paraId="3DCAB34D">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统筹推进重点领域绿色低碳发展。</w:t>
      </w:r>
      <w:r>
        <w:rPr>
          <w:rFonts w:hint="eastAsia" w:ascii="仿宋_GB2312" w:hAnsi="仿宋_GB2312" w:cs="仿宋_GB2312"/>
          <w:color w:val="auto"/>
          <w:spacing w:val="0"/>
          <w:kern w:val="21"/>
          <w:sz w:val="32"/>
          <w:szCs w:val="32"/>
        </w:rPr>
        <w:t>加快绿色建筑发展，积极推广超低能耗建筑、近零能耗建筑，提升建筑节能低碳水平。加快优化建筑用能结构，持续推广余热利用、高效热泵、分布式能源、绿色照明、屋顶墙体绿化等低碳建筑技术。发展清洁低碳供暖，有序推进农村地区清洁取暖。构建绿色高效交通运输体系，推动各种运输方式高效连通，积极发展多式联运</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推进大宗货物“公转铁”</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大力推广节能低碳型交通工具</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推动公共服务领域车辆电动化替代</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引导绿色低碳出行</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提升公共交通出行分担率。</w:t>
      </w:r>
    </w:p>
    <w:p w14:paraId="2FF126A2">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推动生态产品价值实现。</w:t>
      </w:r>
      <w:r>
        <w:rPr>
          <w:rFonts w:hint="eastAsia" w:ascii="仿宋_GB2312" w:hAnsi="仿宋_GB2312" w:eastAsia="仿宋_GB2312" w:cs="仿宋_GB2312"/>
          <w:b w:val="0"/>
          <w:bCs w:val="0"/>
          <w:color w:val="auto"/>
          <w:spacing w:val="0"/>
          <w:kern w:val="21"/>
          <w:sz w:val="32"/>
          <w:szCs w:val="32"/>
        </w:rPr>
        <w:t>完善生态产品价值实现机制，积极参与林草、水土保持等碳汇交易，</w:t>
      </w:r>
      <w:r>
        <w:rPr>
          <w:rFonts w:hint="eastAsia" w:ascii="仿宋_GB2312" w:hAnsi="仿宋_GB2312" w:cs="仿宋_GB2312"/>
          <w:color w:val="auto"/>
          <w:spacing w:val="0"/>
          <w:kern w:val="21"/>
          <w:sz w:val="32"/>
          <w:szCs w:val="32"/>
        </w:rPr>
        <w:t>开展以水保碳汇为主的生态价值产品转化试点，推进淤地坝水土保持碳汇交易。推进以产业生态化和生态产业化为主体的生态经济体系建设。编制生态产品目录清单，建立健全生态产品价值评价体系、监测和价值核算</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价值实现机制。探索生态产业化经营、生态产品质量认证等生态产品可持续经营开发模式，打通生态产品价值转化通道。健全生态产品保护补偿机制，探索推进排污权、用能权、碳排放权等市场化交易，争取纳入中省碳汇经济试点区域。支持宝塔区、宜川县和洛川县创建“绿水青山就是金山银山”实践创新基地，黄陵县和富县创建全国生态文明示范区。</w:t>
      </w:r>
    </w:p>
    <w:p w14:paraId="61B32F20">
      <w:pPr>
        <w:pStyle w:val="2"/>
        <w:rPr>
          <w:rFonts w:hint="eastAsia"/>
          <w:color w:val="auto"/>
        </w:rPr>
      </w:pPr>
    </w:p>
    <w:p w14:paraId="1624652B">
      <w:pPr>
        <w:pStyle w:val="2"/>
        <w:keepNext w:val="0"/>
        <w:keepLines w:val="0"/>
        <w:pageBreakBefore w:val="0"/>
        <w:widowControl w:val="0"/>
        <w:kinsoku/>
        <w:wordWrap/>
        <w:overflowPunct w:val="0"/>
        <w:topLinePunct w:val="0"/>
        <w:autoSpaceDE/>
        <w:autoSpaceDN/>
        <w:bidi w:val="0"/>
        <w:adjustRightInd/>
        <w:snapToGrid/>
        <w:spacing w:before="0" w:after="0" w:afterAutospacing="0" w:line="240" w:lineRule="exact"/>
        <w:ind w:left="0"/>
        <w:textAlignment w:val="auto"/>
        <w:rPr>
          <w:rFonts w:hint="eastAsia"/>
          <w:color w:val="auto"/>
          <w:spacing w:val="0"/>
          <w:kern w:val="21"/>
          <w:sz w:val="21"/>
          <w:szCs w:val="21"/>
        </w:rPr>
      </w:pPr>
    </w:p>
    <w:tbl>
      <w:tblPr>
        <w:tblStyle w:val="16"/>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3"/>
      </w:tblGrid>
      <w:tr w14:paraId="3A9D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433" w:type="dxa"/>
            <w:vAlign w:val="center"/>
          </w:tcPr>
          <w:p w14:paraId="21C4E1E6">
            <w:pPr>
              <w:keepNext w:val="0"/>
              <w:keepLines w:val="0"/>
              <w:pageBreakBefore w:val="0"/>
              <w:widowControl w:val="0"/>
              <w:kinsoku/>
              <w:wordWrap/>
              <w:overflowPunct w:val="0"/>
              <w:topLinePunct w:val="0"/>
              <w:autoSpaceDE/>
              <w:autoSpaceDN/>
              <w:bidi w:val="0"/>
              <w:adjustRightInd/>
              <w:snapToGrid w:val="0"/>
              <w:spacing w:afterAutospacing="0" w:line="240" w:lineRule="auto"/>
              <w:ind w:left="0" w:firstLine="0" w:firstLineChars="0"/>
              <w:jc w:val="center"/>
              <w:textAlignment w:val="auto"/>
              <w:rPr>
                <w:rFonts w:hint="eastAsia" w:ascii="仿宋_GB2312" w:hAnsi="仿宋_GB2312" w:eastAsia="楷体_GB2312" w:cs="仿宋_GB2312"/>
                <w:b w:val="0"/>
                <w:bCs w:val="0"/>
                <w:color w:val="auto"/>
                <w:spacing w:val="0"/>
                <w:kern w:val="21"/>
                <w:sz w:val="30"/>
                <w:szCs w:val="30"/>
                <w:highlight w:val="none"/>
                <w:u w:val="none"/>
              </w:rPr>
            </w:pPr>
            <w:r>
              <w:rPr>
                <w:rFonts w:hint="eastAsia" w:ascii="黑体" w:hAnsi="黑体" w:eastAsia="黑体" w:cs="黑体"/>
                <w:b w:val="0"/>
                <w:bCs w:val="0"/>
                <w:color w:val="auto"/>
                <w:spacing w:val="0"/>
                <w:kern w:val="21"/>
                <w:sz w:val="25"/>
                <w:szCs w:val="25"/>
                <w:highlight w:val="none"/>
                <w:u w:val="none"/>
              </w:rPr>
              <w:t>专栏</w:t>
            </w:r>
            <w:r>
              <w:rPr>
                <w:rFonts w:hint="eastAsia" w:ascii="黑体" w:hAnsi="黑体" w:eastAsia="黑体" w:cs="黑体"/>
                <w:b w:val="0"/>
                <w:bCs w:val="0"/>
                <w:color w:val="auto"/>
                <w:spacing w:val="0"/>
                <w:kern w:val="21"/>
                <w:sz w:val="25"/>
                <w:szCs w:val="25"/>
                <w:highlight w:val="none"/>
                <w:u w:val="none"/>
                <w:lang w:val="en-US" w:eastAsia="zh-CN"/>
              </w:rPr>
              <w:t>28</w:t>
            </w:r>
            <w:r>
              <w:rPr>
                <w:rFonts w:hint="eastAsia" w:ascii="黑体" w:hAnsi="黑体" w:eastAsia="黑体" w:cs="黑体"/>
                <w:b w:val="0"/>
                <w:bCs w:val="0"/>
                <w:color w:val="auto"/>
                <w:spacing w:val="0"/>
                <w:kern w:val="21"/>
                <w:sz w:val="25"/>
                <w:szCs w:val="25"/>
                <w:highlight w:val="none"/>
                <w:u w:val="none"/>
              </w:rPr>
              <w:t xml:space="preserve"> </w:t>
            </w:r>
            <w:r>
              <w:rPr>
                <w:rFonts w:hint="eastAsia" w:ascii="黑体" w:hAnsi="黑体" w:eastAsia="黑体" w:cs="黑体"/>
                <w:b w:val="0"/>
                <w:bCs w:val="0"/>
                <w:color w:val="auto"/>
                <w:spacing w:val="0"/>
                <w:kern w:val="21"/>
                <w:sz w:val="25"/>
                <w:szCs w:val="25"/>
                <w:highlight w:val="none"/>
                <w:u w:val="none"/>
                <w:lang w:eastAsia="zh-CN"/>
              </w:rPr>
              <w:t>生态</w:t>
            </w:r>
            <w:r>
              <w:rPr>
                <w:rFonts w:hint="eastAsia" w:ascii="黑体" w:hAnsi="黑体" w:eastAsia="黑体" w:cs="黑体"/>
                <w:b w:val="0"/>
                <w:bCs w:val="0"/>
                <w:color w:val="auto"/>
                <w:spacing w:val="0"/>
                <w:kern w:val="21"/>
                <w:sz w:val="25"/>
                <w:szCs w:val="25"/>
                <w:highlight w:val="none"/>
                <w:u w:val="none"/>
                <w:lang w:val="en-US" w:eastAsia="zh-CN"/>
              </w:rPr>
              <w:t>工程</w:t>
            </w:r>
            <w:r>
              <w:rPr>
                <w:rFonts w:hint="eastAsia" w:ascii="黑体" w:hAnsi="黑体" w:eastAsia="黑体" w:cs="黑体"/>
                <w:b w:val="0"/>
                <w:bCs w:val="0"/>
                <w:color w:val="auto"/>
                <w:spacing w:val="0"/>
                <w:kern w:val="21"/>
                <w:sz w:val="25"/>
                <w:szCs w:val="25"/>
                <w:highlight w:val="none"/>
                <w:u w:val="none"/>
              </w:rPr>
              <w:t>重点项目</w:t>
            </w:r>
          </w:p>
        </w:tc>
      </w:tr>
      <w:tr w14:paraId="5B44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jc w:val="center"/>
        </w:trPr>
        <w:tc>
          <w:tcPr>
            <w:tcW w:w="8433" w:type="dxa"/>
            <w:vAlign w:val="center"/>
          </w:tcPr>
          <w:p w14:paraId="65F3B3F7">
            <w:pPr>
              <w:pStyle w:val="19"/>
              <w:keepNext w:val="0"/>
              <w:keepLines w:val="0"/>
              <w:pageBreakBefore w:val="0"/>
              <w:widowControl w:val="0"/>
              <w:kinsoku/>
              <w:wordWrap/>
              <w:overflowPunct w:val="0"/>
              <w:topLinePunct w:val="0"/>
              <w:autoSpaceDE/>
              <w:autoSpaceDN/>
              <w:bidi w:val="0"/>
              <w:adjustRightInd/>
              <w:snapToGrid/>
              <w:spacing w:afterAutospacing="0" w:line="440" w:lineRule="exact"/>
              <w:ind w:left="0" w:firstLine="562"/>
              <w:jc w:val="both"/>
              <w:textAlignment w:val="auto"/>
              <w:rPr>
                <w:rFonts w:hint="eastAsia" w:ascii="宋体" w:hAnsi="宋体" w:eastAsia="宋体" w:cs="宋体"/>
                <w:b w:val="0"/>
                <w:bCs w:val="0"/>
                <w:color w:val="auto"/>
                <w:spacing w:val="0"/>
                <w:kern w:val="21"/>
                <w:sz w:val="30"/>
                <w:szCs w:val="30"/>
                <w:highlight w:val="none"/>
                <w:u w:val="none"/>
                <w:lang w:val="en-US" w:eastAsia="zh-CN"/>
              </w:rPr>
            </w:pPr>
            <w:r>
              <w:rPr>
                <w:rFonts w:hint="eastAsia" w:ascii="宋体" w:hAnsi="宋体" w:eastAsia="宋体" w:cs="宋体"/>
                <w:color w:val="auto"/>
                <w:spacing w:val="0"/>
                <w:kern w:val="21"/>
                <w:sz w:val="22"/>
                <w:szCs w:val="22"/>
                <w:highlight w:val="none"/>
                <w:u w:val="none"/>
                <w:lang w:val="en-US" w:eastAsia="zh-CN" w:bidi="ar-SA"/>
              </w:rPr>
              <w:t>重点实施“三北”工程生态防护林、黄河支流汾川河流域（南泥湾段）生态环境综合治理与绿色产业融合发展EOD、环境提升及综合开发EOD、子长市煤基固废协同参与生态修复、子长秀延河流域水污染治理及水生植被恢复工程、延长县黑家堡镇全域土地综合整治/山水工程/生态补偿一体化示范、志丹县林业碳汇开发等项目。</w:t>
            </w:r>
          </w:p>
        </w:tc>
      </w:tr>
    </w:tbl>
    <w:p w14:paraId="58A0FAA3">
      <w:pPr>
        <w:keepNext w:val="0"/>
        <w:keepLines w:val="0"/>
        <w:pageBreakBefore w:val="0"/>
        <w:widowControl w:val="0"/>
        <w:kinsoku/>
        <w:wordWrap/>
        <w:overflowPunct w:val="0"/>
        <w:topLinePunct w:val="0"/>
        <w:autoSpaceDE/>
        <w:autoSpaceDN/>
        <w:bidi w:val="0"/>
        <w:spacing w:afterAutospacing="0" w:line="240" w:lineRule="auto"/>
        <w:ind w:left="0" w:firstLine="640"/>
        <w:textAlignment w:val="auto"/>
        <w:rPr>
          <w:rFonts w:hint="eastAsia" w:ascii="仿宋_GB2312" w:hAnsi="仿宋_GB2312" w:cs="仿宋_GB2312"/>
          <w:color w:val="auto"/>
          <w:spacing w:val="0"/>
          <w:kern w:val="21"/>
          <w:sz w:val="30"/>
          <w:szCs w:val="30"/>
        </w:rPr>
      </w:pPr>
      <w:r>
        <w:rPr>
          <w:rFonts w:hint="eastAsia" w:ascii="仿宋_GB2312" w:hAnsi="仿宋_GB2312" w:cs="仿宋_GB2312"/>
          <w:color w:val="auto"/>
          <w:spacing w:val="0"/>
          <w:kern w:val="21"/>
          <w:sz w:val="30"/>
          <w:szCs w:val="30"/>
        </w:rPr>
        <w:br w:type="page"/>
      </w:r>
    </w:p>
    <w:p w14:paraId="74EE4056">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0"/>
          <w:szCs w:val="30"/>
        </w:rPr>
      </w:pPr>
      <w:bookmarkStart w:id="150" w:name="_Toc13723"/>
      <w:bookmarkStart w:id="151" w:name="_Toc28233"/>
      <w:bookmarkStart w:id="152" w:name="_Toc6216"/>
    </w:p>
    <w:p w14:paraId="423A2AA8">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6"/>
          <w:szCs w:val="36"/>
        </w:rPr>
      </w:pPr>
      <w:r>
        <w:rPr>
          <w:rFonts w:hint="eastAsia"/>
          <w:color w:val="auto"/>
          <w:spacing w:val="0"/>
          <w:kern w:val="21"/>
          <w:sz w:val="36"/>
          <w:szCs w:val="36"/>
        </w:rPr>
        <w:t>第十篇</w:t>
      </w:r>
      <w:r>
        <w:rPr>
          <w:rFonts w:hint="eastAsia"/>
          <w:color w:val="auto"/>
          <w:spacing w:val="0"/>
          <w:kern w:val="21"/>
          <w:sz w:val="36"/>
          <w:szCs w:val="36"/>
          <w:lang w:val="en-US" w:eastAsia="zh-CN"/>
        </w:rPr>
        <w:t xml:space="preserve">  </w:t>
      </w:r>
      <w:r>
        <w:rPr>
          <w:rFonts w:hint="eastAsia"/>
          <w:color w:val="auto"/>
          <w:spacing w:val="0"/>
          <w:kern w:val="21"/>
          <w:sz w:val="36"/>
          <w:szCs w:val="36"/>
        </w:rPr>
        <w:t>统筹发展和安全 建设更高水平平安延安</w:t>
      </w:r>
      <w:bookmarkEnd w:id="150"/>
      <w:bookmarkEnd w:id="151"/>
      <w:bookmarkEnd w:id="152"/>
    </w:p>
    <w:p w14:paraId="544F526C">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s="Times New Roman"/>
          <w:b w:val="0"/>
          <w:bCs/>
          <w:color w:val="auto"/>
          <w:spacing w:val="0"/>
          <w:kern w:val="21"/>
          <w:sz w:val="30"/>
          <w:szCs w:val="30"/>
          <w:highlight w:val="none"/>
          <w:lang w:val="en-US" w:eastAsia="zh-CN"/>
        </w:rPr>
      </w:pPr>
    </w:p>
    <w:p w14:paraId="2CE3F557">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textAlignment w:val="auto"/>
        <w:rPr>
          <w:rFonts w:hint="eastAsia" w:ascii="仿宋_GB2312" w:hAnsi="仿宋_GB2312" w:cs="Times New Roman"/>
          <w:bCs/>
          <w:color w:val="auto"/>
          <w:spacing w:val="0"/>
          <w:kern w:val="21"/>
          <w:sz w:val="32"/>
          <w:szCs w:val="32"/>
        </w:rPr>
      </w:pPr>
      <w:r>
        <w:rPr>
          <w:rFonts w:hint="eastAsia" w:ascii="仿宋_GB2312" w:hAnsi="仿宋_GB2312" w:cs="Times New Roman"/>
          <w:b w:val="0"/>
          <w:bCs/>
          <w:color w:val="auto"/>
          <w:spacing w:val="0"/>
          <w:kern w:val="21"/>
          <w:sz w:val="32"/>
          <w:szCs w:val="32"/>
          <w:highlight w:val="none"/>
          <w:lang w:val="en-US" w:eastAsia="zh-CN"/>
        </w:rPr>
        <w:t>坚定不移贯彻总体国家安全观，强化源头防控、系统施策，统筹高质量发展和高水平安全，提升治理体系和治理能力现代化水平，确保社会既生机勃勃又井然有序。</w:t>
      </w:r>
    </w:p>
    <w:p w14:paraId="7AC60A14">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bookmarkStart w:id="153" w:name="_Toc685"/>
      <w:bookmarkStart w:id="154" w:name="_Toc31540"/>
      <w:bookmarkStart w:id="155" w:name="_Toc27323"/>
    </w:p>
    <w:p w14:paraId="524EC856">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r>
        <w:rPr>
          <w:rFonts w:hint="eastAsia"/>
          <w:color w:val="auto"/>
          <w:spacing w:val="0"/>
          <w:kern w:val="21"/>
          <w:sz w:val="32"/>
          <w:szCs w:val="32"/>
        </w:rPr>
        <w:t>第四十</w:t>
      </w:r>
      <w:r>
        <w:rPr>
          <w:rFonts w:hint="eastAsia"/>
          <w:color w:val="auto"/>
          <w:spacing w:val="0"/>
          <w:kern w:val="21"/>
          <w:sz w:val="32"/>
          <w:szCs w:val="32"/>
          <w:lang w:val="en-US" w:eastAsia="zh-CN"/>
        </w:rPr>
        <w:t>一</w:t>
      </w:r>
      <w:r>
        <w:rPr>
          <w:rFonts w:hint="eastAsia"/>
          <w:color w:val="auto"/>
          <w:spacing w:val="0"/>
          <w:kern w:val="21"/>
          <w:sz w:val="32"/>
          <w:szCs w:val="32"/>
        </w:rPr>
        <w:t>章</w:t>
      </w:r>
      <w:r>
        <w:rPr>
          <w:rFonts w:hint="eastAsia"/>
          <w:color w:val="auto"/>
          <w:spacing w:val="0"/>
          <w:kern w:val="21"/>
          <w:sz w:val="32"/>
          <w:szCs w:val="32"/>
          <w:lang w:val="en-US" w:eastAsia="zh-CN"/>
        </w:rPr>
        <w:t xml:space="preserve">  健全维护国家安全体系</w:t>
      </w:r>
      <w:bookmarkEnd w:id="153"/>
      <w:bookmarkEnd w:id="154"/>
      <w:bookmarkEnd w:id="155"/>
    </w:p>
    <w:p w14:paraId="2AFE8915">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cs="Times New Roman"/>
          <w:b w:val="0"/>
          <w:bCs/>
          <w:color w:val="auto"/>
          <w:spacing w:val="0"/>
          <w:kern w:val="21"/>
          <w:sz w:val="32"/>
          <w:szCs w:val="32"/>
          <w:highlight w:val="none"/>
          <w:lang w:val="en-US" w:eastAsia="zh-CN"/>
        </w:rPr>
      </w:pPr>
    </w:p>
    <w:p w14:paraId="57F1197A">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cs="Times New Roman"/>
          <w:b w:val="0"/>
          <w:bCs/>
          <w:color w:val="auto"/>
          <w:spacing w:val="0"/>
          <w:kern w:val="21"/>
          <w:sz w:val="32"/>
          <w:szCs w:val="32"/>
          <w:highlight w:val="none"/>
          <w:lang w:val="en-US" w:eastAsia="zh-CN"/>
        </w:rPr>
      </w:pPr>
      <w:r>
        <w:rPr>
          <w:rFonts w:hint="eastAsia" w:ascii="仿宋_GB2312" w:hAnsi="仿宋_GB2312" w:cs="Times New Roman"/>
          <w:b w:val="0"/>
          <w:bCs/>
          <w:color w:val="auto"/>
          <w:spacing w:val="0"/>
          <w:kern w:val="21"/>
          <w:sz w:val="32"/>
          <w:szCs w:val="32"/>
          <w:highlight w:val="none"/>
          <w:lang w:val="en-US" w:eastAsia="zh-CN"/>
        </w:rPr>
        <w:t>严格落实国家安全责任制，推动国家安全重点领域和重要专项协调机制高效运行，促进全链条全要素协同联动，提高应急应变能力。坚持以战略为先导、政策为抓手、法治为保障、风险防控为落脚点，完善国家安全法治体系、战略体系、政策体系和风险监测预警防控体系。强化国家安全教育，增强全社会国家安全意识，筑牢人民防线。</w:t>
      </w:r>
      <w:r>
        <w:rPr>
          <w:rFonts w:hint="eastAsia" w:ascii="仿宋_GB2312" w:hAnsi="仿宋_GB2312" w:eastAsia="仿宋_GB2312" w:cs="Times New Roman"/>
          <w:b w:val="0"/>
          <w:bCs/>
          <w:color w:val="auto"/>
          <w:spacing w:val="0"/>
          <w:kern w:val="21"/>
          <w:sz w:val="32"/>
          <w:szCs w:val="32"/>
          <w:highlight w:val="none"/>
          <w:lang w:val="en-US" w:eastAsia="zh-CN"/>
        </w:rPr>
        <w:t>坚持捍卫</w:t>
      </w:r>
      <w:r>
        <w:rPr>
          <w:rFonts w:hint="eastAsia" w:ascii="仿宋_GB2312" w:hAnsi="仿宋_GB2312" w:eastAsia="仿宋_GB2312" w:cs="Times New Roman"/>
          <w:b w:val="0"/>
          <w:bCs/>
          <w:color w:val="auto"/>
          <w:spacing w:val="0"/>
          <w:kern w:val="21"/>
          <w:sz w:val="32"/>
          <w:szCs w:val="32"/>
          <w:highlight w:val="none"/>
        </w:rPr>
        <w:t>政治安全</w:t>
      </w:r>
      <w:r>
        <w:rPr>
          <w:rFonts w:hint="eastAsia" w:ascii="仿宋_GB2312" w:hAnsi="仿宋_GB2312" w:eastAsia="仿宋_GB2312" w:cs="Times New Roman"/>
          <w:b w:val="0"/>
          <w:bCs/>
          <w:color w:val="auto"/>
          <w:spacing w:val="0"/>
          <w:kern w:val="21"/>
          <w:sz w:val="32"/>
          <w:szCs w:val="32"/>
          <w:highlight w:val="none"/>
          <w:lang w:eastAsia="zh-CN"/>
        </w:rPr>
        <w:t>，</w:t>
      </w:r>
      <w:r>
        <w:rPr>
          <w:rFonts w:hint="eastAsia" w:ascii="仿宋_GB2312" w:hAnsi="仿宋_GB2312" w:cs="Times New Roman"/>
          <w:b w:val="0"/>
          <w:bCs/>
          <w:color w:val="auto"/>
          <w:spacing w:val="0"/>
          <w:kern w:val="21"/>
          <w:sz w:val="32"/>
          <w:szCs w:val="32"/>
          <w:highlight w:val="none"/>
          <w:lang w:val="en-US" w:eastAsia="zh-CN"/>
        </w:rPr>
        <w:t>落实好</w:t>
      </w:r>
      <w:r>
        <w:rPr>
          <w:rFonts w:hint="eastAsia" w:ascii="仿宋_GB2312" w:hAnsi="仿宋_GB2312" w:cs="Times New Roman"/>
          <w:b w:val="0"/>
          <w:bCs/>
          <w:color w:val="auto"/>
          <w:spacing w:val="0"/>
          <w:kern w:val="21"/>
          <w:sz w:val="32"/>
          <w:szCs w:val="32"/>
          <w:highlight w:val="none"/>
        </w:rPr>
        <w:t>重点部位安保措施</w:t>
      </w:r>
      <w:r>
        <w:rPr>
          <w:rFonts w:hint="eastAsia" w:ascii="仿宋_GB2312" w:hAnsi="仿宋_GB2312" w:cs="Times New Roman"/>
          <w:b w:val="0"/>
          <w:bCs/>
          <w:color w:val="auto"/>
          <w:spacing w:val="0"/>
          <w:kern w:val="21"/>
          <w:sz w:val="32"/>
          <w:szCs w:val="32"/>
          <w:highlight w:val="none"/>
          <w:lang w:eastAsia="zh-CN"/>
        </w:rPr>
        <w:t>，</w:t>
      </w:r>
      <w:r>
        <w:rPr>
          <w:rFonts w:hint="eastAsia" w:ascii="仿宋_GB2312" w:hAnsi="仿宋_GB2312" w:eastAsia="仿宋_GB2312" w:cs="仿宋_GB2312"/>
          <w:color w:val="auto"/>
          <w:spacing w:val="0"/>
          <w:kern w:val="21"/>
          <w:sz w:val="32"/>
          <w:szCs w:val="32"/>
          <w:u w:val="none" w:color="auto"/>
          <w:lang w:val="en-US" w:eastAsia="zh-CN"/>
        </w:rPr>
        <w:t>提升革命旧址数字化保护利用水平</w:t>
      </w:r>
      <w:r>
        <w:rPr>
          <w:rFonts w:hint="eastAsia" w:ascii="仿宋_GB2312" w:hAnsi="仿宋_GB2312" w:eastAsia="仿宋_GB2312" w:cs="仿宋_GB2312"/>
          <w:color w:val="auto"/>
          <w:spacing w:val="0"/>
          <w:kern w:val="21"/>
          <w:sz w:val="32"/>
          <w:szCs w:val="32"/>
          <w:u w:val="none" w:color="auto"/>
          <w:lang w:eastAsia="zh-CN"/>
        </w:rPr>
        <w:t>。</w:t>
      </w:r>
      <w:r>
        <w:rPr>
          <w:rFonts w:hint="eastAsia" w:ascii="仿宋_GB2312" w:hAnsi="仿宋_GB2312" w:cs="Times New Roman"/>
          <w:b w:val="0"/>
          <w:bCs/>
          <w:color w:val="auto"/>
          <w:spacing w:val="0"/>
          <w:kern w:val="21"/>
          <w:sz w:val="32"/>
          <w:szCs w:val="32"/>
          <w:highlight w:val="none"/>
        </w:rPr>
        <w:t>开展党员干部和人民群众国家安全宣传教育。</w:t>
      </w:r>
      <w:r>
        <w:rPr>
          <w:rFonts w:hint="eastAsia" w:ascii="仿宋_GB2312" w:hAnsi="仿宋_GB2312" w:cs="Times New Roman"/>
          <w:b w:val="0"/>
          <w:bCs/>
          <w:color w:val="auto"/>
          <w:spacing w:val="0"/>
          <w:kern w:val="21"/>
          <w:sz w:val="32"/>
          <w:szCs w:val="32"/>
          <w:highlight w:val="none"/>
          <w:lang w:val="en-US" w:eastAsia="zh-CN"/>
        </w:rPr>
        <w:t>加强国防动员</w:t>
      </w:r>
      <w:r>
        <w:rPr>
          <w:rFonts w:hint="eastAsia" w:ascii="仿宋_GB2312" w:hAnsi="仿宋_GB2312" w:cs="Times New Roman"/>
          <w:bCs/>
          <w:color w:val="auto"/>
          <w:spacing w:val="0"/>
          <w:kern w:val="21"/>
          <w:sz w:val="32"/>
          <w:szCs w:val="32"/>
          <w:highlight w:val="none"/>
        </w:rPr>
        <w:t>和后备力量建设。深化全民国防教育，巩固双拥模范城创建成果，增进军政军民团结</w:t>
      </w:r>
      <w:r>
        <w:rPr>
          <w:rFonts w:hint="eastAsia" w:ascii="仿宋_GB2312" w:hAnsi="仿宋_GB2312" w:cs="Times New Roman"/>
          <w:b w:val="0"/>
          <w:bCs/>
          <w:color w:val="auto"/>
          <w:spacing w:val="0"/>
          <w:kern w:val="21"/>
          <w:sz w:val="32"/>
          <w:szCs w:val="32"/>
          <w:highlight w:val="none"/>
          <w:lang w:val="en-US" w:eastAsia="zh-CN"/>
        </w:rPr>
        <w:t>，推进</w:t>
      </w:r>
      <w:r>
        <w:rPr>
          <w:rFonts w:hint="eastAsia" w:ascii="仿宋_GB2312" w:hAnsi="仿宋_GB2312" w:cs="Times New Roman"/>
          <w:b w:val="0"/>
          <w:bCs/>
          <w:color w:val="auto"/>
          <w:spacing w:val="0"/>
          <w:kern w:val="21"/>
          <w:sz w:val="32"/>
          <w:szCs w:val="32"/>
          <w:highlight w:val="none"/>
        </w:rPr>
        <w:t>军民融合</w:t>
      </w:r>
      <w:r>
        <w:rPr>
          <w:rFonts w:hint="eastAsia" w:ascii="仿宋_GB2312" w:hAnsi="仿宋_GB2312" w:cs="Times New Roman"/>
          <w:b w:val="0"/>
          <w:bCs/>
          <w:color w:val="auto"/>
          <w:spacing w:val="0"/>
          <w:kern w:val="21"/>
          <w:sz w:val="32"/>
          <w:szCs w:val="32"/>
          <w:highlight w:val="none"/>
          <w:lang w:val="en-US" w:eastAsia="zh-CN"/>
        </w:rPr>
        <w:t>工作，</w:t>
      </w:r>
      <w:r>
        <w:rPr>
          <w:rFonts w:hint="eastAsia" w:ascii="仿宋_GB2312" w:hAnsi="仿宋_GB2312" w:eastAsia="仿宋_GB2312" w:cs="仿宋_GB2312"/>
          <w:color w:val="auto"/>
          <w:spacing w:val="0"/>
          <w:kern w:val="21"/>
          <w:sz w:val="32"/>
          <w:szCs w:val="32"/>
        </w:rPr>
        <w:t>全面加强服务一体化国家战略体系和能力建设。</w:t>
      </w:r>
      <w:r>
        <w:rPr>
          <w:rFonts w:hint="eastAsia" w:ascii="仿宋_GB2312" w:hAnsi="仿宋_GB2312" w:cs="Times New Roman"/>
          <w:b w:val="0"/>
          <w:bCs/>
          <w:color w:val="auto"/>
          <w:spacing w:val="0"/>
          <w:kern w:val="21"/>
          <w:sz w:val="32"/>
          <w:szCs w:val="32"/>
          <w:highlight w:val="none"/>
          <w:lang w:val="en-US" w:eastAsia="zh-CN"/>
        </w:rPr>
        <w:t>积极参与国家战略腹地建设和关键产业备份。</w:t>
      </w:r>
    </w:p>
    <w:p w14:paraId="3D8AB96D">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bookmarkStart w:id="156" w:name="_Toc22773"/>
      <w:bookmarkStart w:id="157" w:name="_Toc23601"/>
      <w:bookmarkStart w:id="158" w:name="_Toc22923"/>
    </w:p>
    <w:p w14:paraId="6ABA93C4">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p>
    <w:p w14:paraId="421FAE3F">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r>
        <w:rPr>
          <w:rFonts w:hint="eastAsia"/>
          <w:color w:val="auto"/>
          <w:spacing w:val="0"/>
          <w:kern w:val="21"/>
          <w:sz w:val="32"/>
          <w:szCs w:val="32"/>
        </w:rPr>
        <w:t>第</w:t>
      </w:r>
      <w:r>
        <w:rPr>
          <w:color w:val="auto"/>
          <w:spacing w:val="0"/>
          <w:kern w:val="21"/>
          <w:sz w:val="32"/>
          <w:szCs w:val="32"/>
        </w:rPr>
        <w:t>四十</w:t>
      </w:r>
      <w:r>
        <w:rPr>
          <w:rFonts w:hint="eastAsia"/>
          <w:color w:val="auto"/>
          <w:spacing w:val="0"/>
          <w:kern w:val="21"/>
          <w:sz w:val="32"/>
          <w:szCs w:val="32"/>
          <w:lang w:val="en-US" w:eastAsia="zh-CN"/>
        </w:rPr>
        <w:t>二</w:t>
      </w:r>
      <w:r>
        <w:rPr>
          <w:rFonts w:hint="eastAsia"/>
          <w:color w:val="auto"/>
          <w:spacing w:val="0"/>
          <w:kern w:val="21"/>
          <w:sz w:val="32"/>
          <w:szCs w:val="32"/>
        </w:rPr>
        <w:t>章</w:t>
      </w:r>
      <w:r>
        <w:rPr>
          <w:rFonts w:hint="eastAsia"/>
          <w:color w:val="auto"/>
          <w:spacing w:val="0"/>
          <w:kern w:val="21"/>
          <w:sz w:val="32"/>
          <w:szCs w:val="32"/>
          <w:lang w:val="en-US" w:eastAsia="zh-CN"/>
        </w:rPr>
        <w:t xml:space="preserve">  加强重点领域安全能力建设</w:t>
      </w:r>
      <w:bookmarkEnd w:id="156"/>
      <w:bookmarkEnd w:id="157"/>
      <w:bookmarkEnd w:id="158"/>
    </w:p>
    <w:p w14:paraId="4F85ED41">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楷体_GB2312" w:hAnsi="楷体_GB2312" w:eastAsia="楷体_GB2312" w:cs="楷体_GB2312"/>
          <w:b w:val="0"/>
          <w:bCs w:val="0"/>
          <w:color w:val="auto"/>
          <w:spacing w:val="0"/>
          <w:kern w:val="21"/>
          <w:sz w:val="32"/>
          <w:szCs w:val="32"/>
          <w:highlight w:val="none"/>
          <w:lang w:val="en-US" w:eastAsia="zh-CN"/>
        </w:rPr>
      </w:pPr>
    </w:p>
    <w:p w14:paraId="1C6D9C69">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s="Times New Roman"/>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lang w:val="en-US" w:eastAsia="zh-CN"/>
        </w:rPr>
        <w:t>提高防范化解重点领域风险能力。</w:t>
      </w:r>
      <w:r>
        <w:rPr>
          <w:rFonts w:hint="eastAsia" w:ascii="仿宋_GB2312" w:hAnsi="仿宋_GB2312" w:eastAsia="仿宋_GB2312" w:cs="仿宋_GB2312"/>
          <w:color w:val="auto"/>
          <w:spacing w:val="0"/>
          <w:kern w:val="21"/>
          <w:sz w:val="32"/>
          <w:szCs w:val="32"/>
          <w:u w:val="none" w:color="auto"/>
          <w:lang w:eastAsia="zh-CN"/>
        </w:rPr>
        <w:t>统筹推进地方政府债务、市属国企债务、中小金融机构和房地产等风险有序化解，守住不发生区域性系统性风险底线。</w:t>
      </w:r>
      <w:r>
        <w:rPr>
          <w:rFonts w:hint="eastAsia" w:ascii="仿宋_GB2312" w:hAnsi="仿宋_GB2312" w:cs="仿宋_GB2312"/>
          <w:color w:val="auto"/>
          <w:spacing w:val="0"/>
          <w:kern w:val="21"/>
          <w:sz w:val="32"/>
          <w:szCs w:val="32"/>
          <w:u w:val="none" w:color="auto"/>
          <w:lang w:val="en-US" w:eastAsia="zh-CN"/>
        </w:rPr>
        <w:t>坚持在发展中化债、在化债中发展，</w:t>
      </w:r>
      <w:r>
        <w:rPr>
          <w:rFonts w:hint="eastAsia" w:ascii="仿宋_GB2312" w:hAnsi="仿宋_GB2312" w:cs="Times New Roman"/>
          <w:b w:val="0"/>
          <w:bCs/>
          <w:color w:val="auto"/>
          <w:spacing w:val="0"/>
          <w:kern w:val="21"/>
          <w:sz w:val="32"/>
          <w:szCs w:val="32"/>
          <w:highlight w:val="none"/>
          <w:lang w:val="en-US" w:eastAsia="zh-CN"/>
        </w:rPr>
        <w:t>严格执行一揽子化债方案，深化地方政府债务“借用管还”全生命周期管理，持续减存量、遏增量，</w:t>
      </w:r>
      <w:r>
        <w:rPr>
          <w:rFonts w:hint="eastAsia" w:ascii="仿宋_GB2312" w:hAnsi="仿宋_GB2312" w:cs="Times New Roman"/>
          <w:b w:val="0"/>
          <w:bCs/>
          <w:color w:val="auto"/>
          <w:spacing w:val="0"/>
          <w:kern w:val="21"/>
          <w:sz w:val="32"/>
          <w:szCs w:val="32"/>
          <w:highlight w:val="none"/>
        </w:rPr>
        <w:t>坚决制止违规举债、变相举债行为</w:t>
      </w:r>
      <w:r>
        <w:rPr>
          <w:rFonts w:hint="eastAsia" w:ascii="仿宋_GB2312" w:hAnsi="仿宋_GB2312" w:cs="Times New Roman"/>
          <w:b w:val="0"/>
          <w:bCs/>
          <w:color w:val="auto"/>
          <w:spacing w:val="0"/>
          <w:kern w:val="21"/>
          <w:sz w:val="32"/>
          <w:szCs w:val="32"/>
          <w:highlight w:val="none"/>
          <w:lang w:eastAsia="zh-CN"/>
        </w:rPr>
        <w:t>，</w:t>
      </w:r>
      <w:r>
        <w:rPr>
          <w:rFonts w:hint="eastAsia" w:ascii="仿宋_GB2312" w:hAnsi="仿宋_GB2312" w:cs="Times New Roman"/>
          <w:b w:val="0"/>
          <w:bCs/>
          <w:color w:val="auto"/>
          <w:spacing w:val="0"/>
          <w:kern w:val="21"/>
          <w:sz w:val="32"/>
          <w:szCs w:val="32"/>
          <w:highlight w:val="none"/>
          <w:lang w:val="en-US" w:eastAsia="zh-CN"/>
        </w:rPr>
        <w:t>严禁新增隐性债务和新设融资平台。</w:t>
      </w:r>
      <w:r>
        <w:rPr>
          <w:rFonts w:hint="eastAsia" w:ascii="仿宋_GB2312" w:hAnsi="仿宋_GB2312" w:cs="Times New Roman"/>
          <w:b w:val="0"/>
          <w:bCs/>
          <w:color w:val="auto"/>
          <w:spacing w:val="0"/>
          <w:kern w:val="21"/>
          <w:sz w:val="32"/>
          <w:szCs w:val="32"/>
          <w:highlight w:val="none"/>
        </w:rPr>
        <w:t>完善政府投融资体制，</w:t>
      </w:r>
      <w:r>
        <w:rPr>
          <w:rFonts w:hint="default" w:ascii="仿宋_GB2312" w:hAnsi="仿宋_GB2312" w:cs="Times New Roman"/>
          <w:b w:val="0"/>
          <w:bCs/>
          <w:color w:val="auto"/>
          <w:spacing w:val="0"/>
          <w:kern w:val="21"/>
          <w:sz w:val="32"/>
          <w:szCs w:val="32"/>
          <w:highlight w:val="none"/>
          <w:lang w:val="en-US" w:eastAsia="zh-CN"/>
        </w:rPr>
        <w:t>加快融资平台市场化转型</w:t>
      </w:r>
      <w:r>
        <w:rPr>
          <w:rFonts w:hint="eastAsia" w:ascii="仿宋_GB2312" w:hAnsi="仿宋_GB2312" w:cs="Times New Roman"/>
          <w:b w:val="0"/>
          <w:bCs/>
          <w:color w:val="auto"/>
          <w:spacing w:val="0"/>
          <w:kern w:val="21"/>
          <w:sz w:val="32"/>
          <w:szCs w:val="32"/>
          <w:highlight w:val="none"/>
          <w:lang w:val="en-US" w:eastAsia="zh-CN"/>
        </w:rPr>
        <w:t>，“一企一策”推进国企债务化解。</w:t>
      </w:r>
      <w:r>
        <w:rPr>
          <w:rFonts w:hint="eastAsia" w:ascii="仿宋_GB2312" w:hAnsi="仿宋_GB2312" w:cs="Times New Roman"/>
          <w:b w:val="0"/>
          <w:bCs/>
          <w:color w:val="auto"/>
          <w:spacing w:val="0"/>
          <w:kern w:val="21"/>
          <w:sz w:val="32"/>
          <w:szCs w:val="32"/>
          <w:highlight w:val="none"/>
        </w:rPr>
        <w:t>及时处置中小金融机构风险</w:t>
      </w:r>
      <w:r>
        <w:rPr>
          <w:rFonts w:hint="eastAsia" w:ascii="仿宋_GB2312" w:hAnsi="仿宋_GB2312" w:cs="Times New Roman"/>
          <w:b w:val="0"/>
          <w:bCs/>
          <w:color w:val="auto"/>
          <w:spacing w:val="0"/>
          <w:kern w:val="21"/>
          <w:sz w:val="32"/>
          <w:szCs w:val="32"/>
          <w:highlight w:val="none"/>
          <w:lang w:eastAsia="zh-CN"/>
        </w:rPr>
        <w:t>，</w:t>
      </w:r>
      <w:r>
        <w:rPr>
          <w:rFonts w:hint="default" w:ascii="仿宋_GB2312" w:hAnsi="仿宋_GB2312" w:cs="Times New Roman"/>
          <w:b w:val="0"/>
          <w:bCs/>
          <w:color w:val="auto"/>
          <w:spacing w:val="0"/>
          <w:kern w:val="21"/>
          <w:sz w:val="32"/>
          <w:szCs w:val="32"/>
          <w:highlight w:val="none"/>
          <w:lang w:val="en-US" w:eastAsia="zh-CN"/>
        </w:rPr>
        <w:t>全链条防范和打击非法金融活动</w:t>
      </w:r>
      <w:r>
        <w:rPr>
          <w:rFonts w:hint="eastAsia" w:ascii="仿宋_GB2312" w:hAnsi="仿宋_GB2312" w:cs="Times New Roman"/>
          <w:b w:val="0"/>
          <w:bCs/>
          <w:color w:val="auto"/>
          <w:spacing w:val="0"/>
          <w:kern w:val="21"/>
          <w:sz w:val="32"/>
          <w:szCs w:val="32"/>
          <w:highlight w:val="none"/>
        </w:rPr>
        <w:t>。</w:t>
      </w:r>
      <w:r>
        <w:rPr>
          <w:rFonts w:hint="default" w:ascii="仿宋_GB2312" w:hAnsi="仿宋_GB2312" w:cs="Times New Roman"/>
          <w:b w:val="0"/>
          <w:bCs/>
          <w:color w:val="auto"/>
          <w:spacing w:val="0"/>
          <w:kern w:val="21"/>
          <w:sz w:val="32"/>
          <w:szCs w:val="32"/>
          <w:highlight w:val="none"/>
          <w:lang w:val="en-US" w:eastAsia="zh-CN"/>
        </w:rPr>
        <w:t>健全</w:t>
      </w:r>
      <w:r>
        <w:rPr>
          <w:rFonts w:hint="eastAsia" w:ascii="仿宋_GB2312" w:hAnsi="仿宋_GB2312" w:cs="Times New Roman"/>
          <w:b w:val="0"/>
          <w:bCs/>
          <w:color w:val="auto"/>
          <w:spacing w:val="0"/>
          <w:kern w:val="21"/>
          <w:sz w:val="32"/>
          <w:szCs w:val="32"/>
          <w:highlight w:val="none"/>
          <w:lang w:val="en-US" w:eastAsia="zh-CN"/>
        </w:rPr>
        <w:t>房地产企业主体监督制度和资金监管，继续打好</w:t>
      </w:r>
      <w:r>
        <w:rPr>
          <w:rFonts w:hint="default" w:ascii="仿宋_GB2312" w:hAnsi="仿宋_GB2312" w:cs="Times New Roman"/>
          <w:b w:val="0"/>
          <w:bCs/>
          <w:color w:val="auto"/>
          <w:spacing w:val="0"/>
          <w:kern w:val="21"/>
          <w:sz w:val="32"/>
          <w:szCs w:val="32"/>
          <w:highlight w:val="none"/>
          <w:lang w:val="en-US" w:eastAsia="zh-CN"/>
        </w:rPr>
        <w:t>“保交房”攻坚战</w:t>
      </w:r>
      <w:r>
        <w:rPr>
          <w:rFonts w:hint="eastAsia" w:ascii="仿宋_GB2312" w:hAnsi="仿宋_GB2312" w:cs="Times New Roman"/>
          <w:b w:val="0"/>
          <w:bCs/>
          <w:color w:val="auto"/>
          <w:spacing w:val="0"/>
          <w:kern w:val="21"/>
          <w:sz w:val="32"/>
          <w:szCs w:val="32"/>
          <w:highlight w:val="none"/>
          <w:lang w:val="en-US" w:eastAsia="zh-CN"/>
        </w:rPr>
        <w:t>，</w:t>
      </w:r>
      <w:r>
        <w:rPr>
          <w:rFonts w:hint="eastAsia" w:ascii="仿宋_GB2312" w:hAnsi="仿宋_GB2312" w:cs="Times New Roman"/>
          <w:b w:val="0"/>
          <w:bCs/>
          <w:color w:val="auto"/>
          <w:spacing w:val="0"/>
          <w:kern w:val="21"/>
          <w:sz w:val="32"/>
          <w:szCs w:val="32"/>
          <w:highlight w:val="none"/>
        </w:rPr>
        <w:t>探索推动建立房屋体检、房屋养老金、房屋保险等制度。</w:t>
      </w:r>
    </w:p>
    <w:p w14:paraId="1005D818">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cs="Times New Roman"/>
          <w:b w:val="0"/>
          <w:bCs/>
          <w:color w:val="auto"/>
          <w:spacing w:val="0"/>
          <w:kern w:val="21"/>
          <w:sz w:val="32"/>
          <w:szCs w:val="32"/>
          <w:highlight w:val="none"/>
          <w:lang w:val="en-US" w:eastAsia="zh-CN"/>
        </w:rPr>
      </w:pPr>
      <w:r>
        <w:rPr>
          <w:rFonts w:hint="eastAsia" w:ascii="楷体_GB2312" w:hAnsi="楷体_GB2312" w:eastAsia="楷体_GB2312" w:cs="楷体_GB2312"/>
          <w:b w:val="0"/>
          <w:bCs w:val="0"/>
          <w:color w:val="auto"/>
          <w:spacing w:val="0"/>
          <w:kern w:val="21"/>
          <w:sz w:val="32"/>
          <w:szCs w:val="32"/>
          <w:highlight w:val="none"/>
          <w:lang w:val="en-US" w:eastAsia="zh-CN"/>
        </w:rPr>
        <w:t>夯实安全基础保障。</w:t>
      </w:r>
      <w:r>
        <w:rPr>
          <w:rFonts w:hint="eastAsia" w:ascii="仿宋_GB2312" w:hAnsi="仿宋_GB2312" w:cs="Times New Roman"/>
          <w:b w:val="0"/>
          <w:bCs/>
          <w:color w:val="auto"/>
          <w:spacing w:val="0"/>
          <w:kern w:val="21"/>
          <w:sz w:val="32"/>
          <w:szCs w:val="32"/>
          <w:highlight w:val="none"/>
          <w:lang w:val="en-US" w:eastAsia="zh-CN"/>
        </w:rPr>
        <w:t>积极锻造实战实用的安全能力，保障事关经济社会稳定、人民安居乐业的重大安全</w:t>
      </w:r>
      <w:r>
        <w:rPr>
          <w:rFonts w:hint="eastAsia" w:ascii="仿宋_GB2312" w:hAnsi="仿宋_GB2312" w:cs="Times New Roman"/>
          <w:b w:val="0"/>
          <w:bCs/>
          <w:color w:val="auto"/>
          <w:spacing w:val="0"/>
          <w:kern w:val="21"/>
          <w:sz w:val="32"/>
          <w:szCs w:val="32"/>
          <w:highlight w:val="none"/>
        </w:rPr>
        <w:t>。</w:t>
      </w:r>
      <w:r>
        <w:rPr>
          <w:rFonts w:hint="eastAsia" w:ascii="仿宋_GB2312" w:hAnsi="仿宋_GB2312" w:eastAsia="仿宋_GB2312" w:cs="仿宋_GB2312"/>
          <w:b w:val="0"/>
          <w:bCs/>
          <w:color w:val="auto"/>
          <w:spacing w:val="0"/>
          <w:kern w:val="21"/>
          <w:sz w:val="32"/>
          <w:szCs w:val="32"/>
        </w:rPr>
        <w:t>强化粮食、能源、重大基础设施安全保障</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Times New Roman"/>
          <w:b w:val="0"/>
          <w:bCs/>
          <w:color w:val="auto"/>
          <w:spacing w:val="0"/>
          <w:kern w:val="21"/>
          <w:sz w:val="32"/>
          <w:szCs w:val="32"/>
          <w:highlight w:val="none"/>
        </w:rPr>
        <w:t>落实国家粮食安全战略，</w:t>
      </w:r>
      <w:r>
        <w:rPr>
          <w:rFonts w:hint="eastAsia" w:ascii="仿宋_GB2312" w:hAnsi="仿宋_GB2312" w:cs="Times New Roman"/>
          <w:b w:val="0"/>
          <w:bCs/>
          <w:color w:val="auto"/>
          <w:spacing w:val="0"/>
          <w:kern w:val="21"/>
          <w:sz w:val="32"/>
          <w:szCs w:val="32"/>
          <w:highlight w:val="none"/>
          <w:lang w:val="en-US" w:eastAsia="zh-CN"/>
        </w:rPr>
        <w:t>严守耕地红线，严格</w:t>
      </w:r>
      <w:r>
        <w:rPr>
          <w:rFonts w:hint="eastAsia" w:ascii="仿宋_GB2312" w:hAnsi="仿宋_GB2312" w:cs="Times New Roman"/>
          <w:b w:val="0"/>
          <w:bCs/>
          <w:color w:val="auto"/>
          <w:spacing w:val="0"/>
          <w:kern w:val="21"/>
          <w:sz w:val="32"/>
          <w:szCs w:val="32"/>
          <w:highlight w:val="none"/>
        </w:rPr>
        <w:t>占补平衡</w:t>
      </w:r>
      <w:r>
        <w:rPr>
          <w:rFonts w:hint="eastAsia" w:ascii="仿宋_GB2312" w:hAnsi="仿宋_GB2312" w:cs="Times New Roman"/>
          <w:b w:val="0"/>
          <w:bCs/>
          <w:color w:val="auto"/>
          <w:spacing w:val="0"/>
          <w:kern w:val="21"/>
          <w:sz w:val="32"/>
          <w:szCs w:val="32"/>
          <w:highlight w:val="none"/>
          <w:lang w:val="en-US" w:eastAsia="zh-CN"/>
        </w:rPr>
        <w:t>管理</w:t>
      </w:r>
      <w:r>
        <w:rPr>
          <w:rFonts w:hint="eastAsia" w:ascii="仿宋_GB2312" w:hAnsi="仿宋_GB2312" w:cs="Times New Roman"/>
          <w:b w:val="0"/>
          <w:bCs/>
          <w:color w:val="auto"/>
          <w:spacing w:val="0"/>
          <w:kern w:val="21"/>
          <w:sz w:val="32"/>
          <w:szCs w:val="32"/>
          <w:highlight w:val="none"/>
        </w:rPr>
        <w:t>，</w:t>
      </w:r>
      <w:r>
        <w:rPr>
          <w:rFonts w:hint="eastAsia" w:ascii="仿宋_GB2312" w:hAnsi="仿宋_GB2312" w:cs="Times New Roman"/>
          <w:b w:val="0"/>
          <w:bCs/>
          <w:color w:val="auto"/>
          <w:spacing w:val="0"/>
          <w:kern w:val="21"/>
          <w:sz w:val="32"/>
          <w:szCs w:val="32"/>
          <w:highlight w:val="none"/>
          <w:lang w:val="en-US" w:eastAsia="zh-CN"/>
        </w:rPr>
        <w:t>统筹农用地布局优化，</w:t>
      </w:r>
      <w:r>
        <w:rPr>
          <w:rFonts w:hint="eastAsia" w:ascii="仿宋_GB2312" w:hAnsi="仿宋_GB2312" w:cs="Times New Roman"/>
          <w:b w:val="0"/>
          <w:bCs/>
          <w:color w:val="auto"/>
          <w:spacing w:val="0"/>
          <w:kern w:val="21"/>
          <w:sz w:val="32"/>
          <w:szCs w:val="32"/>
          <w:highlight w:val="none"/>
        </w:rPr>
        <w:t>坚决遏制耕地“非农化”、防止“非粮化”。</w:t>
      </w:r>
      <w:r>
        <w:rPr>
          <w:rFonts w:hint="eastAsia" w:ascii="仿宋_GB2312" w:hAnsi="仿宋_GB2312" w:cs="Times New Roman"/>
          <w:b w:val="0"/>
          <w:bCs/>
          <w:color w:val="auto"/>
          <w:spacing w:val="0"/>
          <w:kern w:val="21"/>
          <w:sz w:val="32"/>
          <w:szCs w:val="32"/>
          <w:highlight w:val="none"/>
          <w:lang w:val="en-US" w:eastAsia="zh-CN"/>
        </w:rPr>
        <w:t>高质量推进高标准农田建设，</w:t>
      </w:r>
      <w:r>
        <w:rPr>
          <w:rFonts w:hint="eastAsia" w:ascii="仿宋_GB2312" w:hAnsi="仿宋_GB2312" w:cs="Times New Roman"/>
          <w:b w:val="0"/>
          <w:bCs/>
          <w:color w:val="auto"/>
          <w:spacing w:val="0"/>
          <w:kern w:val="21"/>
          <w:sz w:val="32"/>
          <w:szCs w:val="32"/>
          <w:highlight w:val="none"/>
        </w:rPr>
        <w:t>提高粮食储备和应急保障能力，降低粮食和食品损耗浪费。坚决扛牢保障国家能源安全的政治责任，</w:t>
      </w:r>
      <w:r>
        <w:rPr>
          <w:rFonts w:hint="eastAsia" w:ascii="仿宋_GB2312" w:hAnsi="仿宋_GB2312" w:cs="Times New Roman"/>
          <w:b w:val="0"/>
          <w:bCs/>
          <w:color w:val="auto"/>
          <w:spacing w:val="0"/>
          <w:kern w:val="21"/>
          <w:sz w:val="32"/>
          <w:szCs w:val="32"/>
          <w:highlight w:val="none"/>
          <w:lang w:val="en-US" w:eastAsia="zh-CN"/>
        </w:rPr>
        <w:t>建立能源供需预警机制，</w:t>
      </w:r>
      <w:r>
        <w:rPr>
          <w:rFonts w:hint="eastAsia" w:ascii="仿宋_GB2312" w:hAnsi="仿宋_GB2312" w:eastAsia="仿宋_GB2312" w:cs="仿宋_GB2312"/>
          <w:color w:val="auto"/>
          <w:spacing w:val="0"/>
          <w:kern w:val="21"/>
          <w:sz w:val="32"/>
          <w:szCs w:val="32"/>
          <w:u w:val="none" w:color="auto"/>
          <w:lang w:val="en-US" w:eastAsia="zh-CN"/>
        </w:rPr>
        <w:t>深入开展新一轮找矿突破战略行动，推动能源增储上产</w:t>
      </w:r>
      <w:r>
        <w:rPr>
          <w:rFonts w:hint="eastAsia" w:ascii="仿宋_GB2312" w:hAnsi="仿宋_GB2312" w:cs="仿宋_GB2312"/>
          <w:color w:val="auto"/>
          <w:spacing w:val="0"/>
          <w:kern w:val="21"/>
          <w:sz w:val="32"/>
          <w:szCs w:val="32"/>
          <w:u w:val="none" w:color="auto"/>
          <w:lang w:val="en-US" w:eastAsia="zh-CN"/>
        </w:rPr>
        <w:t>，</w:t>
      </w:r>
      <w:r>
        <w:rPr>
          <w:rFonts w:hint="eastAsia" w:ascii="仿宋_GB2312" w:hAnsi="仿宋_GB2312" w:cs="Times New Roman"/>
          <w:b w:val="0"/>
          <w:bCs/>
          <w:color w:val="auto"/>
          <w:spacing w:val="0"/>
          <w:kern w:val="21"/>
          <w:sz w:val="32"/>
          <w:szCs w:val="32"/>
          <w:highlight w:val="none"/>
        </w:rPr>
        <w:t>做好长输管道和电力设施隐患排查</w:t>
      </w:r>
      <w:r>
        <w:rPr>
          <w:rFonts w:hint="eastAsia" w:ascii="仿宋_GB2312" w:hAnsi="仿宋_GB2312" w:cs="Times New Roman"/>
          <w:b w:val="0"/>
          <w:bCs/>
          <w:color w:val="auto"/>
          <w:spacing w:val="0"/>
          <w:kern w:val="21"/>
          <w:sz w:val="32"/>
          <w:szCs w:val="32"/>
          <w:highlight w:val="none"/>
          <w:lang w:eastAsia="zh-CN"/>
        </w:rPr>
        <w:t>，</w:t>
      </w:r>
      <w:r>
        <w:rPr>
          <w:rFonts w:hint="eastAsia" w:ascii="仿宋_GB2312" w:hAnsi="仿宋_GB2312" w:cs="Times New Roman"/>
          <w:b w:val="0"/>
          <w:bCs/>
          <w:color w:val="auto"/>
          <w:spacing w:val="0"/>
          <w:kern w:val="21"/>
          <w:sz w:val="32"/>
          <w:szCs w:val="32"/>
          <w:highlight w:val="none"/>
          <w:lang w:val="en-US" w:eastAsia="zh-CN"/>
        </w:rPr>
        <w:t>布局应急备用电源和油气储备设施，提升极端状况下能源保供能力。加强网络、数据、人工智能、生物、生态、低空等新兴领域安全能力建设。</w:t>
      </w:r>
    </w:p>
    <w:p w14:paraId="7C0FC0B6">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bookmarkStart w:id="159" w:name="_Toc28133"/>
      <w:bookmarkStart w:id="160" w:name="_Toc24625"/>
      <w:bookmarkStart w:id="161" w:name="_Toc16257"/>
    </w:p>
    <w:p w14:paraId="35D78F3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r>
        <w:rPr>
          <w:rFonts w:hint="eastAsia"/>
          <w:color w:val="auto"/>
          <w:spacing w:val="0"/>
          <w:kern w:val="21"/>
          <w:sz w:val="32"/>
          <w:szCs w:val="32"/>
        </w:rPr>
        <w:t>第</w:t>
      </w:r>
      <w:r>
        <w:rPr>
          <w:color w:val="auto"/>
          <w:spacing w:val="0"/>
          <w:kern w:val="21"/>
          <w:sz w:val="32"/>
          <w:szCs w:val="32"/>
        </w:rPr>
        <w:t>四十</w:t>
      </w:r>
      <w:r>
        <w:rPr>
          <w:rFonts w:hint="eastAsia"/>
          <w:color w:val="auto"/>
          <w:spacing w:val="0"/>
          <w:kern w:val="21"/>
          <w:sz w:val="32"/>
          <w:szCs w:val="32"/>
          <w:lang w:val="en-US" w:eastAsia="zh-CN"/>
        </w:rPr>
        <w:t>三</w:t>
      </w:r>
      <w:r>
        <w:rPr>
          <w:rFonts w:hint="eastAsia"/>
          <w:color w:val="auto"/>
          <w:spacing w:val="0"/>
          <w:kern w:val="21"/>
          <w:sz w:val="32"/>
          <w:szCs w:val="32"/>
        </w:rPr>
        <w:t>章</w:t>
      </w:r>
      <w:r>
        <w:rPr>
          <w:rFonts w:hint="eastAsia"/>
          <w:color w:val="auto"/>
          <w:spacing w:val="0"/>
          <w:kern w:val="21"/>
          <w:sz w:val="32"/>
          <w:szCs w:val="32"/>
          <w:lang w:val="en-US" w:eastAsia="zh-CN"/>
        </w:rPr>
        <w:t xml:space="preserve">  提高公共安全治理水平</w:t>
      </w:r>
      <w:bookmarkEnd w:id="159"/>
      <w:bookmarkEnd w:id="160"/>
      <w:bookmarkEnd w:id="161"/>
    </w:p>
    <w:p w14:paraId="47AA9C16">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楷体_GB2312" w:hAnsi="楷体_GB2312" w:eastAsia="楷体_GB2312" w:cs="楷体_GB2312"/>
          <w:b w:val="0"/>
          <w:bCs w:val="0"/>
          <w:color w:val="auto"/>
          <w:spacing w:val="0"/>
          <w:kern w:val="21"/>
          <w:sz w:val="32"/>
          <w:szCs w:val="32"/>
          <w:highlight w:val="none"/>
          <w:lang w:val="en-US" w:eastAsia="zh-CN"/>
        </w:rPr>
      </w:pPr>
      <w:bookmarkStart w:id="162" w:name="_Hlk57028915"/>
    </w:p>
    <w:p w14:paraId="297615E4">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default" w:ascii="仿宋_GB2312" w:hAnsi="仿宋_GB2312" w:eastAsia="仿宋_GB2312" w:cs="Times New Roman"/>
          <w:b w:val="0"/>
          <w:bCs/>
          <w:color w:val="auto"/>
          <w:spacing w:val="0"/>
          <w:kern w:val="21"/>
          <w:sz w:val="32"/>
          <w:szCs w:val="32"/>
          <w:highlight w:val="none"/>
          <w:lang w:val="en-US" w:eastAsia="zh-CN"/>
        </w:rPr>
      </w:pPr>
      <w:r>
        <w:rPr>
          <w:rFonts w:hint="eastAsia" w:ascii="楷体_GB2312" w:hAnsi="楷体_GB2312" w:eastAsia="楷体_GB2312" w:cs="楷体_GB2312"/>
          <w:b w:val="0"/>
          <w:bCs w:val="0"/>
          <w:color w:val="auto"/>
          <w:spacing w:val="0"/>
          <w:kern w:val="21"/>
          <w:sz w:val="32"/>
          <w:szCs w:val="32"/>
          <w:highlight w:val="none"/>
          <w:lang w:val="en-US" w:eastAsia="zh-CN"/>
        </w:rPr>
        <w:t>加强安全生产监管。</w:t>
      </w:r>
      <w:r>
        <w:rPr>
          <w:rFonts w:hint="eastAsia" w:ascii="仿宋_GB2312" w:hAnsi="仿宋_GB2312" w:eastAsia="仿宋_GB2312" w:cs="仿宋_GB2312"/>
          <w:b w:val="0"/>
          <w:bCs w:val="0"/>
          <w:color w:val="auto"/>
          <w:spacing w:val="0"/>
          <w:kern w:val="21"/>
          <w:sz w:val="32"/>
          <w:szCs w:val="32"/>
          <w:u w:val="none" w:color="auto"/>
          <w:lang w:val="en-US" w:eastAsia="zh-CN" w:bidi="ar-SA"/>
        </w:rPr>
        <w:t>严格落实</w:t>
      </w:r>
      <w:r>
        <w:rPr>
          <w:rFonts w:hint="eastAsia" w:ascii="仿宋_GB2312" w:hAnsi="仿宋_GB2312" w:cs="仿宋_GB2312"/>
          <w:b w:val="0"/>
          <w:bCs w:val="0"/>
          <w:color w:val="auto"/>
          <w:spacing w:val="0"/>
          <w:kern w:val="21"/>
          <w:sz w:val="32"/>
          <w:szCs w:val="32"/>
          <w:u w:val="none" w:color="auto"/>
          <w:lang w:val="en-US" w:eastAsia="zh-CN" w:bidi="ar-SA"/>
        </w:rPr>
        <w:t>“</w:t>
      </w:r>
      <w:r>
        <w:rPr>
          <w:rFonts w:hint="eastAsia" w:ascii="仿宋_GB2312" w:hAnsi="仿宋_GB2312" w:eastAsia="仿宋_GB2312" w:cs="仿宋_GB2312"/>
          <w:b w:val="0"/>
          <w:bCs w:val="0"/>
          <w:color w:val="auto"/>
          <w:spacing w:val="0"/>
          <w:kern w:val="21"/>
          <w:sz w:val="32"/>
          <w:szCs w:val="32"/>
          <w:u w:val="none" w:color="auto"/>
          <w:lang w:val="en-US" w:eastAsia="zh-CN" w:bidi="ar-SA"/>
        </w:rPr>
        <w:t>三管三必须</w:t>
      </w:r>
      <w:r>
        <w:rPr>
          <w:rFonts w:hint="eastAsia" w:ascii="仿宋_GB2312" w:hAnsi="仿宋_GB2312" w:cs="仿宋_GB2312"/>
          <w:b w:val="0"/>
          <w:bCs w:val="0"/>
          <w:color w:val="auto"/>
          <w:spacing w:val="0"/>
          <w:kern w:val="21"/>
          <w:sz w:val="32"/>
          <w:szCs w:val="32"/>
          <w:u w:val="none" w:color="auto"/>
          <w:lang w:val="en-US" w:eastAsia="zh-CN" w:bidi="ar-SA"/>
        </w:rPr>
        <w:t>”</w:t>
      </w:r>
      <w:r>
        <w:rPr>
          <w:rFonts w:hint="eastAsia" w:ascii="仿宋_GB2312" w:hAnsi="仿宋_GB2312" w:eastAsia="仿宋_GB2312" w:cs="仿宋_GB2312"/>
          <w:b w:val="0"/>
          <w:bCs w:val="0"/>
          <w:color w:val="auto"/>
          <w:spacing w:val="0"/>
          <w:kern w:val="21"/>
          <w:sz w:val="32"/>
          <w:szCs w:val="32"/>
          <w:u w:val="none" w:color="auto"/>
          <w:lang w:val="en-US" w:eastAsia="zh-CN" w:bidi="ar-SA"/>
        </w:rPr>
        <w:t>要求，以</w:t>
      </w:r>
      <w:r>
        <w:rPr>
          <w:rFonts w:hint="eastAsia" w:ascii="仿宋_GB2312" w:hAnsi="仿宋_GB2312" w:cs="仿宋_GB2312"/>
          <w:b w:val="0"/>
          <w:bCs w:val="0"/>
          <w:color w:val="auto"/>
          <w:spacing w:val="0"/>
          <w:kern w:val="21"/>
          <w:sz w:val="32"/>
          <w:szCs w:val="32"/>
          <w:u w:val="none" w:color="auto"/>
          <w:lang w:val="en-US" w:eastAsia="zh-CN" w:bidi="ar-SA"/>
        </w:rPr>
        <w:t>“</w:t>
      </w:r>
      <w:r>
        <w:rPr>
          <w:rFonts w:hint="eastAsia" w:ascii="仿宋_GB2312" w:hAnsi="仿宋_GB2312" w:eastAsia="仿宋_GB2312" w:cs="仿宋_GB2312"/>
          <w:b w:val="0"/>
          <w:bCs w:val="0"/>
          <w:color w:val="auto"/>
          <w:spacing w:val="0"/>
          <w:kern w:val="21"/>
          <w:sz w:val="32"/>
          <w:szCs w:val="32"/>
          <w:u w:val="none" w:color="auto"/>
          <w:lang w:val="en-US" w:eastAsia="zh-CN" w:bidi="ar-SA"/>
        </w:rPr>
        <w:t>一件事、全链条</w:t>
      </w:r>
      <w:r>
        <w:rPr>
          <w:rFonts w:hint="eastAsia" w:ascii="仿宋_GB2312" w:hAnsi="仿宋_GB2312" w:cs="仿宋_GB2312"/>
          <w:b w:val="0"/>
          <w:bCs w:val="0"/>
          <w:color w:val="auto"/>
          <w:spacing w:val="0"/>
          <w:kern w:val="21"/>
          <w:sz w:val="32"/>
          <w:szCs w:val="32"/>
          <w:u w:val="none" w:color="auto"/>
          <w:lang w:val="en-US" w:eastAsia="zh-CN" w:bidi="ar-SA"/>
        </w:rPr>
        <w:t>”</w:t>
      </w:r>
      <w:r>
        <w:rPr>
          <w:rFonts w:hint="eastAsia" w:ascii="仿宋_GB2312" w:hAnsi="仿宋_GB2312" w:eastAsia="仿宋_GB2312" w:cs="仿宋_GB2312"/>
          <w:b w:val="0"/>
          <w:bCs w:val="0"/>
          <w:color w:val="auto"/>
          <w:spacing w:val="0"/>
          <w:kern w:val="21"/>
          <w:sz w:val="32"/>
          <w:szCs w:val="32"/>
          <w:u w:val="none" w:color="auto"/>
          <w:lang w:val="en-US" w:eastAsia="zh-CN" w:bidi="ar-SA"/>
        </w:rPr>
        <w:t>的理念抓紧抓实安全生产。</w:t>
      </w:r>
      <w:r>
        <w:rPr>
          <w:rFonts w:hint="eastAsia" w:ascii="仿宋_GB2312" w:hAnsi="仿宋_GB2312" w:eastAsia="仿宋_GB2312" w:cs="仿宋_GB2312"/>
          <w:b w:val="0"/>
          <w:bCs w:val="0"/>
          <w:color w:val="auto"/>
          <w:spacing w:val="0"/>
          <w:kern w:val="21"/>
          <w:sz w:val="32"/>
          <w:szCs w:val="32"/>
          <w:u w:val="none" w:color="auto"/>
          <w:lang w:val="en-US" w:eastAsia="zh-CN"/>
        </w:rPr>
        <w:t>健全一体指挥调度抢险的灾害应急处理机制，强化人防、物防、技防、管理防相结合的预警防护，</w:t>
      </w:r>
      <w:r>
        <w:rPr>
          <w:rFonts w:hint="eastAsia" w:ascii="仿宋_GB2312" w:hAnsi="仿宋_GB2312" w:cs="Times New Roman"/>
          <w:bCs/>
          <w:color w:val="auto"/>
          <w:spacing w:val="0"/>
          <w:kern w:val="21"/>
          <w:sz w:val="32"/>
          <w:szCs w:val="32"/>
          <w:highlight w:val="none"/>
        </w:rPr>
        <w:t>坚决防范遏制重特大事故发生</w:t>
      </w:r>
      <w:r>
        <w:rPr>
          <w:rFonts w:hint="eastAsia" w:ascii="仿宋_GB2312" w:hAnsi="仿宋_GB2312" w:cs="Times New Roman"/>
          <w:bCs/>
          <w:color w:val="auto"/>
          <w:spacing w:val="0"/>
          <w:kern w:val="21"/>
          <w:sz w:val="32"/>
          <w:szCs w:val="32"/>
          <w:highlight w:val="none"/>
          <w:lang w:eastAsia="zh-CN"/>
        </w:rPr>
        <w:t>。</w:t>
      </w:r>
      <w:r>
        <w:rPr>
          <w:rFonts w:hint="eastAsia" w:ascii="仿宋_GB2312" w:hAnsi="仿宋_GB2312" w:cs="Times New Roman"/>
          <w:b w:val="0"/>
          <w:bCs/>
          <w:color w:val="auto"/>
          <w:spacing w:val="0"/>
          <w:kern w:val="21"/>
          <w:sz w:val="32"/>
          <w:szCs w:val="32"/>
          <w:highlight w:val="none"/>
        </w:rPr>
        <w:t>压紧压实党委、政府领导责任、属地管理责任、行业部门监管责任、企业主体责任</w:t>
      </w:r>
      <w:r>
        <w:rPr>
          <w:rFonts w:hint="eastAsia" w:ascii="仿宋_GB2312" w:hAnsi="仿宋_GB2312" w:cs="Times New Roman"/>
          <w:b w:val="0"/>
          <w:bCs/>
          <w:color w:val="auto"/>
          <w:spacing w:val="0"/>
          <w:kern w:val="21"/>
          <w:sz w:val="32"/>
          <w:szCs w:val="32"/>
          <w:highlight w:val="none"/>
          <w:lang w:eastAsia="zh-CN"/>
        </w:rPr>
        <w:t>，形成齐抓共管工作格局</w:t>
      </w:r>
      <w:r>
        <w:rPr>
          <w:rFonts w:hint="eastAsia" w:ascii="仿宋_GB2312" w:hAnsi="仿宋_GB2312" w:cs="Times New Roman"/>
          <w:b w:val="0"/>
          <w:bCs/>
          <w:color w:val="auto"/>
          <w:spacing w:val="0"/>
          <w:kern w:val="21"/>
          <w:sz w:val="32"/>
          <w:szCs w:val="32"/>
          <w:highlight w:val="none"/>
        </w:rPr>
        <w:t>。深化煤矿、危化、石油天然气开采、道路交通、建筑施工等行业安全生产治本攻坚，提升重要基础设施本质安全水平。</w:t>
      </w:r>
      <w:r>
        <w:rPr>
          <w:rFonts w:hint="eastAsia" w:ascii="仿宋_GB2312" w:hAnsi="仿宋_GB2312" w:eastAsia="仿宋_GB2312" w:cs="仿宋_GB2312"/>
          <w:b w:val="0"/>
          <w:bCs w:val="0"/>
          <w:color w:val="auto"/>
          <w:spacing w:val="0"/>
          <w:kern w:val="21"/>
          <w:sz w:val="32"/>
          <w:szCs w:val="32"/>
          <w:u w:val="none" w:color="auto"/>
          <w:lang w:val="en-US" w:eastAsia="zh-CN"/>
        </w:rPr>
        <w:t>加强气象、水文、地质灾害监测预报预警，</w:t>
      </w:r>
      <w:r>
        <w:rPr>
          <w:rFonts w:hint="eastAsia" w:ascii="仿宋_GB2312" w:hAnsi="仿宋_GB2312" w:cs="Times New Roman"/>
          <w:b w:val="0"/>
          <w:bCs/>
          <w:color w:val="auto"/>
          <w:spacing w:val="0"/>
          <w:kern w:val="21"/>
          <w:sz w:val="32"/>
          <w:szCs w:val="32"/>
          <w:highlight w:val="none"/>
          <w:lang w:val="en-US" w:eastAsia="zh-CN"/>
        </w:rPr>
        <w:t>推行安全风险分级管控和隐患排查治理双重预防机制，</w:t>
      </w:r>
      <w:r>
        <w:rPr>
          <w:rFonts w:hint="eastAsia" w:ascii="仿宋_GB2312" w:hAnsi="仿宋_GB2312" w:cs="Times New Roman"/>
          <w:b w:val="0"/>
          <w:bCs/>
          <w:color w:val="auto"/>
          <w:spacing w:val="0"/>
          <w:kern w:val="21"/>
          <w:sz w:val="32"/>
          <w:szCs w:val="32"/>
          <w:highlight w:val="none"/>
        </w:rPr>
        <w:t>规范执法检查，严厉打击违法违规行为。坚持关口前移、源头管控，严格安全生产准入</w:t>
      </w:r>
      <w:r>
        <w:rPr>
          <w:rFonts w:hint="eastAsia" w:ascii="仿宋_GB2312" w:hAnsi="仿宋_GB2312" w:cs="Times New Roman"/>
          <w:b w:val="0"/>
          <w:bCs/>
          <w:color w:val="auto"/>
          <w:spacing w:val="0"/>
          <w:kern w:val="21"/>
          <w:sz w:val="32"/>
          <w:szCs w:val="32"/>
          <w:highlight w:val="none"/>
          <w:lang w:val="en-US" w:eastAsia="zh-CN"/>
        </w:rPr>
        <w:t>标准</w:t>
      </w:r>
      <w:r>
        <w:rPr>
          <w:rFonts w:hint="eastAsia" w:ascii="仿宋_GB2312" w:hAnsi="仿宋_GB2312" w:cs="Times New Roman"/>
          <w:b w:val="0"/>
          <w:bCs/>
          <w:color w:val="auto"/>
          <w:spacing w:val="0"/>
          <w:kern w:val="21"/>
          <w:sz w:val="32"/>
          <w:szCs w:val="32"/>
          <w:highlight w:val="none"/>
        </w:rPr>
        <w:t>，严把重大项目“安全关”</w:t>
      </w:r>
      <w:r>
        <w:rPr>
          <w:rFonts w:hint="eastAsia" w:ascii="仿宋_GB2312" w:hAnsi="仿宋_GB2312" w:cs="Times New Roman"/>
          <w:b w:val="0"/>
          <w:bCs/>
          <w:color w:val="auto"/>
          <w:spacing w:val="0"/>
          <w:kern w:val="21"/>
          <w:sz w:val="32"/>
          <w:szCs w:val="32"/>
          <w:highlight w:val="none"/>
          <w:lang w:val="en-US" w:eastAsia="zh-CN"/>
        </w:rPr>
        <w:t>。</w:t>
      </w:r>
      <w:r>
        <w:rPr>
          <w:rFonts w:hint="eastAsia" w:ascii="仿宋_GB2312" w:hAnsi="仿宋_GB2312" w:eastAsia="仿宋_GB2312" w:cs="Times New Roman"/>
          <w:b w:val="0"/>
          <w:bCs/>
          <w:color w:val="auto"/>
          <w:spacing w:val="0"/>
          <w:kern w:val="21"/>
          <w:sz w:val="32"/>
          <w:szCs w:val="32"/>
          <w:highlight w:val="none"/>
          <w:lang w:val="en-US" w:eastAsia="zh-CN"/>
        </w:rPr>
        <w:t>完善安全生产隐患排查整改全链条闭环管理和责任倒查，</w:t>
      </w:r>
      <w:r>
        <w:rPr>
          <w:rFonts w:hint="eastAsia" w:ascii="仿宋_GB2312" w:hAnsi="仿宋_GB2312" w:cs="Times New Roman"/>
          <w:b w:val="0"/>
          <w:bCs/>
          <w:color w:val="auto"/>
          <w:spacing w:val="0"/>
          <w:kern w:val="21"/>
          <w:sz w:val="32"/>
          <w:szCs w:val="32"/>
          <w:highlight w:val="none"/>
        </w:rPr>
        <w:t>确保重大隐患动态清零。常态化开展安全宣传培训教育</w:t>
      </w:r>
      <w:r>
        <w:rPr>
          <w:rFonts w:hint="eastAsia" w:ascii="仿宋_GB2312" w:hAnsi="仿宋_GB2312" w:cs="Times New Roman"/>
          <w:b w:val="0"/>
          <w:bCs/>
          <w:color w:val="auto"/>
          <w:spacing w:val="0"/>
          <w:kern w:val="21"/>
          <w:sz w:val="32"/>
          <w:szCs w:val="32"/>
          <w:highlight w:val="none"/>
          <w:lang w:eastAsia="zh-CN"/>
        </w:rPr>
        <w:t>，普及安全知识，强化重点人群培训，提升全员安全意识和素养，营造全社会重视安全的良好氛围。</w:t>
      </w:r>
    </w:p>
    <w:p w14:paraId="2BBF4457">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eastAsia="仿宋_GB2312" w:cs="仿宋_GB2312"/>
          <w:b w:val="0"/>
          <w:bCs w:val="0"/>
          <w:color w:val="auto"/>
          <w:spacing w:val="0"/>
          <w:kern w:val="21"/>
          <w:sz w:val="32"/>
          <w:szCs w:val="32"/>
          <w:u w:val="none" w:color="auto"/>
          <w:lang w:val="en-US" w:eastAsia="zh-CN"/>
        </w:rPr>
      </w:pPr>
      <w:r>
        <w:rPr>
          <w:rFonts w:hint="eastAsia" w:ascii="楷体_GB2312" w:hAnsi="楷体_GB2312" w:eastAsia="楷体_GB2312" w:cs="楷体_GB2312"/>
          <w:b w:val="0"/>
          <w:bCs w:val="0"/>
          <w:color w:val="auto"/>
          <w:spacing w:val="0"/>
          <w:kern w:val="21"/>
          <w:sz w:val="32"/>
          <w:szCs w:val="32"/>
          <w:highlight w:val="none"/>
          <w:lang w:val="en-US" w:eastAsia="zh-CN"/>
        </w:rPr>
        <w:t>提升防灾减灾救灾能力。</w:t>
      </w:r>
      <w:r>
        <w:rPr>
          <w:rFonts w:hint="eastAsia" w:ascii="仿宋_GB2312" w:hAnsi="仿宋_GB2312" w:eastAsia="仿宋_GB2312" w:cs="Times New Roman"/>
          <w:b w:val="0"/>
          <w:bCs/>
          <w:color w:val="auto"/>
          <w:spacing w:val="0"/>
          <w:kern w:val="21"/>
          <w:sz w:val="32"/>
          <w:szCs w:val="32"/>
          <w:highlight w:val="none"/>
          <w:lang w:val="en-US" w:eastAsia="zh-CN"/>
        </w:rPr>
        <w:t>坚持预防为主、防抗救相结合</w:t>
      </w:r>
      <w:r>
        <w:rPr>
          <w:rFonts w:hint="eastAsia" w:ascii="仿宋_GB2312" w:hAnsi="仿宋_GB2312" w:cs="Times New Roman"/>
          <w:b w:val="0"/>
          <w:bCs/>
          <w:color w:val="auto"/>
          <w:spacing w:val="0"/>
          <w:kern w:val="21"/>
          <w:sz w:val="32"/>
          <w:szCs w:val="32"/>
          <w:highlight w:val="none"/>
          <w:lang w:val="en-US" w:eastAsia="zh-CN"/>
        </w:rPr>
        <w:t>，</w:t>
      </w:r>
      <w:r>
        <w:rPr>
          <w:rFonts w:hint="eastAsia" w:ascii="仿宋_GB2312" w:hAnsi="仿宋_GB2312" w:eastAsia="仿宋_GB2312" w:cs="Times New Roman"/>
          <w:b w:val="0"/>
          <w:bCs/>
          <w:color w:val="auto"/>
          <w:spacing w:val="0"/>
          <w:kern w:val="21"/>
          <w:sz w:val="32"/>
          <w:szCs w:val="32"/>
          <w:highlight w:val="none"/>
          <w:lang w:val="en-US" w:eastAsia="zh-CN"/>
        </w:rPr>
        <w:t>将防灾减灾要求贯穿规划、立项、建设、运行</w:t>
      </w:r>
      <w:r>
        <w:rPr>
          <w:rFonts w:hint="eastAsia" w:ascii="仿宋_GB2312" w:hAnsi="仿宋_GB2312" w:cs="Times New Roman"/>
          <w:b w:val="0"/>
          <w:bCs/>
          <w:color w:val="auto"/>
          <w:spacing w:val="0"/>
          <w:kern w:val="21"/>
          <w:sz w:val="32"/>
          <w:szCs w:val="32"/>
          <w:highlight w:val="none"/>
          <w:lang w:val="en-US" w:eastAsia="zh-CN"/>
        </w:rPr>
        <w:t>全链条</w:t>
      </w:r>
      <w:r>
        <w:rPr>
          <w:rFonts w:hint="eastAsia" w:ascii="仿宋_GB2312" w:hAnsi="仿宋_GB2312" w:eastAsia="仿宋_GB2312" w:cs="Times New Roman"/>
          <w:b w:val="0"/>
          <w:bCs/>
          <w:color w:val="auto"/>
          <w:spacing w:val="0"/>
          <w:kern w:val="21"/>
          <w:sz w:val="32"/>
          <w:szCs w:val="32"/>
          <w:highlight w:val="none"/>
          <w:lang w:val="en-US" w:eastAsia="zh-CN"/>
        </w:rPr>
        <w:t>各环节，</w:t>
      </w:r>
      <w:r>
        <w:rPr>
          <w:rFonts w:hint="eastAsia" w:ascii="仿宋_GB2312" w:hAnsi="仿宋_GB2312" w:cs="Times New Roman"/>
          <w:b w:val="0"/>
          <w:bCs/>
          <w:color w:val="auto"/>
          <w:spacing w:val="0"/>
          <w:kern w:val="21"/>
          <w:sz w:val="32"/>
          <w:szCs w:val="32"/>
          <w:highlight w:val="none"/>
          <w:lang w:val="en-US" w:eastAsia="zh-CN"/>
        </w:rPr>
        <w:t>构建</w:t>
      </w:r>
      <w:r>
        <w:rPr>
          <w:rFonts w:hint="eastAsia" w:ascii="仿宋_GB2312" w:hAnsi="仿宋_GB2312" w:eastAsia="仿宋_GB2312" w:cs="Times New Roman"/>
          <w:b w:val="0"/>
          <w:bCs/>
          <w:color w:val="auto"/>
          <w:spacing w:val="0"/>
          <w:kern w:val="21"/>
          <w:sz w:val="32"/>
          <w:szCs w:val="32"/>
          <w:highlight w:val="none"/>
          <w:lang w:val="en-US" w:eastAsia="zh-CN"/>
        </w:rPr>
        <w:t>高效科学的自然灾害防治体系。</w:t>
      </w:r>
      <w:r>
        <w:rPr>
          <w:rFonts w:hint="eastAsia" w:ascii="仿宋_GB2312" w:hAnsi="仿宋_GB2312" w:cs="仿宋_GB2312"/>
          <w:b w:val="0"/>
          <w:bCs w:val="0"/>
          <w:color w:val="auto"/>
          <w:spacing w:val="0"/>
          <w:kern w:val="21"/>
          <w:sz w:val="32"/>
          <w:szCs w:val="32"/>
          <w:highlight w:val="none"/>
          <w:lang w:val="en-US" w:eastAsia="zh-CN"/>
        </w:rPr>
        <w:t>结合延安黄土高原丘陵沟壑区地貌特征，聚焦“雨带北移”背景下</w:t>
      </w:r>
      <w:r>
        <w:rPr>
          <w:rFonts w:hint="eastAsia" w:ascii="仿宋_GB2312" w:hAnsi="仿宋_GB2312" w:eastAsia="仿宋_GB2312" w:cs="仿宋_GB2312"/>
          <w:b w:val="0"/>
          <w:bCs w:val="0"/>
          <w:color w:val="auto"/>
          <w:spacing w:val="0"/>
          <w:kern w:val="21"/>
          <w:sz w:val="32"/>
          <w:szCs w:val="32"/>
          <w:highlight w:val="none"/>
          <w:lang w:val="en-US" w:eastAsia="zh-CN"/>
        </w:rPr>
        <w:t>洪涝、</w:t>
      </w:r>
      <w:r>
        <w:rPr>
          <w:rFonts w:hint="eastAsia" w:ascii="仿宋_GB2312" w:hAnsi="仿宋_GB2312" w:cs="仿宋_GB2312"/>
          <w:b w:val="0"/>
          <w:bCs w:val="0"/>
          <w:color w:val="auto"/>
          <w:spacing w:val="0"/>
          <w:kern w:val="21"/>
          <w:sz w:val="32"/>
          <w:szCs w:val="32"/>
          <w:highlight w:val="none"/>
          <w:lang w:val="en-US" w:eastAsia="zh-CN"/>
        </w:rPr>
        <w:t>风雹、</w:t>
      </w:r>
      <w:r>
        <w:rPr>
          <w:rFonts w:hint="eastAsia" w:ascii="仿宋_GB2312" w:hAnsi="仿宋_GB2312" w:eastAsia="仿宋_GB2312" w:cs="仿宋_GB2312"/>
          <w:b w:val="0"/>
          <w:bCs w:val="0"/>
          <w:color w:val="auto"/>
          <w:spacing w:val="0"/>
          <w:kern w:val="21"/>
          <w:sz w:val="32"/>
          <w:szCs w:val="32"/>
          <w:highlight w:val="none"/>
          <w:lang w:val="en-US" w:eastAsia="zh-CN"/>
        </w:rPr>
        <w:t>地质灾害及</w:t>
      </w:r>
      <w:r>
        <w:rPr>
          <w:rFonts w:hint="eastAsia" w:ascii="仿宋_GB2312" w:hAnsi="仿宋_GB2312" w:cs="仿宋_GB2312"/>
          <w:b w:val="0"/>
          <w:bCs w:val="0"/>
          <w:color w:val="auto"/>
          <w:spacing w:val="0"/>
          <w:kern w:val="21"/>
          <w:sz w:val="32"/>
          <w:szCs w:val="32"/>
          <w:highlight w:val="none"/>
          <w:lang w:val="en-US" w:eastAsia="zh-CN"/>
        </w:rPr>
        <w:t>防震减灾</w:t>
      </w:r>
      <w:r>
        <w:rPr>
          <w:rFonts w:hint="eastAsia" w:ascii="仿宋_GB2312" w:hAnsi="仿宋_GB2312" w:eastAsia="仿宋_GB2312" w:cs="仿宋_GB2312"/>
          <w:b w:val="0"/>
          <w:bCs w:val="0"/>
          <w:color w:val="auto"/>
          <w:spacing w:val="0"/>
          <w:kern w:val="21"/>
          <w:sz w:val="32"/>
          <w:szCs w:val="32"/>
          <w:highlight w:val="none"/>
          <w:lang w:val="en-US" w:eastAsia="zh-CN"/>
        </w:rPr>
        <w:t>重点</w:t>
      </w:r>
      <w:r>
        <w:rPr>
          <w:rFonts w:hint="eastAsia" w:ascii="仿宋_GB2312" w:hAnsi="仿宋_GB2312" w:cs="仿宋_GB2312"/>
          <w:b w:val="0"/>
          <w:bCs w:val="0"/>
          <w:color w:val="auto"/>
          <w:spacing w:val="0"/>
          <w:kern w:val="21"/>
          <w:sz w:val="32"/>
          <w:szCs w:val="32"/>
          <w:highlight w:val="none"/>
          <w:lang w:val="en-US" w:eastAsia="zh-CN"/>
        </w:rPr>
        <w:t>领域</w:t>
      </w:r>
      <w:r>
        <w:rPr>
          <w:rFonts w:hint="eastAsia" w:ascii="仿宋_GB2312" w:hAnsi="仿宋_GB2312" w:eastAsia="仿宋_GB2312" w:cs="仿宋_GB2312"/>
          <w:b w:val="0"/>
          <w:bCs w:val="0"/>
          <w:color w:val="auto"/>
          <w:spacing w:val="0"/>
          <w:kern w:val="21"/>
          <w:sz w:val="32"/>
          <w:szCs w:val="32"/>
          <w:highlight w:val="none"/>
          <w:lang w:val="en-US" w:eastAsia="zh-CN"/>
        </w:rPr>
        <w:t>，统筹推进自然灾害综合防控能力建设。</w:t>
      </w:r>
      <w:r>
        <w:rPr>
          <w:rFonts w:hint="eastAsia" w:ascii="仿宋_GB2312" w:hAnsi="仿宋_GB2312" w:cs="仿宋_GB2312"/>
          <w:color w:val="auto"/>
          <w:spacing w:val="0"/>
          <w:kern w:val="21"/>
          <w:sz w:val="32"/>
          <w:szCs w:val="32"/>
          <w:highlight w:val="none"/>
        </w:rPr>
        <w:t>扎实做好综合巨灾保险试点工作。</w:t>
      </w:r>
      <w:r>
        <w:rPr>
          <w:rFonts w:hint="eastAsia" w:ascii="仿宋_GB2312" w:hAnsi="仿宋_GB2312" w:eastAsia="仿宋_GB2312" w:cs="仿宋_GB2312"/>
          <w:b w:val="0"/>
          <w:bCs w:val="0"/>
          <w:color w:val="auto"/>
          <w:spacing w:val="0"/>
          <w:kern w:val="21"/>
          <w:sz w:val="32"/>
          <w:szCs w:val="32"/>
          <w:highlight w:val="none"/>
          <w:lang w:val="en-US" w:eastAsia="zh-CN"/>
        </w:rPr>
        <w:t>健全完善灾害防治体制机制，强化人员队伍保障与基层应急能力建设，推进一体化应急指挥中心建设，</w:t>
      </w:r>
      <w:r>
        <w:rPr>
          <w:rFonts w:hint="eastAsia" w:ascii="仿宋_GB2312" w:hAnsi="仿宋_GB2312" w:eastAsia="仿宋_GB2312" w:cs="仿宋_GB2312"/>
          <w:b w:val="0"/>
          <w:bCs w:val="0"/>
          <w:color w:val="auto"/>
          <w:spacing w:val="0"/>
          <w:kern w:val="21"/>
          <w:sz w:val="32"/>
          <w:szCs w:val="32"/>
          <w:u w:val="none" w:color="auto"/>
          <w:lang w:val="en-US" w:eastAsia="zh-CN"/>
        </w:rPr>
        <w:t>优化应急物资多元储备与紧急调配机制，</w:t>
      </w:r>
      <w:r>
        <w:rPr>
          <w:rFonts w:hint="eastAsia" w:ascii="仿宋_GB2312" w:hAnsi="仿宋_GB2312" w:eastAsia="仿宋_GB2312" w:cs="仿宋_GB2312"/>
          <w:b w:val="0"/>
          <w:bCs w:val="0"/>
          <w:color w:val="auto"/>
          <w:spacing w:val="0"/>
          <w:kern w:val="21"/>
          <w:sz w:val="32"/>
          <w:szCs w:val="32"/>
          <w:highlight w:val="none"/>
          <w:lang w:val="en-US" w:eastAsia="zh-CN"/>
        </w:rPr>
        <w:t>提升自然灾害救助效能，增强防灾减灾救灾处置保障能力。</w:t>
      </w:r>
      <w:r>
        <w:rPr>
          <w:rFonts w:hint="eastAsia" w:ascii="仿宋_GB2312" w:hAnsi="仿宋_GB2312" w:eastAsia="仿宋_GB2312" w:cs="仿宋_GB2312"/>
          <w:b w:val="0"/>
          <w:bCs w:val="0"/>
          <w:color w:val="auto"/>
          <w:spacing w:val="0"/>
          <w:kern w:val="21"/>
          <w:sz w:val="32"/>
          <w:szCs w:val="32"/>
          <w:u w:val="none" w:color="auto"/>
          <w:lang w:val="en-US" w:eastAsia="zh-CN"/>
        </w:rPr>
        <w:t>加强预案体系管理</w:t>
      </w:r>
      <w:r>
        <w:rPr>
          <w:rFonts w:hint="eastAsia" w:ascii="仿宋_GB2312" w:hAnsi="仿宋_GB2312" w:cs="仿宋_GB2312"/>
          <w:b w:val="0"/>
          <w:bCs w:val="0"/>
          <w:color w:val="auto"/>
          <w:spacing w:val="0"/>
          <w:kern w:val="21"/>
          <w:sz w:val="32"/>
          <w:szCs w:val="32"/>
          <w:u w:val="none" w:color="auto"/>
          <w:lang w:val="en-US" w:eastAsia="zh-CN"/>
        </w:rPr>
        <w:t>与</w:t>
      </w:r>
      <w:r>
        <w:rPr>
          <w:rFonts w:hint="eastAsia" w:ascii="仿宋_GB2312" w:hAnsi="仿宋_GB2312" w:eastAsia="仿宋_GB2312" w:cs="仿宋_GB2312"/>
          <w:b w:val="0"/>
          <w:bCs w:val="0"/>
          <w:color w:val="auto"/>
          <w:spacing w:val="0"/>
          <w:kern w:val="21"/>
          <w:sz w:val="32"/>
          <w:szCs w:val="32"/>
          <w:u w:val="none" w:color="auto"/>
          <w:lang w:val="en-US" w:eastAsia="zh-CN"/>
        </w:rPr>
        <w:t>实战演练，完善预警“叫应”闭环机制，广泛开展社会公众防灾避险宣传教育，抓好重点岗位、关键人员安全教育培训，全面提升全民防灾减灾意识和应急避险能力。</w:t>
      </w:r>
    </w:p>
    <w:p w14:paraId="724E7541">
      <w:pPr>
        <w:keepNext w:val="0"/>
        <w:keepLines w:val="0"/>
        <w:pageBreakBefore w:val="0"/>
        <w:widowControl w:val="0"/>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cs="Times New Roman"/>
          <w:b w:val="0"/>
          <w:bCs/>
          <w:color w:val="auto"/>
          <w:spacing w:val="0"/>
          <w:kern w:val="21"/>
          <w:sz w:val="32"/>
          <w:szCs w:val="32"/>
          <w:highlight w:val="none"/>
          <w:lang w:eastAsia="zh-CN"/>
        </w:rPr>
      </w:pPr>
      <w:r>
        <w:rPr>
          <w:rFonts w:hint="eastAsia" w:ascii="楷体_GB2312" w:hAnsi="楷体_GB2312" w:eastAsia="楷体_GB2312" w:cs="楷体_GB2312"/>
          <w:b w:val="0"/>
          <w:bCs w:val="0"/>
          <w:color w:val="auto"/>
          <w:spacing w:val="0"/>
          <w:kern w:val="21"/>
          <w:sz w:val="32"/>
          <w:szCs w:val="32"/>
          <w:highlight w:val="none"/>
          <w:lang w:val="en-US" w:eastAsia="zh-CN"/>
        </w:rPr>
        <w:t>加强食品药品安全监管。</w:t>
      </w:r>
      <w:r>
        <w:rPr>
          <w:rFonts w:hint="eastAsia" w:ascii="仿宋_GB2312" w:hAnsi="仿宋_GB2312" w:cs="Times New Roman"/>
          <w:b w:val="0"/>
          <w:bCs/>
          <w:color w:val="auto"/>
          <w:spacing w:val="0"/>
          <w:kern w:val="21"/>
          <w:sz w:val="32"/>
          <w:szCs w:val="32"/>
          <w:highlight w:val="none"/>
        </w:rPr>
        <w:t>落实“四个最严”要求，完善食品安全责任体系，</w:t>
      </w:r>
      <w:r>
        <w:rPr>
          <w:rFonts w:hint="eastAsia" w:ascii="仿宋_GB2312" w:hAnsi="仿宋_GB2312" w:cs="Times New Roman"/>
          <w:b w:val="0"/>
          <w:bCs/>
          <w:color w:val="auto"/>
          <w:spacing w:val="0"/>
          <w:kern w:val="21"/>
          <w:sz w:val="32"/>
          <w:szCs w:val="32"/>
          <w:highlight w:val="none"/>
          <w:lang w:val="en-US" w:eastAsia="zh-CN"/>
        </w:rPr>
        <w:t>加强</w:t>
      </w:r>
      <w:r>
        <w:rPr>
          <w:rFonts w:hint="eastAsia" w:ascii="仿宋_GB2312" w:hAnsi="仿宋_GB2312" w:cs="Times New Roman"/>
          <w:b w:val="0"/>
          <w:bCs/>
          <w:color w:val="auto"/>
          <w:spacing w:val="0"/>
          <w:kern w:val="21"/>
          <w:sz w:val="32"/>
          <w:szCs w:val="32"/>
          <w:highlight w:val="none"/>
        </w:rPr>
        <w:t>食品药品全链条监管</w:t>
      </w:r>
      <w:r>
        <w:rPr>
          <w:rFonts w:hint="eastAsia" w:ascii="仿宋_GB2312" w:hAnsi="仿宋_GB2312" w:cs="Times New Roman"/>
          <w:b w:val="0"/>
          <w:bCs/>
          <w:color w:val="auto"/>
          <w:spacing w:val="0"/>
          <w:kern w:val="21"/>
          <w:sz w:val="32"/>
          <w:szCs w:val="32"/>
          <w:highlight w:val="none"/>
          <w:lang w:eastAsia="zh-CN"/>
        </w:rPr>
        <w:t>，</w:t>
      </w:r>
      <w:r>
        <w:rPr>
          <w:rFonts w:hint="eastAsia" w:ascii="仿宋_GB2312" w:hAnsi="仿宋_GB2312" w:cs="Times New Roman"/>
          <w:b w:val="0"/>
          <w:bCs/>
          <w:color w:val="auto"/>
          <w:spacing w:val="0"/>
          <w:kern w:val="21"/>
          <w:sz w:val="32"/>
          <w:szCs w:val="32"/>
          <w:highlight w:val="none"/>
        </w:rPr>
        <w:t>推进食品药品监管能力和监管体系现代化</w:t>
      </w:r>
      <w:r>
        <w:rPr>
          <w:rFonts w:hint="eastAsia" w:ascii="仿宋_GB2312" w:hAnsi="仿宋_GB2312" w:cs="Times New Roman"/>
          <w:b w:val="0"/>
          <w:bCs/>
          <w:color w:val="auto"/>
          <w:spacing w:val="0"/>
          <w:kern w:val="21"/>
          <w:sz w:val="32"/>
          <w:szCs w:val="32"/>
          <w:highlight w:val="none"/>
          <w:lang w:eastAsia="zh-CN"/>
        </w:rPr>
        <w:t>，</w:t>
      </w:r>
      <w:r>
        <w:rPr>
          <w:rFonts w:hint="eastAsia" w:ascii="仿宋_GB2312" w:hAnsi="仿宋_GB2312" w:eastAsia="仿宋_GB2312" w:cs="仿宋_GB2312"/>
          <w:b w:val="0"/>
          <w:bCs w:val="0"/>
          <w:color w:val="auto"/>
          <w:spacing w:val="0"/>
          <w:kern w:val="21"/>
          <w:sz w:val="32"/>
          <w:szCs w:val="32"/>
          <w:u w:val="none" w:color="auto"/>
          <w:lang w:eastAsia="zh-CN"/>
        </w:rPr>
        <w:t>保障人民群众饮食用药安全</w:t>
      </w:r>
      <w:r>
        <w:rPr>
          <w:rFonts w:hint="eastAsia" w:ascii="仿宋_GB2312" w:hAnsi="仿宋_GB2312" w:cs="Times New Roman"/>
          <w:b w:val="0"/>
          <w:bCs/>
          <w:color w:val="auto"/>
          <w:spacing w:val="0"/>
          <w:kern w:val="21"/>
          <w:sz w:val="32"/>
          <w:szCs w:val="32"/>
          <w:highlight w:val="none"/>
        </w:rPr>
        <w:t>。持续深化“校园餐”问题专项整治，加强平台外卖、直播带货等新业态食品安全监管，强化预制菜生产许可管理和质量监督检查，深入开展农村假冒伪劣食品专项整治，强化疫苗、血液制品、医疗美容产品等重点医药产品监管，依法严厉打击食药领域违法犯罪行为。强化食品安全风险监测，推进食品药品安全风险分级管控，加强线上线下一体化监管，提升食品药品安全风险防控能力</w:t>
      </w:r>
      <w:r>
        <w:rPr>
          <w:rFonts w:hint="eastAsia" w:ascii="仿宋_GB2312" w:hAnsi="仿宋_GB2312" w:cs="Times New Roman"/>
          <w:b w:val="0"/>
          <w:bCs/>
          <w:color w:val="auto"/>
          <w:spacing w:val="0"/>
          <w:kern w:val="21"/>
          <w:sz w:val="32"/>
          <w:szCs w:val="32"/>
          <w:highlight w:val="none"/>
          <w:lang w:eastAsia="zh-CN"/>
        </w:rPr>
        <w:t>。</w:t>
      </w:r>
    </w:p>
    <w:p w14:paraId="30642820">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b w:val="0"/>
          <w:bCs w:val="0"/>
          <w:color w:val="auto"/>
          <w:spacing w:val="0"/>
          <w:kern w:val="21"/>
          <w:sz w:val="32"/>
          <w:szCs w:val="32"/>
          <w:highlight w:val="none"/>
          <w:lang w:eastAsia="zh-CN"/>
        </w:rPr>
      </w:pPr>
      <w:r>
        <w:rPr>
          <w:rFonts w:hint="eastAsia" w:ascii="楷体_GB2312" w:hAnsi="楷体_GB2312" w:eastAsia="楷体_GB2312" w:cs="楷体_GB2312"/>
          <w:b w:val="0"/>
          <w:bCs w:val="0"/>
          <w:color w:val="auto"/>
          <w:spacing w:val="0"/>
          <w:kern w:val="21"/>
          <w:sz w:val="32"/>
          <w:szCs w:val="32"/>
          <w:highlight w:val="none"/>
          <w:lang w:val="en-US" w:eastAsia="zh-CN"/>
        </w:rPr>
        <w:t>加强社会治安整体防控。</w:t>
      </w:r>
      <w:r>
        <w:rPr>
          <w:rFonts w:hint="eastAsia" w:ascii="仿宋_GB2312" w:hAnsi="仿宋_GB2312" w:eastAsia="仿宋_GB2312" w:cs="仿宋_GB2312"/>
          <w:b w:val="0"/>
          <w:bCs w:val="0"/>
          <w:color w:val="auto"/>
          <w:spacing w:val="0"/>
          <w:kern w:val="21"/>
          <w:sz w:val="32"/>
          <w:szCs w:val="32"/>
          <w:highlight w:val="none"/>
          <w:lang w:val="en-US" w:eastAsia="zh-CN"/>
        </w:rPr>
        <w:t>深化社会治安整体</w:t>
      </w:r>
      <w:r>
        <w:rPr>
          <w:rFonts w:hint="eastAsia" w:ascii="仿宋_GB2312" w:hAnsi="仿宋_GB2312" w:cs="仿宋_GB2312"/>
          <w:b w:val="0"/>
          <w:bCs w:val="0"/>
          <w:color w:val="auto"/>
          <w:spacing w:val="0"/>
          <w:kern w:val="21"/>
          <w:sz w:val="32"/>
          <w:szCs w:val="32"/>
          <w:highlight w:val="none"/>
          <w:lang w:val="en-US" w:eastAsia="zh-CN"/>
        </w:rPr>
        <w:t>防控</w:t>
      </w:r>
      <w:r>
        <w:rPr>
          <w:rFonts w:hint="eastAsia" w:ascii="仿宋_GB2312" w:hAnsi="仿宋_GB2312" w:eastAsia="仿宋_GB2312" w:cs="仿宋_GB2312"/>
          <w:b w:val="0"/>
          <w:bCs w:val="0"/>
          <w:color w:val="auto"/>
          <w:spacing w:val="0"/>
          <w:kern w:val="21"/>
          <w:sz w:val="32"/>
          <w:szCs w:val="32"/>
          <w:highlight w:val="none"/>
          <w:lang w:val="en-US" w:eastAsia="zh-CN"/>
        </w:rPr>
        <w:t>体系和能力建设，</w:t>
      </w:r>
      <w:r>
        <w:rPr>
          <w:rFonts w:hint="eastAsia" w:ascii="仿宋_GB2312" w:hAnsi="仿宋_GB2312" w:cs="仿宋_GB2312"/>
          <w:b w:val="0"/>
          <w:bCs w:val="0"/>
          <w:color w:val="auto"/>
          <w:spacing w:val="0"/>
          <w:kern w:val="21"/>
          <w:sz w:val="32"/>
          <w:szCs w:val="32"/>
          <w:highlight w:val="none"/>
          <w:lang w:val="en-US" w:eastAsia="zh-CN"/>
        </w:rPr>
        <w:t>健全社会稳定风险分析研判、评估、排查化解、防控协同和影响社会稳定案事件应急处置机制。</w:t>
      </w:r>
      <w:r>
        <w:rPr>
          <w:rFonts w:hint="eastAsia" w:ascii="仿宋_GB2312" w:hAnsi="仿宋_GB2312" w:eastAsia="仿宋_GB2312" w:cs="仿宋_GB2312"/>
          <w:b w:val="0"/>
          <w:bCs w:val="0"/>
          <w:color w:val="auto"/>
          <w:spacing w:val="0"/>
          <w:kern w:val="21"/>
          <w:sz w:val="32"/>
          <w:szCs w:val="32"/>
          <w:u w:val="none" w:color="auto"/>
          <w:lang w:val="en-US" w:eastAsia="zh-CN"/>
        </w:rPr>
        <w:t>建好用好综治中心</w:t>
      </w:r>
      <w:r>
        <w:rPr>
          <w:rFonts w:hint="eastAsia" w:ascii="仿宋_GB2312" w:hAnsi="仿宋_GB2312" w:cs="仿宋_GB2312"/>
          <w:b w:val="0"/>
          <w:bCs w:val="0"/>
          <w:color w:val="auto"/>
          <w:spacing w:val="0"/>
          <w:kern w:val="21"/>
          <w:sz w:val="32"/>
          <w:szCs w:val="32"/>
          <w:u w:val="none" w:color="auto"/>
          <w:lang w:val="en-US" w:eastAsia="zh-CN"/>
        </w:rPr>
        <w:t>，优化“雪亮工程”感知体系，加强智慧安防小区建设，推动大型群众性活动安全管理工作标准化、市场化。</w:t>
      </w:r>
      <w:r>
        <w:rPr>
          <w:rFonts w:hint="eastAsia" w:ascii="仿宋_GB2312" w:hAnsi="仿宋_GB2312"/>
          <w:b w:val="0"/>
          <w:bCs w:val="0"/>
          <w:color w:val="auto"/>
          <w:spacing w:val="0"/>
          <w:kern w:val="21"/>
          <w:sz w:val="32"/>
          <w:szCs w:val="32"/>
          <w:highlight w:val="none"/>
          <w:lang w:eastAsia="zh-CN"/>
        </w:rPr>
        <w:t>系统实施</w:t>
      </w:r>
      <w:r>
        <w:rPr>
          <w:rFonts w:hint="eastAsia" w:ascii="仿宋_GB2312" w:hAnsi="仿宋_GB2312"/>
          <w:b w:val="0"/>
          <w:bCs w:val="0"/>
          <w:color w:val="auto"/>
          <w:spacing w:val="0"/>
          <w:kern w:val="21"/>
          <w:sz w:val="32"/>
          <w:szCs w:val="32"/>
          <w:highlight w:val="none"/>
          <w:lang w:val="en-US" w:eastAsia="zh-CN"/>
        </w:rPr>
        <w:t>基层公安</w:t>
      </w:r>
      <w:r>
        <w:rPr>
          <w:rFonts w:hint="eastAsia" w:ascii="仿宋_GB2312" w:hAnsi="仿宋_GB2312"/>
          <w:b w:val="0"/>
          <w:bCs w:val="0"/>
          <w:color w:val="auto"/>
          <w:spacing w:val="0"/>
          <w:kern w:val="21"/>
          <w:sz w:val="32"/>
          <w:szCs w:val="32"/>
          <w:highlight w:val="none"/>
          <w:lang w:eastAsia="zh-CN"/>
        </w:rPr>
        <w:t>“百所示范、千所提升”工程，强化科技兴警，全面建设“专业＋机制＋大数据”的新型警务运行模式，建立健全现代警务装备体系，推进执法执勤装备的现代化、标准化、智能化升级。</w:t>
      </w:r>
      <w:r>
        <w:rPr>
          <w:rFonts w:hint="eastAsia" w:ascii="仿宋_GB2312" w:hAnsi="仿宋_GB2312" w:eastAsia="仿宋_GB2312" w:cs="仿宋_GB2312"/>
          <w:b w:val="0"/>
          <w:bCs w:val="0"/>
          <w:color w:val="auto"/>
          <w:spacing w:val="0"/>
          <w:kern w:val="21"/>
          <w:sz w:val="32"/>
          <w:szCs w:val="32"/>
          <w:u w:val="none" w:color="auto"/>
          <w:lang w:val="en-US" w:eastAsia="zh-CN"/>
        </w:rPr>
        <w:t>健全扫黑除恶常态化机制，依法严厉打击群众反映强烈的违法犯罪活动。强化未成年</w:t>
      </w:r>
      <w:r>
        <w:rPr>
          <w:rFonts w:hint="eastAsia" w:ascii="仿宋_GB2312" w:hAnsi="仿宋_GB2312" w:cs="仿宋_GB2312"/>
          <w:b w:val="0"/>
          <w:bCs w:val="0"/>
          <w:color w:val="auto"/>
          <w:spacing w:val="0"/>
          <w:kern w:val="21"/>
          <w:sz w:val="32"/>
          <w:szCs w:val="32"/>
          <w:u w:val="none" w:color="auto"/>
          <w:lang w:val="en-US" w:eastAsia="zh-CN"/>
        </w:rPr>
        <w:t>人</w:t>
      </w:r>
      <w:r>
        <w:rPr>
          <w:rFonts w:hint="eastAsia" w:ascii="仿宋_GB2312" w:hAnsi="仿宋_GB2312" w:eastAsia="仿宋_GB2312" w:cs="仿宋_GB2312"/>
          <w:b w:val="0"/>
          <w:bCs w:val="0"/>
          <w:color w:val="auto"/>
          <w:spacing w:val="0"/>
          <w:kern w:val="21"/>
          <w:sz w:val="32"/>
          <w:szCs w:val="32"/>
          <w:u w:val="none" w:color="auto"/>
          <w:lang w:val="en-US" w:eastAsia="zh-CN"/>
        </w:rPr>
        <w:t>违法犯罪预防和治理，</w:t>
      </w:r>
      <w:r>
        <w:rPr>
          <w:rFonts w:hint="eastAsia" w:ascii="仿宋_GB2312" w:hAnsi="仿宋_GB2312"/>
          <w:b w:val="0"/>
          <w:bCs w:val="0"/>
          <w:color w:val="auto"/>
          <w:spacing w:val="0"/>
          <w:kern w:val="21"/>
          <w:sz w:val="32"/>
          <w:szCs w:val="32"/>
          <w:highlight w:val="none"/>
          <w:lang w:eastAsia="zh-CN"/>
        </w:rPr>
        <w:t>完善校园安全防范措施。</w:t>
      </w:r>
      <w:r>
        <w:rPr>
          <w:rFonts w:hint="eastAsia" w:ascii="仿宋_GB2312" w:hAnsi="仿宋_GB2312"/>
          <w:b w:val="0"/>
          <w:bCs w:val="0"/>
          <w:color w:val="auto"/>
          <w:spacing w:val="0"/>
          <w:kern w:val="21"/>
          <w:sz w:val="32"/>
          <w:szCs w:val="32"/>
          <w:highlight w:val="none"/>
        </w:rPr>
        <w:t>加强精神障碍患者服务管理，健全源头防范机制，完善政府、社会、家庭三位一体的服务管理体系</w:t>
      </w:r>
      <w:r>
        <w:rPr>
          <w:rFonts w:hint="eastAsia" w:ascii="仿宋_GB2312" w:hAnsi="仿宋_GB2312"/>
          <w:b w:val="0"/>
          <w:bCs w:val="0"/>
          <w:color w:val="auto"/>
          <w:spacing w:val="0"/>
          <w:kern w:val="21"/>
          <w:sz w:val="32"/>
          <w:szCs w:val="32"/>
          <w:highlight w:val="none"/>
          <w:lang w:eastAsia="zh-CN"/>
        </w:rPr>
        <w:t>。</w:t>
      </w:r>
    </w:p>
    <w:p w14:paraId="7BA7E791">
      <w:pPr>
        <w:keepNext w:val="0"/>
        <w:keepLines w:val="0"/>
        <w:pageBreakBefore w:val="0"/>
        <w:widowControl w:val="0"/>
        <w:kinsoku/>
        <w:wordWrap/>
        <w:overflowPunct w:val="0"/>
        <w:topLinePunct w:val="0"/>
        <w:autoSpaceDE/>
        <w:autoSpaceDN/>
        <w:bidi w:val="0"/>
        <w:adjustRightInd/>
        <w:snapToGrid/>
        <w:spacing w:afterAutospacing="0" w:line="579" w:lineRule="exact"/>
        <w:ind w:left="0"/>
        <w:textAlignment w:val="auto"/>
        <w:rPr>
          <w:rFonts w:hint="eastAsia" w:ascii="仿宋_GB2312" w:hAnsi="仿宋_GB2312"/>
          <w:color w:val="auto"/>
          <w:spacing w:val="0"/>
          <w:kern w:val="21"/>
          <w:sz w:val="32"/>
          <w:szCs w:val="32"/>
          <w:highlight w:val="none"/>
          <w:lang w:eastAsia="zh-CN"/>
        </w:rPr>
      </w:pPr>
      <w:r>
        <w:rPr>
          <w:rFonts w:hint="eastAsia" w:ascii="楷体_GB2312" w:hAnsi="楷体_GB2312" w:eastAsia="楷体_GB2312" w:cs="楷体_GB2312"/>
          <w:color w:val="auto"/>
          <w:spacing w:val="0"/>
          <w:kern w:val="21"/>
          <w:sz w:val="32"/>
          <w:szCs w:val="32"/>
          <w:highlight w:val="none"/>
          <w:lang w:eastAsia="zh-CN"/>
        </w:rPr>
        <w:t>推进消防安全治理体系和能力现代化。</w:t>
      </w:r>
      <w:r>
        <w:rPr>
          <w:rFonts w:hint="eastAsia" w:ascii="仿宋_GB2312" w:hAnsi="仿宋_GB2312"/>
          <w:color w:val="auto"/>
          <w:spacing w:val="0"/>
          <w:kern w:val="21"/>
          <w:sz w:val="32"/>
          <w:szCs w:val="32"/>
          <w:highlight w:val="none"/>
          <w:lang w:eastAsia="zh-CN"/>
        </w:rPr>
        <w:t>坚持预防为主、防消结合，严格落实消防安全责任制，推动消防治理模式向事前预防转型。聚焦革命旧址保护、能源化工园区、老旧小区、高层建筑等重点领域，持续开展火灾风险隐患排查整治，推进消防基础设施补短板工程。优化城乡消防安全布局，加快特勤消防站、化工园区消防站及城乡结合部小型消防站建设。加强“智慧消防”建设，提升风险监测预警和应急救援智能化水平。健全基层消防治理体系，培育消防志愿者队伍，提升全民消防安全素质，构建共建共治共享的消防工作格局。</w:t>
      </w:r>
    </w:p>
    <w:bookmarkEnd w:id="162"/>
    <w:p w14:paraId="36B78DF0">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bookmarkStart w:id="163" w:name="_Toc5233"/>
      <w:bookmarkStart w:id="164" w:name="_Toc28650"/>
      <w:bookmarkStart w:id="165" w:name="_Toc7983"/>
    </w:p>
    <w:p w14:paraId="0E7549F4">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r>
        <w:rPr>
          <w:rFonts w:hint="eastAsia"/>
          <w:color w:val="auto"/>
          <w:spacing w:val="0"/>
          <w:kern w:val="21"/>
          <w:sz w:val="32"/>
          <w:szCs w:val="32"/>
        </w:rPr>
        <w:t>第四十</w:t>
      </w:r>
      <w:r>
        <w:rPr>
          <w:rFonts w:hint="eastAsia"/>
          <w:color w:val="auto"/>
          <w:spacing w:val="0"/>
          <w:kern w:val="21"/>
          <w:sz w:val="32"/>
          <w:szCs w:val="32"/>
          <w:lang w:val="en-US" w:eastAsia="zh-CN"/>
        </w:rPr>
        <w:t>四</w:t>
      </w:r>
      <w:r>
        <w:rPr>
          <w:rFonts w:hint="eastAsia"/>
          <w:color w:val="auto"/>
          <w:spacing w:val="0"/>
          <w:kern w:val="21"/>
          <w:sz w:val="32"/>
          <w:szCs w:val="32"/>
        </w:rPr>
        <w:t>章</w:t>
      </w:r>
      <w:r>
        <w:rPr>
          <w:rFonts w:hint="eastAsia"/>
          <w:color w:val="auto"/>
          <w:spacing w:val="0"/>
          <w:kern w:val="21"/>
          <w:sz w:val="32"/>
          <w:szCs w:val="32"/>
          <w:lang w:val="en-US" w:eastAsia="zh-CN"/>
        </w:rPr>
        <w:t xml:space="preserve">  深入推进民主</w:t>
      </w:r>
      <w:r>
        <w:rPr>
          <w:rFonts w:hint="eastAsia"/>
          <w:color w:val="auto"/>
          <w:spacing w:val="0"/>
          <w:kern w:val="21"/>
          <w:sz w:val="32"/>
          <w:szCs w:val="32"/>
        </w:rPr>
        <w:t>法治</w:t>
      </w:r>
      <w:r>
        <w:rPr>
          <w:rFonts w:hint="eastAsia"/>
          <w:color w:val="auto"/>
          <w:spacing w:val="0"/>
          <w:kern w:val="21"/>
          <w:sz w:val="32"/>
          <w:szCs w:val="32"/>
          <w:lang w:val="en-US" w:eastAsia="zh-CN"/>
        </w:rPr>
        <w:t>建设</w:t>
      </w:r>
      <w:bookmarkEnd w:id="163"/>
      <w:bookmarkEnd w:id="164"/>
      <w:bookmarkEnd w:id="165"/>
    </w:p>
    <w:p w14:paraId="6D51ADBA">
      <w:pPr>
        <w:keepNext w:val="0"/>
        <w:keepLines w:val="0"/>
        <w:pageBreakBefore w:val="0"/>
        <w:widowControl w:val="0"/>
        <w:numPr>
          <w:ilvl w:val="-1"/>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楷体_GB2312" w:hAnsi="楷体_GB2312" w:eastAsia="楷体_GB2312" w:cs="楷体_GB2312"/>
          <w:b w:val="0"/>
          <w:bCs w:val="0"/>
          <w:color w:val="auto"/>
          <w:spacing w:val="0"/>
          <w:kern w:val="21"/>
          <w:sz w:val="32"/>
          <w:szCs w:val="32"/>
          <w:highlight w:val="none"/>
          <w:lang w:val="en-US" w:eastAsia="zh-CN"/>
        </w:rPr>
      </w:pPr>
    </w:p>
    <w:p w14:paraId="5375660F">
      <w:pPr>
        <w:keepNext w:val="0"/>
        <w:keepLines w:val="0"/>
        <w:pageBreakBefore w:val="0"/>
        <w:widowControl w:val="0"/>
        <w:numPr>
          <w:ilvl w:val="-1"/>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仿宋_GB2312" w:hAnsi="仿宋_GB2312" w:eastAsia="仿宋_GB2312" w:cs="仿宋_GB2312"/>
          <w:b w:val="0"/>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lang w:val="en-US" w:eastAsia="zh-CN"/>
        </w:rPr>
        <w:t>发展社会主义民主政治。</w:t>
      </w:r>
      <w:r>
        <w:rPr>
          <w:rFonts w:hint="eastAsia" w:ascii="仿宋_GB2312" w:hAnsi="仿宋_GB2312" w:eastAsia="仿宋_GB2312" w:cs="仿宋_GB2312"/>
          <w:b w:val="0"/>
          <w:bCs/>
          <w:color w:val="auto"/>
          <w:spacing w:val="0"/>
          <w:kern w:val="21"/>
          <w:sz w:val="32"/>
          <w:szCs w:val="32"/>
        </w:rPr>
        <w:t>坚持党的领导、人民当家作主、依法治国有机统一，发展全过程人民民主。支持人大及其常委会依法行使职权，用好“专题询问+专项评议+满意度测评”机制，加强对“一府一委两院”监督。加强人民政协专门协商机构建设，完善协商意见和办理结果双向反馈机制，推进协商民主广泛多层制度化发展。健全基层民主制度。</w:t>
      </w:r>
    </w:p>
    <w:p w14:paraId="57077D84">
      <w:pPr>
        <w:keepNext w:val="0"/>
        <w:keepLines w:val="0"/>
        <w:pageBreakBefore w:val="0"/>
        <w:widowControl w:val="0"/>
        <w:numPr>
          <w:ilvl w:val="255"/>
          <w:numId w:val="0"/>
        </w:numPr>
        <w:kinsoku/>
        <w:wordWrap/>
        <w:overflowPunct w:val="0"/>
        <w:topLinePunct w:val="0"/>
        <w:autoSpaceDE/>
        <w:autoSpaceDN/>
        <w:bidi w:val="0"/>
        <w:adjustRightInd/>
        <w:snapToGrid/>
        <w:spacing w:afterAutospacing="0" w:line="579" w:lineRule="exact"/>
        <w:ind w:left="0" w:firstLine="640" w:firstLineChars="200"/>
        <w:textAlignment w:val="auto"/>
        <w:rPr>
          <w:rFonts w:hint="eastAsia" w:ascii="仿宋_GB2312" w:hAnsi="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lang w:val="en-US" w:eastAsia="zh-CN"/>
        </w:rPr>
        <w:t>建设法治延安。</w:t>
      </w:r>
      <w:r>
        <w:rPr>
          <w:rFonts w:hint="eastAsia" w:ascii="仿宋_GB2312" w:hAnsi="仿宋_GB2312" w:eastAsia="仿宋_GB2312" w:cs="仿宋_GB2312"/>
          <w:b w:val="0"/>
          <w:bCs/>
          <w:color w:val="auto"/>
          <w:spacing w:val="0"/>
          <w:kern w:val="21"/>
          <w:sz w:val="32"/>
          <w:szCs w:val="32"/>
        </w:rPr>
        <w:t>协同推进科学立法、严格执法、公正司法、全民守法，加快建设更高水平的法治延安。</w:t>
      </w:r>
      <w:r>
        <w:rPr>
          <w:rFonts w:hint="eastAsia" w:ascii="仿宋_GB2312" w:hAnsi="仿宋_GB2312"/>
          <w:b w:val="0"/>
          <w:bCs w:val="0"/>
          <w:color w:val="auto"/>
          <w:spacing w:val="0"/>
          <w:kern w:val="21"/>
          <w:sz w:val="32"/>
          <w:szCs w:val="32"/>
          <w:highlight w:val="none"/>
        </w:rPr>
        <w:t>围绕城乡建设与管理、生态文明建设、历史文化保护、基层治理等重点领域，制定一批与高质量发展相适应的地方性法规。巩固提升全国法治政府建设示范市成果。完善重大决策、规范性文件合法性审查</w:t>
      </w:r>
      <w:r>
        <w:rPr>
          <w:rFonts w:hint="eastAsia" w:ascii="仿宋_GB2312" w:hAnsi="仿宋_GB2312"/>
          <w:b w:val="0"/>
          <w:bCs w:val="0"/>
          <w:color w:val="auto"/>
          <w:spacing w:val="0"/>
          <w:kern w:val="21"/>
          <w:sz w:val="32"/>
          <w:szCs w:val="32"/>
          <w:highlight w:val="none"/>
          <w:lang w:val="en-US" w:eastAsia="zh-CN"/>
        </w:rPr>
        <w:t>和</w:t>
      </w:r>
      <w:r>
        <w:rPr>
          <w:rFonts w:hint="eastAsia" w:ascii="仿宋_GB2312" w:hAnsi="仿宋_GB2312"/>
          <w:b w:val="0"/>
          <w:bCs w:val="0"/>
          <w:color w:val="auto"/>
          <w:spacing w:val="0"/>
          <w:kern w:val="21"/>
          <w:sz w:val="32"/>
          <w:szCs w:val="32"/>
          <w:highlight w:val="none"/>
        </w:rPr>
        <w:t>实质性化解行政争议机制。推进严格规范公正文明执法，完善基层综合执法体制机制</w:t>
      </w:r>
      <w:r>
        <w:rPr>
          <w:rFonts w:hint="eastAsia" w:ascii="仿宋_GB2312" w:hAnsi="仿宋_GB2312"/>
          <w:b w:val="0"/>
          <w:bCs w:val="0"/>
          <w:color w:val="auto"/>
          <w:spacing w:val="0"/>
          <w:kern w:val="21"/>
          <w:sz w:val="32"/>
          <w:szCs w:val="32"/>
          <w:highlight w:val="none"/>
          <w:lang w:eastAsia="zh-CN"/>
        </w:rPr>
        <w:t>，</w:t>
      </w:r>
      <w:r>
        <w:rPr>
          <w:rFonts w:hint="eastAsia" w:ascii="仿宋_GB2312" w:hAnsi="仿宋_GB2312"/>
          <w:b w:val="0"/>
          <w:bCs w:val="0"/>
          <w:color w:val="auto"/>
          <w:spacing w:val="0"/>
          <w:kern w:val="21"/>
          <w:sz w:val="32"/>
          <w:szCs w:val="32"/>
          <w:highlight w:val="none"/>
        </w:rPr>
        <w:t>加强行政执法协调监督工作规范化建设。</w:t>
      </w:r>
      <w:r>
        <w:rPr>
          <w:rFonts w:hint="eastAsia" w:ascii="仿宋_GB2312" w:hAnsi="仿宋_GB2312"/>
          <w:b w:val="0"/>
          <w:bCs w:val="0"/>
          <w:color w:val="auto"/>
          <w:spacing w:val="0"/>
          <w:kern w:val="21"/>
          <w:sz w:val="32"/>
          <w:szCs w:val="32"/>
          <w:highlight w:val="none"/>
          <w:lang w:val="en-US" w:eastAsia="zh-CN"/>
        </w:rPr>
        <w:t>强化跨部门执法司法协同和监督。健全执行体制，有效解决“执行难”问题。</w:t>
      </w:r>
      <w:r>
        <w:rPr>
          <w:rFonts w:hint="eastAsia" w:ascii="仿宋_GB2312" w:hAnsi="仿宋_GB2312"/>
          <w:b w:val="0"/>
          <w:bCs w:val="0"/>
          <w:color w:val="auto"/>
          <w:spacing w:val="0"/>
          <w:kern w:val="21"/>
          <w:sz w:val="32"/>
          <w:szCs w:val="32"/>
          <w:highlight w:val="none"/>
        </w:rPr>
        <w:t>落实司法责任</w:t>
      </w:r>
      <w:r>
        <w:rPr>
          <w:rFonts w:hint="eastAsia" w:ascii="仿宋_GB2312" w:hAnsi="仿宋_GB2312"/>
          <w:b w:val="0"/>
          <w:bCs w:val="0"/>
          <w:color w:val="auto"/>
          <w:spacing w:val="0"/>
          <w:kern w:val="21"/>
          <w:sz w:val="32"/>
          <w:szCs w:val="32"/>
          <w:highlight w:val="none"/>
          <w:lang w:val="en-US" w:eastAsia="zh-CN"/>
        </w:rPr>
        <w:t>制，</w:t>
      </w:r>
      <w:r>
        <w:rPr>
          <w:rFonts w:hint="eastAsia" w:ascii="仿宋_GB2312" w:hAnsi="仿宋_GB2312"/>
          <w:b w:val="0"/>
          <w:bCs w:val="0"/>
          <w:color w:val="auto"/>
          <w:spacing w:val="0"/>
          <w:kern w:val="21"/>
          <w:sz w:val="32"/>
          <w:szCs w:val="32"/>
          <w:highlight w:val="none"/>
        </w:rPr>
        <w:t>强化检察监督，加强公益诉讼</w:t>
      </w:r>
      <w:r>
        <w:rPr>
          <w:rFonts w:hint="eastAsia" w:ascii="仿宋_GB2312" w:hAnsi="仿宋_GB2312"/>
          <w:b w:val="0"/>
          <w:bCs w:val="0"/>
          <w:color w:val="auto"/>
          <w:spacing w:val="0"/>
          <w:kern w:val="21"/>
          <w:sz w:val="32"/>
          <w:szCs w:val="32"/>
          <w:highlight w:val="none"/>
          <w:lang w:eastAsia="zh-CN"/>
        </w:rPr>
        <w:t>，</w:t>
      </w:r>
      <w:r>
        <w:rPr>
          <w:rFonts w:hint="eastAsia" w:ascii="仿宋_GB2312" w:hAnsi="仿宋_GB2312"/>
          <w:b w:val="0"/>
          <w:bCs w:val="0"/>
          <w:color w:val="auto"/>
          <w:spacing w:val="0"/>
          <w:kern w:val="21"/>
          <w:sz w:val="32"/>
          <w:szCs w:val="32"/>
          <w:highlight w:val="none"/>
          <w:lang w:val="en-US" w:eastAsia="zh-CN"/>
        </w:rPr>
        <w:t>提高司法裁判公正性、稳定性、权威性</w:t>
      </w:r>
      <w:r>
        <w:rPr>
          <w:rFonts w:hint="eastAsia" w:ascii="仿宋_GB2312" w:hAnsi="仿宋_GB2312"/>
          <w:b w:val="0"/>
          <w:bCs w:val="0"/>
          <w:color w:val="auto"/>
          <w:spacing w:val="0"/>
          <w:kern w:val="21"/>
          <w:sz w:val="32"/>
          <w:szCs w:val="32"/>
          <w:highlight w:val="none"/>
        </w:rPr>
        <w:t>。</w:t>
      </w:r>
      <w:r>
        <w:rPr>
          <w:rFonts w:hint="eastAsia" w:ascii="仿宋_GB2312" w:hAnsi="仿宋_GB2312" w:eastAsia="仿宋_GB2312" w:cs="仿宋_GB2312"/>
          <w:b w:val="0"/>
          <w:bCs w:val="0"/>
          <w:color w:val="auto"/>
          <w:spacing w:val="0"/>
          <w:kern w:val="21"/>
          <w:sz w:val="32"/>
          <w:szCs w:val="32"/>
          <w:highlight w:val="none"/>
          <w:lang w:val="en-US" w:eastAsia="zh-CN"/>
        </w:rPr>
        <w:t>营造全社会崇尚法治、恪守规则、尊重契约、维护公正的良好环境。</w:t>
      </w:r>
      <w:r>
        <w:rPr>
          <w:rFonts w:hint="eastAsia" w:ascii="仿宋_GB2312" w:hAnsi="仿宋_GB2312"/>
          <w:b w:val="0"/>
          <w:bCs w:val="0"/>
          <w:color w:val="auto"/>
          <w:spacing w:val="0"/>
          <w:kern w:val="21"/>
          <w:sz w:val="32"/>
          <w:szCs w:val="32"/>
          <w:highlight w:val="none"/>
        </w:rPr>
        <w:t>加大全民普法力度</w:t>
      </w:r>
      <w:r>
        <w:rPr>
          <w:rFonts w:hint="eastAsia" w:ascii="仿宋_GB2312" w:hAnsi="仿宋_GB2312"/>
          <w:b w:val="0"/>
          <w:bCs w:val="0"/>
          <w:color w:val="auto"/>
          <w:spacing w:val="0"/>
          <w:kern w:val="21"/>
          <w:sz w:val="32"/>
          <w:szCs w:val="32"/>
          <w:highlight w:val="none"/>
          <w:lang w:eastAsia="zh-CN"/>
        </w:rPr>
        <w:t>，</w:t>
      </w:r>
      <w:r>
        <w:rPr>
          <w:rFonts w:hint="eastAsia" w:ascii="仿宋_GB2312" w:hAnsi="仿宋_GB2312"/>
          <w:b w:val="0"/>
          <w:bCs w:val="0"/>
          <w:color w:val="auto"/>
          <w:spacing w:val="0"/>
          <w:kern w:val="21"/>
          <w:sz w:val="32"/>
          <w:szCs w:val="32"/>
          <w:highlight w:val="none"/>
        </w:rPr>
        <w:t>推进“谁执法谁普法”普法责任制。加</w:t>
      </w:r>
      <w:r>
        <w:rPr>
          <w:rFonts w:hint="eastAsia" w:ascii="仿宋_GB2312" w:hAnsi="仿宋_GB2312"/>
          <w:b w:val="0"/>
          <w:bCs w:val="0"/>
          <w:color w:val="auto"/>
          <w:spacing w:val="0"/>
          <w:kern w:val="21"/>
          <w:sz w:val="32"/>
          <w:szCs w:val="32"/>
          <w:highlight w:val="none"/>
          <w:lang w:val="en-US" w:eastAsia="zh-CN"/>
        </w:rPr>
        <w:t>强</w:t>
      </w:r>
      <w:r>
        <w:rPr>
          <w:rFonts w:hint="eastAsia" w:ascii="仿宋_GB2312" w:hAnsi="仿宋_GB2312"/>
          <w:b w:val="0"/>
          <w:bCs w:val="0"/>
          <w:color w:val="auto"/>
          <w:spacing w:val="0"/>
          <w:kern w:val="21"/>
          <w:sz w:val="32"/>
          <w:szCs w:val="32"/>
          <w:highlight w:val="none"/>
        </w:rPr>
        <w:t>延安红色法治文化资源挖掘保护和综合利用。</w:t>
      </w:r>
      <w:r>
        <w:rPr>
          <w:rFonts w:hint="eastAsia" w:ascii="仿宋_GB2312" w:hAnsi="仿宋_GB2312" w:eastAsia="仿宋_GB2312" w:cs="仿宋_GB2312"/>
          <w:b w:val="0"/>
          <w:bCs/>
          <w:color w:val="auto"/>
          <w:spacing w:val="0"/>
          <w:kern w:val="21"/>
          <w:sz w:val="32"/>
          <w:szCs w:val="32"/>
        </w:rPr>
        <w:t>坚持我国宗教中国化方向，加强宗教事务治理法治化。</w:t>
      </w:r>
      <w:r>
        <w:rPr>
          <w:rFonts w:hint="eastAsia" w:ascii="仿宋_GB2312" w:hAnsi="仿宋_GB2312"/>
          <w:b w:val="0"/>
          <w:bCs w:val="0"/>
          <w:color w:val="auto"/>
          <w:spacing w:val="0"/>
          <w:kern w:val="21"/>
          <w:sz w:val="32"/>
          <w:szCs w:val="32"/>
          <w:highlight w:val="none"/>
        </w:rPr>
        <w:t>强化</w:t>
      </w:r>
      <w:r>
        <w:rPr>
          <w:rFonts w:hint="eastAsia" w:ascii="仿宋_GB2312" w:hAnsi="仿宋_GB2312"/>
          <w:b w:val="0"/>
          <w:bCs w:val="0"/>
          <w:color w:val="auto"/>
          <w:spacing w:val="0"/>
          <w:kern w:val="21"/>
          <w:sz w:val="32"/>
          <w:szCs w:val="32"/>
          <w:highlight w:val="none"/>
          <w:lang w:val="en-US" w:eastAsia="zh-CN"/>
        </w:rPr>
        <w:t>法治人才和</w:t>
      </w:r>
      <w:r>
        <w:rPr>
          <w:rFonts w:hint="eastAsia" w:ascii="仿宋_GB2312" w:hAnsi="仿宋_GB2312"/>
          <w:b w:val="0"/>
          <w:bCs w:val="0"/>
          <w:color w:val="auto"/>
          <w:spacing w:val="0"/>
          <w:kern w:val="21"/>
          <w:sz w:val="32"/>
          <w:szCs w:val="32"/>
          <w:highlight w:val="none"/>
        </w:rPr>
        <w:t>队伍建设，推动法律服务体系化发展。</w:t>
      </w:r>
    </w:p>
    <w:p w14:paraId="0514A7B8">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bookmarkStart w:id="166" w:name="_Toc2893"/>
      <w:bookmarkStart w:id="167" w:name="_Toc21680"/>
      <w:bookmarkStart w:id="168" w:name="_Toc22406"/>
    </w:p>
    <w:p w14:paraId="49435EBB">
      <w:pPr>
        <w:pStyle w:val="5"/>
        <w:keepNext w:val="0"/>
        <w:keepLines w:val="0"/>
        <w:pageBreakBefore w:val="0"/>
        <w:widowControl w:val="0"/>
        <w:kinsoku/>
        <w:wordWrap/>
        <w:overflowPunct w:val="0"/>
        <w:topLinePunct w:val="0"/>
        <w:autoSpaceDE/>
        <w:autoSpaceDN/>
        <w:bidi w:val="0"/>
        <w:adjustRightInd/>
        <w:snapToGrid/>
        <w:spacing w:before="0" w:beforeLines="0" w:after="0" w:afterLines="0" w:afterAutospacing="0" w:line="579" w:lineRule="exact"/>
        <w:ind w:left="0"/>
        <w:textAlignment w:val="auto"/>
        <w:rPr>
          <w:rFonts w:hint="eastAsia"/>
          <w:color w:val="auto"/>
          <w:spacing w:val="0"/>
          <w:kern w:val="21"/>
          <w:sz w:val="32"/>
          <w:szCs w:val="32"/>
        </w:rPr>
      </w:pPr>
      <w:r>
        <w:rPr>
          <w:rFonts w:hint="eastAsia"/>
          <w:color w:val="auto"/>
          <w:spacing w:val="0"/>
          <w:kern w:val="21"/>
          <w:sz w:val="32"/>
          <w:szCs w:val="32"/>
        </w:rPr>
        <w:t>第四十</w:t>
      </w:r>
      <w:r>
        <w:rPr>
          <w:rFonts w:hint="eastAsia"/>
          <w:color w:val="auto"/>
          <w:spacing w:val="0"/>
          <w:kern w:val="21"/>
          <w:sz w:val="32"/>
          <w:szCs w:val="32"/>
          <w:lang w:val="en-US" w:eastAsia="zh-CN"/>
        </w:rPr>
        <w:t>五</w:t>
      </w:r>
      <w:r>
        <w:rPr>
          <w:rFonts w:hint="eastAsia"/>
          <w:color w:val="auto"/>
          <w:spacing w:val="0"/>
          <w:kern w:val="21"/>
          <w:sz w:val="32"/>
          <w:szCs w:val="32"/>
        </w:rPr>
        <w:t>章</w:t>
      </w:r>
      <w:r>
        <w:rPr>
          <w:rFonts w:hint="eastAsia"/>
          <w:color w:val="auto"/>
          <w:spacing w:val="0"/>
          <w:kern w:val="21"/>
          <w:sz w:val="32"/>
          <w:szCs w:val="32"/>
          <w:lang w:val="en-US" w:eastAsia="zh-CN"/>
        </w:rPr>
        <w:t xml:space="preserve">  完善</w:t>
      </w:r>
      <w:r>
        <w:rPr>
          <w:rFonts w:hint="eastAsia"/>
          <w:color w:val="auto"/>
          <w:spacing w:val="0"/>
          <w:kern w:val="21"/>
          <w:sz w:val="32"/>
          <w:szCs w:val="32"/>
        </w:rPr>
        <w:t>社会治理体系</w:t>
      </w:r>
      <w:bookmarkEnd w:id="166"/>
      <w:bookmarkEnd w:id="167"/>
      <w:bookmarkEnd w:id="168"/>
    </w:p>
    <w:p w14:paraId="1F89BEAC">
      <w:pPr>
        <w:keepNext w:val="0"/>
        <w:keepLines w:val="0"/>
        <w:pageBreakBefore w:val="0"/>
        <w:widowControl w:val="0"/>
        <w:numPr>
          <w:ilvl w:val="0"/>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楷体_GB2312" w:hAnsi="楷体_GB2312" w:eastAsia="楷体_GB2312" w:cs="楷体_GB2312"/>
          <w:b w:val="0"/>
          <w:bCs w:val="0"/>
          <w:color w:val="auto"/>
          <w:spacing w:val="0"/>
          <w:kern w:val="21"/>
          <w:sz w:val="32"/>
          <w:szCs w:val="32"/>
          <w:highlight w:val="none"/>
          <w:lang w:val="en-US" w:eastAsia="zh-CN"/>
        </w:rPr>
      </w:pPr>
    </w:p>
    <w:p w14:paraId="549414F8">
      <w:pPr>
        <w:keepNext w:val="0"/>
        <w:keepLines w:val="0"/>
        <w:pageBreakBefore w:val="0"/>
        <w:widowControl w:val="0"/>
        <w:numPr>
          <w:ilvl w:val="0"/>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仿宋_GB2312" w:hAnsi="仿宋_GB2312"/>
          <w:color w:val="auto"/>
          <w:spacing w:val="0"/>
          <w:kern w:val="21"/>
          <w:sz w:val="32"/>
          <w:szCs w:val="32"/>
          <w:highlight w:val="none"/>
          <w:lang w:val="en-US" w:eastAsia="zh-CN"/>
        </w:rPr>
      </w:pPr>
      <w:r>
        <w:rPr>
          <w:rFonts w:hint="eastAsia" w:ascii="楷体_GB2312" w:hAnsi="楷体_GB2312" w:eastAsia="楷体_GB2312" w:cs="楷体_GB2312"/>
          <w:b w:val="0"/>
          <w:bCs w:val="0"/>
          <w:color w:val="auto"/>
          <w:spacing w:val="0"/>
          <w:kern w:val="21"/>
          <w:sz w:val="32"/>
          <w:szCs w:val="32"/>
          <w:highlight w:val="none"/>
          <w:lang w:val="en-US" w:eastAsia="zh-CN"/>
        </w:rPr>
        <w:t>深入推进基层治理。</w:t>
      </w:r>
      <w:r>
        <w:rPr>
          <w:rFonts w:hint="eastAsia" w:ascii="仿宋_GB2312" w:hAnsi="仿宋_GB2312" w:eastAsia="仿宋_GB2312" w:cs="仿宋_GB2312"/>
          <w:b w:val="0"/>
          <w:bCs w:val="0"/>
          <w:color w:val="auto"/>
          <w:spacing w:val="0"/>
          <w:kern w:val="21"/>
          <w:sz w:val="32"/>
          <w:szCs w:val="32"/>
          <w:u w:val="none" w:color="auto"/>
          <w:lang w:val="en-US" w:eastAsia="zh-CN"/>
        </w:rPr>
        <w:t>深入推进党建引领基层治理，</w:t>
      </w:r>
      <w:r>
        <w:rPr>
          <w:rFonts w:hint="eastAsia" w:ascii="仿宋_GB2312" w:hAnsi="仿宋_GB2312" w:eastAsia="仿宋_GB2312" w:cs="仿宋_GB2312"/>
          <w:b w:val="0"/>
          <w:bCs w:val="0"/>
          <w:color w:val="auto"/>
          <w:spacing w:val="0"/>
          <w:kern w:val="21"/>
          <w:sz w:val="32"/>
          <w:szCs w:val="32"/>
          <w:highlight w:val="none"/>
          <w:lang w:val="en-US" w:eastAsia="zh-CN"/>
        </w:rPr>
        <w:t>健全社会工作体制机制，</w:t>
      </w:r>
      <w:r>
        <w:rPr>
          <w:rFonts w:hint="eastAsia" w:ascii="仿宋_GB2312" w:hAnsi="仿宋_GB2312" w:eastAsia="仿宋_GB2312" w:cs="仿宋_GB2312"/>
          <w:b w:val="0"/>
          <w:bCs w:val="0"/>
          <w:color w:val="auto"/>
          <w:spacing w:val="0"/>
          <w:kern w:val="21"/>
          <w:sz w:val="32"/>
          <w:szCs w:val="32"/>
          <w:u w:val="none" w:color="auto"/>
          <w:lang w:val="en-US" w:eastAsia="zh-CN"/>
        </w:rPr>
        <w:t>加强新经济组织、新社会组织、新就业群体党的建设。</w:t>
      </w:r>
      <w:r>
        <w:rPr>
          <w:rFonts w:hint="eastAsia" w:ascii="仿宋_GB2312" w:hAnsi="仿宋_GB2312" w:cs="仿宋_GB2312"/>
          <w:color w:val="auto"/>
          <w:spacing w:val="0"/>
          <w:kern w:val="21"/>
          <w:sz w:val="32"/>
          <w:szCs w:val="32"/>
          <w:u w:val="none" w:color="auto"/>
        </w:rPr>
        <w:t>强化</w:t>
      </w:r>
      <w:r>
        <w:rPr>
          <w:rFonts w:hint="eastAsia" w:ascii="仿宋_GB2312" w:hAnsi="仿宋_GB2312" w:eastAsia="仿宋_GB2312" w:cs="仿宋_GB2312"/>
          <w:b w:val="0"/>
          <w:bCs w:val="0"/>
          <w:color w:val="auto"/>
          <w:spacing w:val="0"/>
          <w:kern w:val="21"/>
          <w:sz w:val="32"/>
          <w:szCs w:val="32"/>
          <w:u w:val="none" w:color="auto"/>
          <w:lang w:val="en-US" w:eastAsia="zh-CN"/>
        </w:rPr>
        <w:t>社会组织培育管理，推动行业协会商会改革发展。</w:t>
      </w:r>
      <w:r>
        <w:rPr>
          <w:rFonts w:hint="eastAsia" w:ascii="仿宋_GB2312" w:hAnsi="仿宋_GB2312" w:eastAsia="仿宋_GB2312" w:cs="仿宋_GB2312"/>
          <w:b w:val="0"/>
          <w:bCs/>
          <w:color w:val="auto"/>
          <w:spacing w:val="0"/>
          <w:kern w:val="21"/>
          <w:sz w:val="32"/>
          <w:szCs w:val="32"/>
        </w:rPr>
        <w:t>加强乡村治理，完善社区治理。全面实施乡镇（街道）履行职责事项清单，健全村（社区）工作事项准入制度。</w:t>
      </w:r>
      <w:r>
        <w:rPr>
          <w:rFonts w:hint="eastAsia" w:ascii="仿宋_GB2312" w:hAnsi="仿宋_GB2312"/>
          <w:color w:val="auto"/>
          <w:spacing w:val="0"/>
          <w:kern w:val="21"/>
          <w:sz w:val="32"/>
          <w:szCs w:val="32"/>
          <w:highlight w:val="none"/>
          <w:lang w:val="en-US" w:eastAsia="zh-CN"/>
        </w:rPr>
        <w:t>加强基层服务管理力量配置，完善服务设施和经费保障机制。推进网上网下协同治理。</w:t>
      </w:r>
    </w:p>
    <w:p w14:paraId="0849C9E5">
      <w:pPr>
        <w:keepNext w:val="0"/>
        <w:keepLines w:val="0"/>
        <w:pageBreakBefore w:val="0"/>
        <w:widowControl w:val="0"/>
        <w:numPr>
          <w:ilvl w:val="0"/>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仿宋_GB2312" w:hAnsi="仿宋_GB2312" w:eastAsia="仿宋_GB2312" w:cs="仿宋_GB2312"/>
          <w:b w:val="0"/>
          <w:bCs/>
          <w:color w:val="auto"/>
          <w:spacing w:val="0"/>
          <w:kern w:val="21"/>
          <w:sz w:val="32"/>
          <w:szCs w:val="32"/>
        </w:rPr>
      </w:pPr>
      <w:r>
        <w:rPr>
          <w:rFonts w:hint="eastAsia" w:ascii="楷体_GB2312" w:hAnsi="楷体_GB2312" w:eastAsia="楷体_GB2312" w:cs="楷体_GB2312"/>
          <w:b w:val="0"/>
          <w:bCs w:val="0"/>
          <w:color w:val="auto"/>
          <w:spacing w:val="0"/>
          <w:kern w:val="21"/>
          <w:sz w:val="32"/>
          <w:szCs w:val="32"/>
          <w:highlight w:val="none"/>
          <w:lang w:val="en-US" w:eastAsia="zh-CN"/>
        </w:rPr>
        <w:t>加强社会矛盾纠纷化解。</w:t>
      </w:r>
      <w:r>
        <w:rPr>
          <w:rFonts w:hint="eastAsia" w:ascii="仿宋_GB2312" w:hAnsi="仿宋_GB2312" w:eastAsia="仿宋_GB2312" w:cs="仿宋_GB2312"/>
          <w:b w:val="0"/>
          <w:bCs/>
          <w:color w:val="auto"/>
          <w:spacing w:val="0"/>
          <w:kern w:val="21"/>
          <w:sz w:val="32"/>
          <w:szCs w:val="32"/>
        </w:rPr>
        <w:t>坚持和发展新时代“枫桥经验”，</w:t>
      </w:r>
      <w:r>
        <w:rPr>
          <w:rFonts w:hint="eastAsia" w:ascii="仿宋_GB2312" w:hAnsi="仿宋_GB2312"/>
          <w:b w:val="0"/>
          <w:bCs w:val="0"/>
          <w:color w:val="auto"/>
          <w:spacing w:val="0"/>
          <w:kern w:val="21"/>
          <w:sz w:val="32"/>
          <w:szCs w:val="32"/>
          <w:highlight w:val="none"/>
        </w:rPr>
        <w:t>强化人民调解、司法调解、行政调解衔接，完善社会矛盾纠纷多元预防调处化解综合机制</w:t>
      </w:r>
      <w:r>
        <w:rPr>
          <w:rFonts w:hint="eastAsia" w:ascii="仿宋_GB2312" w:hAnsi="仿宋_GB2312"/>
          <w:color w:val="auto"/>
          <w:spacing w:val="0"/>
          <w:kern w:val="21"/>
          <w:sz w:val="32"/>
          <w:szCs w:val="32"/>
          <w:highlight w:val="none"/>
        </w:rPr>
        <w:t>。</w:t>
      </w:r>
      <w:r>
        <w:rPr>
          <w:rFonts w:hint="eastAsia" w:ascii="仿宋_GB2312" w:hAnsi="仿宋_GB2312"/>
          <w:b w:val="0"/>
          <w:bCs w:val="0"/>
          <w:color w:val="auto"/>
          <w:spacing w:val="0"/>
          <w:kern w:val="21"/>
          <w:sz w:val="32"/>
          <w:szCs w:val="32"/>
          <w:highlight w:val="none"/>
        </w:rPr>
        <w:t>深入“四下基层”，</w:t>
      </w:r>
      <w:r>
        <w:rPr>
          <w:rFonts w:hint="eastAsia" w:ascii="仿宋_GB2312" w:hAnsi="仿宋_GB2312" w:eastAsia="仿宋_GB2312" w:cs="仿宋_GB2312"/>
          <w:b w:val="0"/>
          <w:bCs/>
          <w:color w:val="auto"/>
          <w:spacing w:val="0"/>
          <w:kern w:val="21"/>
          <w:sz w:val="32"/>
          <w:szCs w:val="32"/>
        </w:rPr>
        <w:t>推行“党支部+大数据+网格化+脚底板”治理模式</w:t>
      </w:r>
      <w:r>
        <w:rPr>
          <w:rFonts w:hint="eastAsia" w:ascii="仿宋_GB2312" w:hAnsi="仿宋_GB2312" w:cs="仿宋_GB2312"/>
          <w:b w:val="0"/>
          <w:bCs/>
          <w:color w:val="auto"/>
          <w:spacing w:val="0"/>
          <w:kern w:val="21"/>
          <w:sz w:val="32"/>
          <w:szCs w:val="32"/>
          <w:lang w:eastAsia="zh-CN"/>
        </w:rPr>
        <w:t>，</w:t>
      </w:r>
      <w:r>
        <w:rPr>
          <w:rFonts w:hint="eastAsia" w:ascii="仿宋_GB2312" w:hAnsi="仿宋_GB2312"/>
          <w:b w:val="0"/>
          <w:bCs w:val="0"/>
          <w:color w:val="auto"/>
          <w:spacing w:val="0"/>
          <w:kern w:val="21"/>
          <w:sz w:val="32"/>
          <w:szCs w:val="32"/>
          <w:highlight w:val="none"/>
          <w:lang w:val="en-US" w:eastAsia="zh-CN"/>
        </w:rPr>
        <w:t>用好“周解忧”“两说一联”“菜单式”矛盾纠纷调解等机制，</w:t>
      </w:r>
      <w:r>
        <w:rPr>
          <w:rFonts w:hint="eastAsia" w:ascii="仿宋_GB2312" w:hAnsi="仿宋_GB2312"/>
          <w:b w:val="0"/>
          <w:bCs w:val="0"/>
          <w:color w:val="auto"/>
          <w:spacing w:val="0"/>
          <w:kern w:val="21"/>
          <w:sz w:val="32"/>
          <w:szCs w:val="32"/>
          <w:highlight w:val="none"/>
        </w:rPr>
        <w:t>推进各级人民调解组织和行业性专业性调解组织建设</w:t>
      </w:r>
      <w:r>
        <w:rPr>
          <w:rFonts w:hint="eastAsia" w:ascii="仿宋_GB2312" w:hAnsi="仿宋_GB2312"/>
          <w:b w:val="0"/>
          <w:bCs w:val="0"/>
          <w:color w:val="auto"/>
          <w:spacing w:val="0"/>
          <w:kern w:val="21"/>
          <w:sz w:val="32"/>
          <w:szCs w:val="32"/>
          <w:highlight w:val="none"/>
          <w:lang w:eastAsia="zh-CN"/>
        </w:rPr>
        <w:t>，</w:t>
      </w:r>
      <w:r>
        <w:rPr>
          <w:rFonts w:hint="eastAsia" w:ascii="仿宋_GB2312" w:hAnsi="仿宋_GB2312"/>
          <w:b w:val="0"/>
          <w:bCs w:val="0"/>
          <w:color w:val="auto"/>
          <w:spacing w:val="0"/>
          <w:kern w:val="21"/>
          <w:sz w:val="32"/>
          <w:szCs w:val="32"/>
          <w:highlight w:val="none"/>
        </w:rPr>
        <w:t>推广“樊九平式”调解模式</w:t>
      </w:r>
      <w:r>
        <w:rPr>
          <w:rFonts w:hint="eastAsia" w:ascii="仿宋_GB2312" w:hAnsi="仿宋_GB2312"/>
          <w:b w:val="0"/>
          <w:bCs w:val="0"/>
          <w:color w:val="auto"/>
          <w:spacing w:val="0"/>
          <w:kern w:val="21"/>
          <w:sz w:val="32"/>
          <w:szCs w:val="32"/>
          <w:highlight w:val="none"/>
          <w:lang w:eastAsia="zh-CN"/>
        </w:rPr>
        <w:t>。</w:t>
      </w:r>
      <w:r>
        <w:rPr>
          <w:rFonts w:hint="eastAsia" w:ascii="仿宋_GB2312" w:hAnsi="仿宋_GB2312" w:eastAsia="仿宋_GB2312" w:cs="仿宋_GB2312"/>
          <w:b w:val="0"/>
          <w:bCs/>
          <w:color w:val="auto"/>
          <w:spacing w:val="0"/>
          <w:kern w:val="21"/>
          <w:sz w:val="32"/>
          <w:szCs w:val="32"/>
        </w:rPr>
        <w:t>推进信访工作法治化、常态化，持续用力化解信访积案，推动矛盾纠纷源头化解、多元化解、有序化解，维护良好的社会秩序。</w:t>
      </w:r>
    </w:p>
    <w:p w14:paraId="6EB5349F">
      <w:pPr>
        <w:keepNext w:val="0"/>
        <w:keepLines w:val="0"/>
        <w:pageBreakBefore w:val="0"/>
        <w:widowControl w:val="0"/>
        <w:numPr>
          <w:ilvl w:val="0"/>
          <w:numId w:val="0"/>
        </w:numPr>
        <w:kinsoku/>
        <w:wordWrap/>
        <w:overflowPunct w:val="0"/>
        <w:topLinePunct w:val="0"/>
        <w:autoSpaceDE/>
        <w:autoSpaceDN/>
        <w:bidi w:val="0"/>
        <w:adjustRightInd/>
        <w:snapToGrid/>
        <w:spacing w:afterAutospacing="0" w:line="579" w:lineRule="exact"/>
        <w:ind w:left="0" w:firstLine="640" w:firstLineChars="200"/>
        <w:textAlignment w:val="auto"/>
        <w:outlineLvl w:val="9"/>
        <w:rPr>
          <w:rFonts w:hint="eastAsia" w:ascii="仿宋_GB2312" w:hAnsi="仿宋_GB2312" w:eastAsia="仿宋_GB2312" w:cs="仿宋_GB2312"/>
          <w:b w:val="0"/>
          <w:bCs w:val="0"/>
          <w:color w:val="auto"/>
          <w:spacing w:val="0"/>
          <w:kern w:val="21"/>
          <w:sz w:val="32"/>
          <w:szCs w:val="32"/>
          <w:u w:val="none" w:color="auto"/>
          <w:lang w:val="en-US" w:eastAsia="zh-CN"/>
        </w:rPr>
      </w:pPr>
      <w:r>
        <w:rPr>
          <w:rFonts w:hint="eastAsia" w:ascii="楷体_GB2312" w:hAnsi="楷体_GB2312" w:eastAsia="楷体_GB2312" w:cs="楷体_GB2312"/>
          <w:b w:val="0"/>
          <w:bCs w:val="0"/>
          <w:color w:val="auto"/>
          <w:spacing w:val="0"/>
          <w:kern w:val="21"/>
          <w:sz w:val="32"/>
          <w:szCs w:val="32"/>
          <w:highlight w:val="none"/>
        </w:rPr>
        <w:t>夯实社会治理群众基础。</w:t>
      </w:r>
      <w:r>
        <w:rPr>
          <w:rFonts w:hint="eastAsia" w:ascii="仿宋_GB2312" w:hAnsi="仿宋_GB2312"/>
          <w:color w:val="auto"/>
          <w:spacing w:val="0"/>
          <w:kern w:val="21"/>
          <w:sz w:val="32"/>
          <w:szCs w:val="32"/>
          <w:highlight w:val="none"/>
          <w:lang w:val="en-US" w:eastAsia="zh-CN"/>
        </w:rPr>
        <w:t>发挥人民群众主体作用，培育调解类、平安建设类社会组织，引导各方有序参与社会治理。</w:t>
      </w:r>
      <w:r>
        <w:rPr>
          <w:rFonts w:hint="eastAsia" w:ascii="仿宋_GB2312" w:hAnsi="仿宋_GB2312" w:eastAsia="仿宋_GB2312" w:cs="仿宋_GB2312"/>
          <w:b w:val="0"/>
          <w:bCs/>
          <w:color w:val="auto"/>
          <w:spacing w:val="0"/>
          <w:kern w:val="21"/>
          <w:sz w:val="32"/>
          <w:szCs w:val="32"/>
        </w:rPr>
        <w:t>加强社区工作者队伍建设，健全新时代志愿服务体系。强化“12345”市民热线等公共服务平台功能。</w:t>
      </w:r>
      <w:r>
        <w:rPr>
          <w:rFonts w:hint="eastAsia" w:ascii="仿宋_GB2312" w:hAnsi="仿宋_GB2312"/>
          <w:color w:val="auto"/>
          <w:spacing w:val="0"/>
          <w:kern w:val="21"/>
          <w:sz w:val="32"/>
          <w:szCs w:val="32"/>
          <w:highlight w:val="none"/>
        </w:rPr>
        <w:t>改进各类社会群体服务管理，健全利益关系协调、合法权益保障制度，关心关爱困难、弱势群体。</w:t>
      </w:r>
    </w:p>
    <w:p w14:paraId="68019D47">
      <w:pPr>
        <w:keepNext w:val="0"/>
        <w:keepLines w:val="0"/>
        <w:pageBreakBefore w:val="0"/>
        <w:widowControl w:val="0"/>
        <w:kinsoku/>
        <w:wordWrap/>
        <w:overflowPunct w:val="0"/>
        <w:topLinePunct w:val="0"/>
        <w:autoSpaceDE/>
        <w:autoSpaceDN/>
        <w:bidi w:val="0"/>
        <w:spacing w:afterAutospacing="0"/>
        <w:ind w:left="0" w:firstLine="640"/>
        <w:textAlignment w:val="auto"/>
        <w:rPr>
          <w:rFonts w:hint="eastAsia" w:ascii="仿宋_GB2312" w:hAnsi="仿宋_GB2312"/>
          <w:color w:val="auto"/>
          <w:spacing w:val="0"/>
          <w:kern w:val="21"/>
          <w:sz w:val="30"/>
          <w:szCs w:val="30"/>
        </w:rPr>
      </w:pPr>
      <w:r>
        <w:rPr>
          <w:rFonts w:hint="eastAsia" w:ascii="仿宋_GB2312" w:hAnsi="仿宋_GB2312"/>
          <w:color w:val="auto"/>
          <w:spacing w:val="0"/>
          <w:kern w:val="21"/>
          <w:sz w:val="30"/>
          <w:szCs w:val="30"/>
        </w:rPr>
        <w:br w:type="page"/>
      </w:r>
    </w:p>
    <w:p w14:paraId="5D51BA7A">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ascii="仿宋_GB2312" w:hAnsi="仿宋_GB2312"/>
          <w:color w:val="auto"/>
          <w:spacing w:val="0"/>
          <w:kern w:val="21"/>
          <w:sz w:val="30"/>
          <w:szCs w:val="30"/>
        </w:rPr>
      </w:pPr>
      <w:bookmarkStart w:id="169" w:name="_Toc1397"/>
      <w:bookmarkStart w:id="170" w:name="_Toc19198"/>
      <w:bookmarkStart w:id="171" w:name="_Toc16441"/>
    </w:p>
    <w:p w14:paraId="31E13647">
      <w:pPr>
        <w:pStyle w:val="4"/>
        <w:keepNext w:val="0"/>
        <w:keepLines w:val="0"/>
        <w:pageBreakBefore w:val="0"/>
        <w:widowControl w:val="0"/>
        <w:kinsoku/>
        <w:wordWrap/>
        <w:overflowPunct w:val="0"/>
        <w:topLinePunct w:val="0"/>
        <w:autoSpaceDE/>
        <w:autoSpaceDN/>
        <w:bidi w:val="0"/>
        <w:adjustRightInd/>
        <w:snapToGrid/>
        <w:spacing w:before="0" w:beforeLines="0" w:after="0" w:afterLines="0" w:afterAutospacing="0"/>
        <w:ind w:left="0"/>
        <w:textAlignment w:val="auto"/>
        <w:rPr>
          <w:rFonts w:hint="eastAsia" w:ascii="仿宋_GB2312" w:hAnsi="仿宋_GB2312"/>
          <w:color w:val="auto"/>
          <w:spacing w:val="0"/>
          <w:kern w:val="21"/>
          <w:sz w:val="36"/>
          <w:szCs w:val="36"/>
        </w:rPr>
      </w:pPr>
      <w:r>
        <w:rPr>
          <w:rFonts w:hint="eastAsia" w:ascii="仿宋_GB2312" w:hAnsi="仿宋_GB2312"/>
          <w:color w:val="auto"/>
          <w:spacing w:val="0"/>
          <w:kern w:val="21"/>
          <w:sz w:val="36"/>
          <w:szCs w:val="36"/>
        </w:rPr>
        <w:t>第十一篇</w:t>
      </w:r>
      <w:r>
        <w:rPr>
          <w:rFonts w:hint="eastAsia" w:ascii="仿宋_GB2312" w:hAnsi="仿宋_GB2312"/>
          <w:color w:val="auto"/>
          <w:spacing w:val="0"/>
          <w:kern w:val="21"/>
          <w:sz w:val="36"/>
          <w:szCs w:val="36"/>
          <w:lang w:val="en-US" w:eastAsia="zh-CN"/>
        </w:rPr>
        <w:t xml:space="preserve">  强化</w:t>
      </w:r>
      <w:r>
        <w:rPr>
          <w:rFonts w:hint="eastAsia" w:ascii="仿宋_GB2312" w:hAnsi="仿宋_GB2312"/>
          <w:color w:val="auto"/>
          <w:spacing w:val="0"/>
          <w:kern w:val="21"/>
          <w:sz w:val="36"/>
          <w:szCs w:val="36"/>
        </w:rPr>
        <w:t>实施</w:t>
      </w:r>
      <w:r>
        <w:rPr>
          <w:rFonts w:hint="eastAsia" w:ascii="仿宋_GB2312" w:hAnsi="仿宋_GB2312"/>
          <w:color w:val="auto"/>
          <w:spacing w:val="0"/>
          <w:kern w:val="21"/>
          <w:sz w:val="36"/>
          <w:szCs w:val="36"/>
          <w:lang w:val="en-US" w:eastAsia="zh-CN"/>
        </w:rPr>
        <w:t>保障</w:t>
      </w:r>
      <w:r>
        <w:rPr>
          <w:rFonts w:hint="eastAsia" w:ascii="仿宋_GB2312" w:hAnsi="仿宋_GB2312"/>
          <w:color w:val="auto"/>
          <w:spacing w:val="0"/>
          <w:kern w:val="21"/>
          <w:sz w:val="36"/>
          <w:szCs w:val="36"/>
        </w:rPr>
        <w:t xml:space="preserve"> 确保规划</w:t>
      </w:r>
      <w:r>
        <w:rPr>
          <w:rFonts w:hint="eastAsia" w:ascii="仿宋_GB2312" w:hAnsi="仿宋_GB2312"/>
          <w:color w:val="auto"/>
          <w:spacing w:val="0"/>
          <w:kern w:val="21"/>
          <w:sz w:val="36"/>
          <w:szCs w:val="36"/>
          <w:lang w:val="en-US" w:eastAsia="zh-CN"/>
        </w:rPr>
        <w:t>落地落实</w:t>
      </w:r>
      <w:bookmarkEnd w:id="169"/>
      <w:bookmarkEnd w:id="170"/>
      <w:bookmarkEnd w:id="171"/>
    </w:p>
    <w:p w14:paraId="007DEFFC">
      <w:pPr>
        <w:keepNext w:val="0"/>
        <w:keepLines w:val="0"/>
        <w:pageBreakBefore w:val="0"/>
        <w:widowControl w:val="0"/>
        <w:kinsoku/>
        <w:wordWrap/>
        <w:overflowPunct w:val="0"/>
        <w:topLinePunct w:val="0"/>
        <w:autoSpaceDE/>
        <w:autoSpaceDN/>
        <w:bidi w:val="0"/>
        <w:adjustRightInd/>
        <w:snapToGrid/>
        <w:spacing w:afterAutospacing="0" w:line="240" w:lineRule="auto"/>
        <w:ind w:left="0" w:firstLine="640"/>
        <w:textAlignment w:val="auto"/>
        <w:rPr>
          <w:rFonts w:hint="eastAsia" w:ascii="仿宋_GB2312" w:hAnsi="仿宋_GB2312"/>
          <w:color w:val="auto"/>
          <w:spacing w:val="0"/>
          <w:kern w:val="21"/>
          <w:sz w:val="32"/>
          <w:szCs w:val="32"/>
        </w:rPr>
      </w:pPr>
    </w:p>
    <w:p w14:paraId="6E40DE0B">
      <w:pPr>
        <w:keepNext w:val="0"/>
        <w:keepLines w:val="0"/>
        <w:pageBreakBefore w:val="0"/>
        <w:widowControl w:val="0"/>
        <w:kinsoku/>
        <w:wordWrap/>
        <w:overflowPunct w:val="0"/>
        <w:topLinePunct w:val="0"/>
        <w:autoSpaceDE/>
        <w:autoSpaceDN/>
        <w:bidi w:val="0"/>
        <w:adjustRightInd/>
        <w:snapToGrid/>
        <w:spacing w:afterAutospacing="0" w:line="560" w:lineRule="exact"/>
        <w:ind w:left="0" w:firstLine="640"/>
        <w:textAlignment w:val="auto"/>
        <w:rPr>
          <w:rFonts w:hint="eastAsia" w:ascii="仿宋_GB2312" w:hAnsi="仿宋_GB2312"/>
          <w:color w:val="auto"/>
          <w:spacing w:val="0"/>
          <w:kern w:val="21"/>
          <w:sz w:val="32"/>
          <w:szCs w:val="32"/>
        </w:rPr>
      </w:pPr>
      <w:r>
        <w:rPr>
          <w:rFonts w:hint="eastAsia" w:ascii="仿宋_GB2312" w:hAnsi="仿宋_GB2312"/>
          <w:color w:val="auto"/>
          <w:spacing w:val="0"/>
          <w:kern w:val="21"/>
          <w:sz w:val="32"/>
          <w:szCs w:val="32"/>
        </w:rPr>
        <w:t>坚持以党的自我革命引领社会革命，持之以恒推进全面从严治党，牢固树立和忠实践行正确的政绩观，全面提高党领导经济社会发展能力和水平，形成推动高质量发展、现代化建设的强大合力。</w:t>
      </w:r>
    </w:p>
    <w:p w14:paraId="46FD307D">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172" w:name="_Toc28039"/>
      <w:bookmarkStart w:id="173" w:name="_Toc9575"/>
      <w:bookmarkStart w:id="174" w:name="_Toc4622"/>
    </w:p>
    <w:p w14:paraId="5010EA6D">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第四十</w:t>
      </w:r>
      <w:r>
        <w:rPr>
          <w:rFonts w:hint="eastAsia"/>
          <w:color w:val="auto"/>
          <w:spacing w:val="0"/>
          <w:kern w:val="21"/>
          <w:sz w:val="32"/>
          <w:szCs w:val="32"/>
          <w:lang w:val="en-US" w:eastAsia="zh-CN"/>
        </w:rPr>
        <w:t>六</w:t>
      </w:r>
      <w:r>
        <w:rPr>
          <w:rFonts w:hint="eastAsia"/>
          <w:color w:val="auto"/>
          <w:spacing w:val="0"/>
          <w:kern w:val="21"/>
          <w:sz w:val="32"/>
          <w:szCs w:val="32"/>
        </w:rPr>
        <w:t>章</w:t>
      </w:r>
      <w:r>
        <w:rPr>
          <w:rFonts w:hint="eastAsia"/>
          <w:color w:val="auto"/>
          <w:spacing w:val="0"/>
          <w:kern w:val="21"/>
          <w:sz w:val="32"/>
          <w:szCs w:val="32"/>
          <w:lang w:val="en-US" w:eastAsia="zh-CN"/>
        </w:rPr>
        <w:t xml:space="preserve">  </w:t>
      </w:r>
      <w:r>
        <w:rPr>
          <w:rFonts w:hint="eastAsia"/>
          <w:color w:val="auto"/>
          <w:spacing w:val="0"/>
          <w:kern w:val="21"/>
          <w:sz w:val="32"/>
          <w:szCs w:val="32"/>
        </w:rPr>
        <w:t>坚持和加强党的全面领导</w:t>
      </w:r>
      <w:bookmarkEnd w:id="172"/>
      <w:bookmarkEnd w:id="173"/>
      <w:bookmarkEnd w:id="174"/>
    </w:p>
    <w:p w14:paraId="7253677C">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楷体_GB2312" w:hAnsi="楷体_GB2312" w:eastAsia="楷体_GB2312" w:cs="楷体_GB2312"/>
          <w:b w:val="0"/>
          <w:bCs w:val="0"/>
          <w:color w:val="auto"/>
          <w:spacing w:val="0"/>
          <w:kern w:val="21"/>
          <w:sz w:val="32"/>
          <w:szCs w:val="32"/>
        </w:rPr>
      </w:pPr>
    </w:p>
    <w:p w14:paraId="34D4FDB8">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cs="Times New Roman"/>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坚决维护党中央权威和集中统一领导。</w:t>
      </w:r>
      <w:r>
        <w:rPr>
          <w:rFonts w:hint="eastAsia" w:ascii="仿宋_GB2312" w:hAnsi="仿宋_GB2312" w:cs="Times New Roman"/>
          <w:color w:val="auto"/>
          <w:spacing w:val="0"/>
          <w:kern w:val="21"/>
          <w:sz w:val="32"/>
          <w:szCs w:val="32"/>
        </w:rPr>
        <w:t>坚持用习近平新时代中国特色社会主义思想凝心铸魂。完善习近平总书记重要指示批示和党中央重大决策部署闭环落实机制，确保上下贯通、执行有力。健全地方党委研究经济社会发展战略、分析经济形势、制定重大政策的工作机制，提高地方党委决策能力，更好发挥总揽全局、协调各方的领导作用。统筹推进各领域基层党组织建设，增强党组织政治功能和组织功能，充分发挥党支部战斗堡垒作用和党员先锋模范作用，以高质量党建引领高质量发展。更</w:t>
      </w:r>
      <w:r>
        <w:rPr>
          <w:rFonts w:hint="eastAsia" w:ascii="仿宋_GB2312" w:hAnsi="仿宋_GB2312" w:cs="Times New Roman"/>
          <w:color w:val="auto"/>
          <w:spacing w:val="0"/>
          <w:kern w:val="21"/>
          <w:sz w:val="32"/>
          <w:szCs w:val="32"/>
          <w:lang w:eastAsia="zh-CN"/>
        </w:rPr>
        <w:t>好地</w:t>
      </w:r>
      <w:r>
        <w:rPr>
          <w:rFonts w:hint="eastAsia" w:ascii="仿宋_GB2312" w:hAnsi="仿宋_GB2312" w:cs="Times New Roman"/>
          <w:color w:val="auto"/>
          <w:spacing w:val="0"/>
          <w:kern w:val="21"/>
          <w:sz w:val="32"/>
          <w:szCs w:val="32"/>
        </w:rPr>
        <w:t>将党把方向、管大局、作决策、保落实作用贯穿到经济社会发展全过程和</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十五五</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规划实施各方面。</w:t>
      </w:r>
    </w:p>
    <w:p w14:paraId="3835D3F5">
      <w:pPr>
        <w:keepNext w:val="0"/>
        <w:keepLines w:val="0"/>
        <w:pageBreakBefore w:val="0"/>
        <w:widowControl w:val="0"/>
        <w:kinsoku/>
        <w:wordWrap/>
        <w:overflowPunct w:val="0"/>
        <w:topLinePunct w:val="0"/>
        <w:autoSpaceDE/>
        <w:autoSpaceDN/>
        <w:bidi w:val="0"/>
        <w:adjustRightInd/>
        <w:snapToGrid/>
        <w:spacing w:afterAutospacing="0" w:line="560" w:lineRule="exact"/>
        <w:ind w:left="0"/>
        <w:textAlignment w:val="auto"/>
        <w:rPr>
          <w:rFonts w:hint="eastAsia" w:ascii="仿宋_GB2312" w:hAnsi="仿宋_GB2312" w:eastAsia="仿宋_GB2312" w:cs="Times New Roman"/>
          <w:b w:val="0"/>
          <w:bCs w:val="0"/>
          <w:color w:val="auto"/>
          <w:spacing w:val="0"/>
          <w:kern w:val="21"/>
          <w:sz w:val="32"/>
          <w:szCs w:val="32"/>
          <w:lang w:val="en-US" w:eastAsia="zh-CN"/>
        </w:rPr>
      </w:pPr>
      <w:r>
        <w:rPr>
          <w:rFonts w:hint="eastAsia" w:ascii="楷体_GB2312" w:hAnsi="楷体_GB2312" w:eastAsia="楷体_GB2312" w:cs="楷体_GB2312"/>
          <w:b w:val="0"/>
          <w:bCs w:val="0"/>
          <w:color w:val="auto"/>
          <w:spacing w:val="0"/>
          <w:kern w:val="21"/>
          <w:sz w:val="32"/>
          <w:szCs w:val="32"/>
          <w:lang w:val="en-US" w:eastAsia="zh-CN"/>
        </w:rPr>
        <w:t>广泛凝聚各方面智慧力量。</w:t>
      </w:r>
      <w:r>
        <w:rPr>
          <w:rFonts w:hint="eastAsia" w:ascii="仿宋_GB2312" w:hAnsi="仿宋_GB2312" w:cs="Times New Roman"/>
          <w:b w:val="0"/>
          <w:bCs w:val="0"/>
          <w:color w:val="auto"/>
          <w:spacing w:val="0"/>
          <w:kern w:val="21"/>
          <w:sz w:val="32"/>
          <w:szCs w:val="32"/>
          <w:lang w:val="en-US" w:eastAsia="zh-CN"/>
        </w:rPr>
        <w:t>全面落实党的民族、宗教、侨务等政策，</w:t>
      </w:r>
      <w:r>
        <w:rPr>
          <w:rFonts w:hint="eastAsia" w:ascii="仿宋_GB2312" w:hAnsi="仿宋_GB2312" w:cs="Times New Roman"/>
          <w:color w:val="auto"/>
          <w:spacing w:val="0"/>
          <w:kern w:val="21"/>
          <w:sz w:val="32"/>
          <w:szCs w:val="32"/>
        </w:rPr>
        <w:t>完善大统战工作格局，统筹做好民主党派和无党派人士、党外知识分子、民族、宗教、非公有制经济人士、新的社会阶层人士、港澳台侨及海外统战等工作。</w:t>
      </w:r>
      <w:r>
        <w:rPr>
          <w:rFonts w:hint="eastAsia" w:ascii="仿宋_GB2312" w:hAnsi="仿宋_GB2312" w:cs="Times New Roman"/>
          <w:color w:val="auto"/>
          <w:spacing w:val="0"/>
          <w:kern w:val="21"/>
          <w:sz w:val="32"/>
          <w:szCs w:val="32"/>
          <w:lang w:val="en-US" w:eastAsia="zh-CN"/>
        </w:rPr>
        <w:t>充分</w:t>
      </w:r>
      <w:r>
        <w:rPr>
          <w:rFonts w:hint="eastAsia" w:ascii="仿宋_GB2312" w:hAnsi="仿宋_GB2312" w:cs="Times New Roman"/>
          <w:color w:val="auto"/>
          <w:spacing w:val="0"/>
          <w:kern w:val="21"/>
          <w:sz w:val="32"/>
          <w:szCs w:val="32"/>
        </w:rPr>
        <w:t>发挥工会、共青团、妇联</w:t>
      </w:r>
      <w:r>
        <w:rPr>
          <w:rFonts w:hint="eastAsia" w:ascii="仿宋_GB2312" w:hAnsi="仿宋_GB2312" w:cs="Times New Roman"/>
          <w:color w:val="auto"/>
          <w:spacing w:val="0"/>
          <w:kern w:val="21"/>
          <w:sz w:val="32"/>
          <w:szCs w:val="32"/>
          <w:lang w:val="en-US" w:eastAsia="zh-CN"/>
        </w:rPr>
        <w:t>、革命老区促进会</w:t>
      </w:r>
      <w:r>
        <w:rPr>
          <w:rFonts w:hint="eastAsia" w:ascii="仿宋_GB2312" w:hAnsi="仿宋_GB2312" w:cs="Times New Roman"/>
          <w:color w:val="auto"/>
          <w:spacing w:val="0"/>
          <w:kern w:val="21"/>
          <w:sz w:val="32"/>
          <w:szCs w:val="32"/>
        </w:rPr>
        <w:t>等作用，</w:t>
      </w:r>
      <w:r>
        <w:rPr>
          <w:rFonts w:hint="eastAsia" w:ascii="仿宋_GB2312" w:hAnsi="仿宋_GB2312" w:cs="Times New Roman"/>
          <w:color w:val="auto"/>
          <w:spacing w:val="0"/>
          <w:kern w:val="21"/>
          <w:sz w:val="32"/>
          <w:szCs w:val="32"/>
          <w:lang w:val="en-US" w:eastAsia="zh-CN"/>
        </w:rPr>
        <w:t>加强产业工人队伍建设、青少年发展、妇女儿童事业发展政策保障。</w:t>
      </w:r>
      <w:r>
        <w:rPr>
          <w:rFonts w:hint="eastAsia" w:ascii="仿宋_GB2312" w:hAnsi="仿宋_GB2312" w:cs="仿宋_GB2312"/>
          <w:b w:val="0"/>
          <w:bCs/>
          <w:color w:val="auto"/>
          <w:spacing w:val="0"/>
          <w:kern w:val="21"/>
          <w:sz w:val="32"/>
          <w:szCs w:val="32"/>
          <w:lang w:val="en-US" w:eastAsia="zh-CN"/>
        </w:rPr>
        <w:t>着力打造高素质干部队伍、高水平创新型人才队伍和企业家队伍、高素养劳动者队伍“四支队伍”。</w:t>
      </w:r>
      <w:r>
        <w:rPr>
          <w:rFonts w:hint="eastAsia" w:ascii="仿宋_GB2312" w:hAnsi="仿宋_GB2312" w:cs="Times New Roman"/>
          <w:color w:val="auto"/>
          <w:spacing w:val="0"/>
          <w:kern w:val="21"/>
          <w:sz w:val="32"/>
          <w:szCs w:val="32"/>
        </w:rPr>
        <w:t>深化干部作风能力建设</w:t>
      </w:r>
      <w:r>
        <w:rPr>
          <w:rFonts w:hint="eastAsia" w:ascii="仿宋_GB2312" w:hAnsi="仿宋_GB2312" w:cs="Times New Roman"/>
          <w:color w:val="auto"/>
          <w:spacing w:val="0"/>
          <w:kern w:val="21"/>
          <w:sz w:val="32"/>
          <w:szCs w:val="32"/>
          <w:lang w:eastAsia="zh-CN"/>
        </w:rPr>
        <w:t>，</w:t>
      </w:r>
      <w:r>
        <w:rPr>
          <w:rFonts w:hint="eastAsia" w:ascii="仿宋_GB2312" w:hAnsi="仿宋_GB2312" w:cs="Times New Roman"/>
          <w:color w:val="auto"/>
          <w:spacing w:val="0"/>
          <w:kern w:val="21"/>
          <w:sz w:val="32"/>
          <w:szCs w:val="32"/>
        </w:rPr>
        <w:t>深化干部作风能力提升年活动。</w:t>
      </w:r>
      <w:r>
        <w:rPr>
          <w:rFonts w:hint="eastAsia" w:ascii="仿宋_GB2312" w:hAnsi="仿宋_GB2312" w:cs="Times New Roman"/>
          <w:color w:val="auto"/>
          <w:spacing w:val="0"/>
          <w:kern w:val="21"/>
          <w:sz w:val="32"/>
          <w:szCs w:val="32"/>
          <w:lang w:val="en-US" w:eastAsia="zh-CN"/>
        </w:rPr>
        <w:t>坚持“五学联动”机制，建好用好“读书学习”干部教育品牌，分层级分领域开展精准化、实战化培训。</w:t>
      </w:r>
      <w:r>
        <w:rPr>
          <w:rFonts w:hint="eastAsia" w:ascii="仿宋_GB2312" w:hAnsi="仿宋_GB2312" w:cs="Times New Roman"/>
          <w:color w:val="auto"/>
          <w:spacing w:val="0"/>
          <w:kern w:val="21"/>
          <w:sz w:val="32"/>
          <w:szCs w:val="32"/>
        </w:rPr>
        <w:t>健全干部实践锻炼机制</w:t>
      </w:r>
      <w:r>
        <w:rPr>
          <w:rFonts w:hint="eastAsia" w:ascii="仿宋_GB2312" w:hAnsi="仿宋_GB2312" w:cs="Times New Roman"/>
          <w:color w:val="auto"/>
          <w:spacing w:val="0"/>
          <w:kern w:val="21"/>
          <w:sz w:val="32"/>
          <w:szCs w:val="32"/>
          <w:lang w:eastAsia="zh-CN"/>
        </w:rPr>
        <w:t>，选派新提拔干部、年轻干部到乡村振兴、企业生产、项目建设、矛盾调处、巡察监督检查“五个一线”实践锻炼。</w:t>
      </w:r>
      <w:r>
        <w:rPr>
          <w:rFonts w:hint="eastAsia" w:ascii="仿宋_GB2312" w:hAnsi="仿宋_GB2312" w:cs="Times New Roman"/>
          <w:color w:val="auto"/>
          <w:spacing w:val="0"/>
          <w:kern w:val="21"/>
          <w:sz w:val="32"/>
          <w:szCs w:val="32"/>
        </w:rPr>
        <w:t>锲而不舍落实中央八项规定精神，推进作风建设常态化长效化，持续整治“怠虚粗拖”等作风顽疾</w:t>
      </w:r>
      <w:r>
        <w:rPr>
          <w:rFonts w:hint="eastAsia" w:ascii="仿宋_GB2312" w:hAnsi="仿宋_GB2312" w:cs="Times New Roman"/>
          <w:color w:val="auto"/>
          <w:spacing w:val="0"/>
          <w:kern w:val="21"/>
          <w:sz w:val="32"/>
          <w:szCs w:val="32"/>
          <w:lang w:eastAsia="zh-CN"/>
        </w:rPr>
        <w:t>。</w:t>
      </w:r>
      <w:r>
        <w:rPr>
          <w:rFonts w:hint="eastAsia" w:ascii="仿宋_GB2312" w:hAnsi="仿宋_GB2312" w:eastAsia="仿宋_GB2312" w:cs="仿宋_GB2312"/>
          <w:b w:val="0"/>
          <w:bCs/>
          <w:color w:val="auto"/>
          <w:spacing w:val="0"/>
          <w:kern w:val="21"/>
          <w:sz w:val="32"/>
          <w:szCs w:val="32"/>
        </w:rPr>
        <w:t>深入推进清廉延安建设，巩固和发展风清气正的政治生态</w:t>
      </w:r>
      <w:r>
        <w:rPr>
          <w:rFonts w:hint="eastAsia" w:ascii="仿宋_GB2312" w:hAnsi="仿宋_GB2312" w:cs="仿宋_GB2312"/>
          <w:b w:val="0"/>
          <w:bCs/>
          <w:color w:val="auto"/>
          <w:spacing w:val="0"/>
          <w:kern w:val="21"/>
          <w:sz w:val="32"/>
          <w:szCs w:val="32"/>
          <w:lang w:eastAsia="zh-CN"/>
        </w:rPr>
        <w:t>，</w:t>
      </w:r>
      <w:r>
        <w:rPr>
          <w:rFonts w:hint="eastAsia" w:ascii="仿宋_GB2312" w:hAnsi="仿宋_GB2312" w:cs="Times New Roman"/>
          <w:color w:val="auto"/>
          <w:spacing w:val="0"/>
          <w:kern w:val="21"/>
          <w:sz w:val="32"/>
          <w:szCs w:val="32"/>
        </w:rPr>
        <w:t>引导党员干部树立和践行正确政绩观</w:t>
      </w:r>
      <w:r>
        <w:rPr>
          <w:rFonts w:hint="eastAsia" w:ascii="仿宋_GB2312" w:hAnsi="仿宋_GB2312" w:cs="Times New Roman"/>
          <w:color w:val="auto"/>
          <w:spacing w:val="0"/>
          <w:kern w:val="21"/>
          <w:sz w:val="32"/>
          <w:szCs w:val="32"/>
          <w:lang w:eastAsia="zh-CN"/>
        </w:rPr>
        <w:t>。</w:t>
      </w:r>
    </w:p>
    <w:p w14:paraId="7301C210">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175" w:name="_Toc32649"/>
      <w:bookmarkStart w:id="176" w:name="_Toc24183"/>
      <w:bookmarkStart w:id="177" w:name="_Toc30020"/>
    </w:p>
    <w:p w14:paraId="5060C360">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r>
        <w:rPr>
          <w:rFonts w:hint="eastAsia"/>
          <w:color w:val="auto"/>
          <w:spacing w:val="0"/>
          <w:kern w:val="21"/>
          <w:sz w:val="32"/>
          <w:szCs w:val="32"/>
        </w:rPr>
        <w:t>第四十</w:t>
      </w:r>
      <w:r>
        <w:rPr>
          <w:rFonts w:hint="eastAsia"/>
          <w:color w:val="auto"/>
          <w:spacing w:val="0"/>
          <w:kern w:val="21"/>
          <w:sz w:val="32"/>
          <w:szCs w:val="32"/>
          <w:lang w:val="en-US" w:eastAsia="zh-CN"/>
        </w:rPr>
        <w:t>七</w:t>
      </w:r>
      <w:r>
        <w:rPr>
          <w:rFonts w:hint="eastAsia"/>
          <w:color w:val="auto"/>
          <w:spacing w:val="0"/>
          <w:kern w:val="21"/>
          <w:sz w:val="32"/>
          <w:szCs w:val="32"/>
        </w:rPr>
        <w:t>章</w:t>
      </w:r>
      <w:r>
        <w:rPr>
          <w:rFonts w:hint="eastAsia"/>
          <w:color w:val="auto"/>
          <w:spacing w:val="0"/>
          <w:kern w:val="21"/>
          <w:sz w:val="32"/>
          <w:szCs w:val="32"/>
          <w:lang w:val="en-US" w:eastAsia="zh-CN"/>
        </w:rPr>
        <w:t xml:space="preserve">  加强</w:t>
      </w:r>
      <w:r>
        <w:rPr>
          <w:rFonts w:hint="eastAsia"/>
          <w:color w:val="auto"/>
          <w:spacing w:val="0"/>
          <w:kern w:val="21"/>
          <w:sz w:val="32"/>
          <w:szCs w:val="32"/>
        </w:rPr>
        <w:t>规划</w:t>
      </w:r>
      <w:r>
        <w:rPr>
          <w:rFonts w:hint="eastAsia"/>
          <w:color w:val="auto"/>
          <w:spacing w:val="0"/>
          <w:kern w:val="21"/>
          <w:sz w:val="32"/>
          <w:szCs w:val="32"/>
          <w:lang w:val="en-US" w:eastAsia="zh-CN"/>
        </w:rPr>
        <w:t>组织</w:t>
      </w:r>
      <w:r>
        <w:rPr>
          <w:rFonts w:hint="eastAsia"/>
          <w:color w:val="auto"/>
          <w:spacing w:val="0"/>
          <w:kern w:val="21"/>
          <w:sz w:val="32"/>
          <w:szCs w:val="32"/>
        </w:rPr>
        <w:t>实施</w:t>
      </w:r>
      <w:bookmarkEnd w:id="175"/>
      <w:bookmarkEnd w:id="176"/>
      <w:bookmarkEnd w:id="177"/>
    </w:p>
    <w:p w14:paraId="5CB2ADA2">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楷体_GB2312" w:hAnsi="楷体_GB2312" w:eastAsia="楷体_GB2312" w:cs="楷体_GB2312"/>
          <w:b w:val="0"/>
          <w:bCs w:val="0"/>
          <w:color w:val="auto"/>
          <w:spacing w:val="0"/>
          <w:kern w:val="21"/>
          <w:sz w:val="32"/>
          <w:szCs w:val="32"/>
        </w:rPr>
      </w:pPr>
    </w:p>
    <w:p w14:paraId="21D44773">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b w:val="0"/>
          <w:bCs w:val="0"/>
          <w:color w:val="auto"/>
          <w:spacing w:val="0"/>
          <w:kern w:val="21"/>
          <w:sz w:val="32"/>
          <w:szCs w:val="32"/>
          <w:highlight w:val="none"/>
        </w:rPr>
      </w:pPr>
      <w:r>
        <w:rPr>
          <w:rFonts w:hint="eastAsia" w:ascii="楷体_GB2312" w:hAnsi="楷体_GB2312" w:eastAsia="楷体_GB2312" w:cs="楷体_GB2312"/>
          <w:b w:val="0"/>
          <w:bCs w:val="0"/>
          <w:color w:val="auto"/>
          <w:spacing w:val="0"/>
          <w:kern w:val="21"/>
          <w:sz w:val="32"/>
          <w:szCs w:val="32"/>
        </w:rPr>
        <w:t>强化</w:t>
      </w:r>
      <w:r>
        <w:rPr>
          <w:rFonts w:hint="eastAsia" w:ascii="楷体_GB2312" w:hAnsi="楷体_GB2312" w:eastAsia="楷体_GB2312" w:cs="楷体_GB2312"/>
          <w:b w:val="0"/>
          <w:bCs w:val="0"/>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纲要</w:t>
      </w:r>
      <w:r>
        <w:rPr>
          <w:rFonts w:hint="eastAsia" w:ascii="楷体_GB2312" w:hAnsi="楷体_GB2312" w:eastAsia="楷体_GB2312" w:cs="楷体_GB2312"/>
          <w:b w:val="0"/>
          <w:bCs w:val="0"/>
          <w:color w:val="auto"/>
          <w:spacing w:val="0"/>
          <w:kern w:val="21"/>
          <w:sz w:val="32"/>
          <w:szCs w:val="32"/>
          <w:lang w:eastAsia="zh-CN"/>
        </w:rPr>
        <w:t>》</w:t>
      </w:r>
      <w:r>
        <w:rPr>
          <w:rFonts w:hint="eastAsia" w:ascii="楷体_GB2312" w:hAnsi="楷体_GB2312" w:eastAsia="楷体_GB2312" w:cs="楷体_GB2312"/>
          <w:b w:val="0"/>
          <w:bCs w:val="0"/>
          <w:color w:val="auto"/>
          <w:spacing w:val="0"/>
          <w:kern w:val="21"/>
          <w:sz w:val="32"/>
          <w:szCs w:val="32"/>
        </w:rPr>
        <w:t>统领作用。</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主要阐明未来五年全</w:t>
      </w:r>
      <w:r>
        <w:rPr>
          <w:rFonts w:hint="eastAsia" w:ascii="仿宋_GB2312" w:hAnsi="仿宋_GB2312" w:cs="仿宋_GB2312"/>
          <w:b w:val="0"/>
          <w:bCs w:val="0"/>
          <w:color w:val="auto"/>
          <w:spacing w:val="0"/>
          <w:kern w:val="21"/>
          <w:sz w:val="32"/>
          <w:szCs w:val="32"/>
          <w:lang w:val="en-US" w:eastAsia="zh-CN"/>
        </w:rPr>
        <w:t>市</w:t>
      </w:r>
      <w:r>
        <w:rPr>
          <w:rFonts w:hint="eastAsia" w:ascii="仿宋_GB2312" w:hAnsi="仿宋_GB2312" w:cs="仿宋_GB2312"/>
          <w:b w:val="0"/>
          <w:bCs w:val="0"/>
          <w:color w:val="auto"/>
          <w:spacing w:val="0"/>
          <w:kern w:val="21"/>
          <w:sz w:val="32"/>
          <w:szCs w:val="32"/>
        </w:rPr>
        <w:t>经济社会发展的宏伟蓝图，具有战略性、宏观性、政策性，是其他各级各类规划编制的总遵循。</w:t>
      </w:r>
      <w:r>
        <w:rPr>
          <w:rFonts w:hint="eastAsia" w:ascii="仿宋_GB2312" w:hAnsi="仿宋_GB2312" w:cs="仿宋_GB2312"/>
          <w:b w:val="0"/>
          <w:bCs w:val="0"/>
          <w:color w:val="auto"/>
          <w:spacing w:val="0"/>
          <w:kern w:val="21"/>
          <w:sz w:val="32"/>
          <w:szCs w:val="32"/>
          <w:lang w:val="en-US" w:eastAsia="zh-CN"/>
        </w:rPr>
        <w:t>市</w:t>
      </w:r>
      <w:r>
        <w:rPr>
          <w:rFonts w:hint="eastAsia" w:ascii="仿宋_GB2312" w:hAnsi="仿宋_GB2312" w:cs="仿宋_GB2312"/>
          <w:b w:val="0"/>
          <w:bCs w:val="0"/>
          <w:color w:val="auto"/>
          <w:spacing w:val="0"/>
          <w:kern w:val="21"/>
          <w:sz w:val="32"/>
          <w:szCs w:val="32"/>
        </w:rPr>
        <w:t>级各部门要围绕</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确定的</w:t>
      </w:r>
      <w:r>
        <w:rPr>
          <w:rFonts w:hint="eastAsia" w:ascii="仿宋_GB2312" w:hAnsi="仿宋_GB2312" w:cs="仿宋_GB2312"/>
          <w:b w:val="0"/>
          <w:bCs w:val="0"/>
          <w:color w:val="auto"/>
          <w:spacing w:val="0"/>
          <w:kern w:val="21"/>
          <w:sz w:val="32"/>
          <w:szCs w:val="32"/>
          <w:lang w:val="en-US" w:eastAsia="zh-CN"/>
        </w:rPr>
        <w:t>总体要求</w:t>
      </w:r>
      <w:r>
        <w:rPr>
          <w:rFonts w:hint="eastAsia" w:ascii="仿宋_GB2312" w:hAnsi="仿宋_GB2312" w:cs="仿宋_GB2312"/>
          <w:b w:val="0"/>
          <w:bCs w:val="0"/>
          <w:color w:val="auto"/>
          <w:spacing w:val="0"/>
          <w:kern w:val="21"/>
          <w:sz w:val="32"/>
          <w:szCs w:val="32"/>
        </w:rPr>
        <w:t>、</w:t>
      </w:r>
      <w:r>
        <w:rPr>
          <w:rFonts w:hint="eastAsia" w:ascii="仿宋_GB2312" w:hAnsi="仿宋_GB2312" w:cs="仿宋_GB2312"/>
          <w:b w:val="0"/>
          <w:bCs w:val="0"/>
          <w:color w:val="auto"/>
          <w:spacing w:val="0"/>
          <w:kern w:val="21"/>
          <w:sz w:val="32"/>
          <w:szCs w:val="32"/>
          <w:lang w:val="en-US" w:eastAsia="zh-CN"/>
        </w:rPr>
        <w:t>发展</w:t>
      </w:r>
      <w:r>
        <w:rPr>
          <w:rFonts w:hint="eastAsia" w:ascii="仿宋_GB2312" w:hAnsi="仿宋_GB2312" w:cs="仿宋_GB2312"/>
          <w:b w:val="0"/>
          <w:bCs w:val="0"/>
          <w:color w:val="auto"/>
          <w:spacing w:val="0"/>
          <w:kern w:val="21"/>
          <w:sz w:val="32"/>
          <w:szCs w:val="32"/>
        </w:rPr>
        <w:t>目标</w:t>
      </w:r>
      <w:r>
        <w:rPr>
          <w:rFonts w:hint="eastAsia" w:ascii="仿宋_GB2312" w:hAnsi="仿宋_GB2312" w:cs="仿宋_GB2312"/>
          <w:b w:val="0"/>
          <w:bCs w:val="0"/>
          <w:color w:val="auto"/>
          <w:spacing w:val="0"/>
          <w:kern w:val="21"/>
          <w:sz w:val="32"/>
          <w:szCs w:val="32"/>
          <w:lang w:val="en-US" w:eastAsia="zh-CN"/>
        </w:rPr>
        <w:t>和</w:t>
      </w:r>
      <w:r>
        <w:rPr>
          <w:rFonts w:hint="eastAsia" w:ascii="仿宋_GB2312" w:hAnsi="仿宋_GB2312" w:cs="仿宋_GB2312"/>
          <w:b w:val="0"/>
          <w:bCs w:val="0"/>
          <w:color w:val="auto"/>
          <w:spacing w:val="0"/>
          <w:kern w:val="21"/>
          <w:sz w:val="32"/>
          <w:szCs w:val="32"/>
        </w:rPr>
        <w:t>战略任务</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编制</w:t>
      </w:r>
      <w:r>
        <w:rPr>
          <w:rFonts w:hint="eastAsia" w:ascii="仿宋_GB2312" w:hAnsi="仿宋_GB2312" w:cs="仿宋_GB2312"/>
          <w:b w:val="0"/>
          <w:bCs w:val="0"/>
          <w:color w:val="auto"/>
          <w:spacing w:val="0"/>
          <w:kern w:val="21"/>
          <w:sz w:val="32"/>
          <w:szCs w:val="32"/>
          <w:lang w:val="en-US" w:eastAsia="zh-CN"/>
        </w:rPr>
        <w:t>和实施好</w:t>
      </w:r>
      <w:r>
        <w:rPr>
          <w:rFonts w:hint="eastAsia" w:ascii="仿宋_GB2312" w:hAnsi="仿宋_GB2312" w:cs="仿宋_GB2312"/>
          <w:b w:val="0"/>
          <w:bCs w:val="0"/>
          <w:color w:val="auto"/>
          <w:spacing w:val="0"/>
          <w:kern w:val="21"/>
          <w:sz w:val="32"/>
          <w:szCs w:val="32"/>
        </w:rPr>
        <w:t>相关专项规划</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县</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lang w:val="en-US" w:eastAsia="zh-CN"/>
        </w:rPr>
        <w:t>市、区</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发展规划要加强与本</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的衔接，</w:t>
      </w:r>
      <w:r>
        <w:rPr>
          <w:rFonts w:hint="eastAsia" w:ascii="仿宋_GB2312" w:hAnsi="仿宋_GB2312" w:cs="仿宋_GB2312"/>
          <w:color w:val="auto"/>
          <w:spacing w:val="0"/>
          <w:kern w:val="21"/>
          <w:sz w:val="32"/>
          <w:szCs w:val="32"/>
          <w:highlight w:val="none"/>
        </w:rPr>
        <w:t>统筹各级各类规划编制，精简数量、提高质量，根据本地实际建立完善市、县全口径规划编制目录清单，避免交叉重复、增加基层负担</w:t>
      </w:r>
      <w:r>
        <w:rPr>
          <w:rFonts w:hint="eastAsia" w:ascii="仿宋_GB2312" w:hAnsi="仿宋_GB2312" w:cs="仿宋_GB2312"/>
          <w:b w:val="0"/>
          <w:bCs w:val="0"/>
          <w:color w:val="auto"/>
          <w:spacing w:val="0"/>
          <w:kern w:val="21"/>
          <w:sz w:val="32"/>
          <w:szCs w:val="32"/>
          <w:highlight w:val="none"/>
        </w:rPr>
        <w:t>。</w:t>
      </w:r>
    </w:p>
    <w:p w14:paraId="4C828419">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eastAsia="仿宋_GB2312" w:cs="仿宋_GB2312"/>
          <w:b w:val="0"/>
          <w:bCs w:val="0"/>
          <w:color w:val="auto"/>
          <w:spacing w:val="0"/>
          <w:kern w:val="21"/>
          <w:sz w:val="32"/>
          <w:szCs w:val="32"/>
          <w:lang w:eastAsia="zh-CN"/>
        </w:rPr>
      </w:pPr>
      <w:r>
        <w:rPr>
          <w:rFonts w:hint="eastAsia" w:ascii="楷体_GB2312" w:hAnsi="楷体_GB2312" w:eastAsia="楷体_GB2312" w:cs="楷体_GB2312"/>
          <w:b w:val="0"/>
          <w:bCs w:val="0"/>
          <w:color w:val="auto"/>
          <w:spacing w:val="0"/>
          <w:kern w:val="21"/>
          <w:sz w:val="32"/>
          <w:szCs w:val="32"/>
          <w:highlight w:val="none"/>
        </w:rPr>
        <w:t>强化国土空间规划支撑</w:t>
      </w:r>
      <w:r>
        <w:rPr>
          <w:rFonts w:hint="eastAsia" w:ascii="楷体_GB2312" w:hAnsi="楷体_GB2312" w:eastAsia="楷体_GB2312" w:cs="楷体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lang w:val="en-US" w:eastAsia="zh-CN"/>
        </w:rPr>
        <w:t>根据</w:t>
      </w:r>
      <w:r>
        <w:rPr>
          <w:rFonts w:hint="eastAsia" w:ascii="仿宋_GB2312" w:hAnsi="仿宋_GB2312" w:cs="仿宋_GB2312"/>
          <w:b w:val="0"/>
          <w:bCs w:val="0"/>
          <w:color w:val="auto"/>
          <w:spacing w:val="0"/>
          <w:kern w:val="21"/>
          <w:sz w:val="32"/>
          <w:szCs w:val="32"/>
          <w:lang w:val="en-US" w:eastAsia="zh-CN"/>
        </w:rPr>
        <w:t>《延安市国土空间总体规划（2021—2035年）》实施情况和评估结果，结合经济社会发展水平、节约集约用地状况等，坚持分阶段总量控制，科学确定“十五五”建设用地规模、结构和时序安排，为发展预留合理空间。</w:t>
      </w:r>
      <w:r>
        <w:rPr>
          <w:rFonts w:hint="eastAsia" w:ascii="仿宋_GB2312" w:hAnsi="仿宋_GB2312" w:eastAsia="仿宋_GB2312" w:cs="仿宋_GB2312"/>
          <w:b w:val="0"/>
          <w:bCs w:val="0"/>
          <w:color w:val="auto"/>
          <w:spacing w:val="0"/>
          <w:kern w:val="21"/>
          <w:sz w:val="32"/>
          <w:szCs w:val="32"/>
          <w:highlight w:val="none"/>
        </w:rPr>
        <w:t>国土空间规划要为本《纲要》确定的目标指标、重大战略任务、重大工程项目实施提供空间保障，对专项规划、县区发展规划提出</w:t>
      </w:r>
      <w:r>
        <w:rPr>
          <w:rFonts w:hint="eastAsia" w:ascii="仿宋_GB2312" w:hAnsi="仿宋_GB2312" w:cs="仿宋_GB2312"/>
          <w:b w:val="0"/>
          <w:bCs w:val="0"/>
          <w:color w:val="auto"/>
          <w:spacing w:val="0"/>
          <w:kern w:val="21"/>
          <w:sz w:val="32"/>
          <w:szCs w:val="32"/>
          <w:highlight w:val="none"/>
          <w:lang w:eastAsia="zh-CN"/>
        </w:rPr>
        <w:t>的</w:t>
      </w:r>
      <w:r>
        <w:rPr>
          <w:rFonts w:hint="eastAsia" w:ascii="仿宋_GB2312" w:hAnsi="仿宋_GB2312" w:eastAsia="仿宋_GB2312" w:cs="仿宋_GB2312"/>
          <w:b w:val="0"/>
          <w:bCs w:val="0"/>
          <w:color w:val="auto"/>
          <w:spacing w:val="0"/>
          <w:kern w:val="21"/>
          <w:sz w:val="32"/>
          <w:szCs w:val="32"/>
          <w:highlight w:val="none"/>
        </w:rPr>
        <w:t>基础设施、城镇建设、资源能源、生态环保等开发保护活动提供空间支撑</w:t>
      </w:r>
      <w:r>
        <w:rPr>
          <w:rFonts w:hint="eastAsia" w:ascii="仿宋_GB2312" w:hAnsi="仿宋_GB2312" w:cs="仿宋_GB2312"/>
          <w:b w:val="0"/>
          <w:bCs w:val="0"/>
          <w:color w:val="auto"/>
          <w:spacing w:val="0"/>
          <w:kern w:val="21"/>
          <w:sz w:val="32"/>
          <w:szCs w:val="32"/>
          <w:highlight w:val="none"/>
          <w:lang w:eastAsia="zh-CN"/>
        </w:rPr>
        <w:t>。</w:t>
      </w:r>
      <w:r>
        <w:rPr>
          <w:rFonts w:hint="eastAsia" w:ascii="仿宋_GB2312" w:hAnsi="仿宋_GB2312" w:eastAsia="仿宋_GB2312" w:cs="仿宋_GB2312"/>
          <w:b w:val="0"/>
          <w:bCs w:val="0"/>
          <w:color w:val="auto"/>
          <w:spacing w:val="0"/>
          <w:kern w:val="21"/>
          <w:sz w:val="32"/>
          <w:szCs w:val="32"/>
        </w:rPr>
        <w:t>用好国土空间规划“一张图”和国土空间基础信息平台，在谋划重大项目工程时，充分考虑空间承载能力，科学布局项目建设地点，避免与“三区三线”相冲突，</w:t>
      </w:r>
      <w:r>
        <w:rPr>
          <w:rFonts w:hint="eastAsia" w:ascii="仿宋_GB2312" w:hAnsi="仿宋_GB2312" w:cs="仿宋_GB2312"/>
          <w:b w:val="0"/>
          <w:bCs w:val="0"/>
          <w:color w:val="auto"/>
          <w:spacing w:val="0"/>
          <w:kern w:val="21"/>
          <w:sz w:val="32"/>
          <w:szCs w:val="32"/>
          <w:lang w:val="en-US" w:eastAsia="zh-CN"/>
        </w:rPr>
        <w:t>推动</w:t>
      </w:r>
      <w:r>
        <w:rPr>
          <w:rFonts w:hint="eastAsia" w:ascii="仿宋_GB2312" w:hAnsi="仿宋_GB2312" w:eastAsia="仿宋_GB2312" w:cs="仿宋_GB2312"/>
          <w:b w:val="0"/>
          <w:bCs w:val="0"/>
          <w:color w:val="auto"/>
          <w:spacing w:val="0"/>
          <w:kern w:val="21"/>
          <w:sz w:val="32"/>
          <w:szCs w:val="32"/>
        </w:rPr>
        <w:t>高质量发展和高水平保护相统一</w:t>
      </w:r>
      <w:r>
        <w:rPr>
          <w:rFonts w:hint="eastAsia" w:ascii="仿宋_GB2312" w:hAnsi="仿宋_GB2312" w:cs="仿宋_GB2312"/>
          <w:b w:val="0"/>
          <w:bCs w:val="0"/>
          <w:color w:val="auto"/>
          <w:spacing w:val="0"/>
          <w:kern w:val="21"/>
          <w:sz w:val="32"/>
          <w:szCs w:val="32"/>
          <w:lang w:eastAsia="zh-CN"/>
        </w:rPr>
        <w:t>。</w:t>
      </w:r>
    </w:p>
    <w:p w14:paraId="11FA545A">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强化政策协调保障。</w:t>
      </w:r>
      <w:r>
        <w:rPr>
          <w:rFonts w:hint="eastAsia" w:ascii="仿宋_GB2312" w:hAnsi="仿宋_GB2312" w:cs="仿宋_GB2312"/>
          <w:color w:val="auto"/>
          <w:spacing w:val="0"/>
          <w:kern w:val="21"/>
          <w:sz w:val="32"/>
          <w:szCs w:val="32"/>
        </w:rPr>
        <w:t>加强政策研究和工作对接，落实</w:t>
      </w:r>
      <w:r>
        <w:rPr>
          <w:rFonts w:hint="eastAsia" w:ascii="仿宋_GB2312" w:hAnsi="仿宋_GB2312" w:cs="仿宋_GB2312"/>
          <w:color w:val="auto"/>
          <w:spacing w:val="0"/>
          <w:kern w:val="21"/>
          <w:sz w:val="32"/>
          <w:szCs w:val="32"/>
          <w:lang w:eastAsia="zh-CN"/>
        </w:rPr>
        <w:t>好《</w:t>
      </w:r>
      <w:r>
        <w:rPr>
          <w:rFonts w:hint="eastAsia" w:ascii="仿宋_GB2312" w:hAnsi="仿宋_GB2312" w:cs="仿宋_GB2312"/>
          <w:color w:val="auto"/>
          <w:spacing w:val="0"/>
          <w:kern w:val="21"/>
          <w:sz w:val="32"/>
          <w:szCs w:val="32"/>
        </w:rPr>
        <w:t>中华人民共和国国家发展规划法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w:t>
      </w:r>
      <w:r>
        <w:rPr>
          <w:rFonts w:hint="eastAsia"/>
          <w:color w:val="auto"/>
          <w:spacing w:val="0"/>
          <w:kern w:val="21"/>
          <w:sz w:val="32"/>
          <w:szCs w:val="32"/>
        </w:rPr>
        <w:t>强化宏观政策集成管理和目标协同，促进产业、价格、就业、消费、投资、区域、环保等政策协同发力。</w:t>
      </w:r>
      <w:r>
        <w:rPr>
          <w:rFonts w:hint="eastAsia" w:ascii="仿宋_GB2312" w:hAnsi="仿宋_GB2312" w:cs="仿宋_GB2312"/>
          <w:color w:val="auto"/>
          <w:spacing w:val="0"/>
          <w:kern w:val="21"/>
          <w:sz w:val="32"/>
          <w:szCs w:val="32"/>
        </w:rPr>
        <w:t>抢抓国家重大战略机遇，做好重点领域政策承接、要素争取、项目谋划</w:t>
      </w:r>
      <w:r>
        <w:rPr>
          <w:rFonts w:hint="eastAsia" w:ascii="仿宋_GB2312" w:hAnsi="仿宋_GB2312" w:cs="仿宋_GB2312"/>
          <w:color w:val="auto"/>
          <w:spacing w:val="0"/>
          <w:kern w:val="21"/>
          <w:sz w:val="32"/>
          <w:szCs w:val="32"/>
          <w:lang w:eastAsia="zh-CN"/>
        </w:rPr>
        <w:t>，</w:t>
      </w:r>
      <w:r>
        <w:rPr>
          <w:rFonts w:hint="eastAsia" w:ascii="仿宋_GB2312" w:hAnsi="仿宋_GB2312" w:eastAsia="仿宋_GB2312" w:cs="仿宋_GB2312"/>
          <w:color w:val="auto"/>
          <w:spacing w:val="0"/>
          <w:kern w:val="21"/>
          <w:sz w:val="32"/>
          <w:szCs w:val="32"/>
        </w:rPr>
        <w:t>力争更多打基础、利长远的重大项目进入</w:t>
      </w:r>
      <w:r>
        <w:rPr>
          <w:rFonts w:hint="eastAsia" w:ascii="仿宋_GB2312" w:hAnsi="仿宋_GB2312" w:cs="仿宋_GB2312"/>
          <w:color w:val="auto"/>
          <w:spacing w:val="0"/>
          <w:kern w:val="21"/>
          <w:sz w:val="32"/>
          <w:szCs w:val="32"/>
          <w:lang w:val="en-US" w:eastAsia="zh-CN"/>
        </w:rPr>
        <w:t>中</w:t>
      </w:r>
      <w:r>
        <w:rPr>
          <w:rFonts w:hint="eastAsia" w:ascii="仿宋_GB2312" w:hAnsi="仿宋_GB2312" w:eastAsia="仿宋_GB2312" w:cs="仿宋_GB2312"/>
          <w:color w:val="auto"/>
          <w:spacing w:val="0"/>
          <w:kern w:val="21"/>
          <w:sz w:val="32"/>
          <w:szCs w:val="32"/>
        </w:rPr>
        <w:t>省</w:t>
      </w:r>
      <w:r>
        <w:rPr>
          <w:rFonts w:hint="eastAsia" w:ascii="仿宋_GB2312" w:hAnsi="仿宋_GB2312" w:cs="仿宋_GB2312"/>
          <w:color w:val="auto"/>
          <w:spacing w:val="0"/>
          <w:kern w:val="21"/>
          <w:sz w:val="32"/>
          <w:szCs w:val="32"/>
          <w:lang w:val="en-US" w:eastAsia="zh-CN"/>
        </w:rPr>
        <w:t>盘子</w:t>
      </w:r>
      <w:r>
        <w:rPr>
          <w:rFonts w:hint="eastAsia" w:ascii="仿宋_GB2312" w:hAnsi="仿宋_GB2312" w:cs="仿宋_GB2312"/>
          <w:color w:val="auto"/>
          <w:spacing w:val="0"/>
          <w:kern w:val="21"/>
          <w:sz w:val="32"/>
          <w:szCs w:val="32"/>
        </w:rPr>
        <w:t>。加强政策协同性和一致性评估，按照激励性政策加码、普惠性政策扩面、约束性政策精当、收缩性政策慎出的取向，适时出台、完善、废止相关政策。</w:t>
      </w:r>
    </w:p>
    <w:p w14:paraId="7D8EE2E1">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加强对规划实施监督。</w:t>
      </w:r>
      <w:r>
        <w:rPr>
          <w:rFonts w:hint="eastAsia" w:ascii="仿宋_GB2312" w:hAnsi="仿宋_GB2312" w:cs="仿宋_GB2312"/>
          <w:color w:val="auto"/>
          <w:spacing w:val="0"/>
          <w:kern w:val="21"/>
          <w:sz w:val="32"/>
          <w:szCs w:val="32"/>
        </w:rPr>
        <w:t>充分发挥“两为三解四服务”、重点单项工作现场学习交流等工作机制的作用，全面提高规划执行力</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健全完善规划监督体系，</w:t>
      </w:r>
      <w:r>
        <w:rPr>
          <w:rFonts w:hint="eastAsia" w:ascii="仿宋_GB2312" w:hAnsi="仿宋_GB2312" w:cs="仿宋_GB2312"/>
          <w:color w:val="auto"/>
          <w:spacing w:val="0"/>
          <w:kern w:val="21"/>
          <w:sz w:val="32"/>
          <w:szCs w:val="32"/>
          <w:lang w:val="en-US" w:eastAsia="zh-CN"/>
        </w:rPr>
        <w:t>将</w:t>
      </w:r>
      <w:r>
        <w:rPr>
          <w:rFonts w:hint="eastAsia" w:ascii="仿宋_GB2312" w:hAnsi="仿宋_GB2312" w:cs="仿宋_GB2312"/>
          <w:color w:val="auto"/>
          <w:spacing w:val="0"/>
          <w:kern w:val="21"/>
          <w:sz w:val="32"/>
          <w:szCs w:val="32"/>
        </w:rPr>
        <w:t>监督融入</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规划</w:t>
      </w:r>
      <w:r>
        <w:rPr>
          <w:rFonts w:hint="eastAsia" w:ascii="仿宋_GB2312" w:hAnsi="仿宋_GB2312" w:cs="仿宋_GB2312"/>
          <w:color w:val="auto"/>
          <w:spacing w:val="0"/>
          <w:kern w:val="21"/>
          <w:sz w:val="32"/>
          <w:szCs w:val="32"/>
          <w:lang w:val="en-US" w:eastAsia="zh-CN"/>
        </w:rPr>
        <w:t>实施</w:t>
      </w:r>
      <w:r>
        <w:rPr>
          <w:rFonts w:hint="eastAsia" w:ascii="仿宋_GB2312" w:hAnsi="仿宋_GB2312" w:cs="仿宋_GB2312"/>
          <w:color w:val="auto"/>
          <w:spacing w:val="0"/>
          <w:kern w:val="21"/>
          <w:sz w:val="32"/>
          <w:szCs w:val="32"/>
        </w:rPr>
        <w:t>，强化党内监督，完善人大监督、民主监督、行政监督、司法监督、群众监督、舆论监督制度，发挥审计监督、统计监督职能作用，推进纪律监督、监察监督、派驻监督、巡视监督统筹衔接，增强监督治理效能，确保“十五五”规划各项任务落到实处、取得实效。</w:t>
      </w:r>
    </w:p>
    <w:p w14:paraId="6B7FFAE7">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健全年度工作推进机制。</w:t>
      </w:r>
      <w:r>
        <w:rPr>
          <w:rFonts w:hint="eastAsia" w:ascii="仿宋_GB2312" w:hAnsi="仿宋_GB2312" w:eastAsia="仿宋_GB2312" w:cs="仿宋_GB2312"/>
          <w:b w:val="0"/>
          <w:bCs w:val="0"/>
          <w:color w:val="auto"/>
          <w:spacing w:val="0"/>
          <w:kern w:val="21"/>
          <w:sz w:val="32"/>
          <w:szCs w:val="32"/>
          <w:lang w:val="en-US" w:eastAsia="zh-CN"/>
        </w:rPr>
        <w:t>分解落实</w:t>
      </w:r>
      <w:r>
        <w:rPr>
          <w:rFonts w:hint="eastAsia" w:ascii="仿宋_GB2312" w:hAnsi="仿宋_GB2312" w:cs="仿宋_GB2312"/>
          <w:b w:val="0"/>
          <w:bCs w:val="0"/>
          <w:color w:val="auto"/>
          <w:spacing w:val="0"/>
          <w:kern w:val="21"/>
          <w:sz w:val="32"/>
          <w:szCs w:val="32"/>
        </w:rPr>
        <w:t>规划目标任务，明确责任主体，夯实工作责任。强化年度计划与</w:t>
      </w:r>
      <w:r>
        <w:rPr>
          <w:rFonts w:hint="eastAsia" w:ascii="仿宋_GB2312" w:hAnsi="仿宋_GB2312" w:cs="仿宋_GB2312"/>
          <w:b w:val="0"/>
          <w:bCs w:val="0"/>
          <w:color w:val="auto"/>
          <w:spacing w:val="0"/>
          <w:kern w:val="21"/>
          <w:sz w:val="32"/>
          <w:szCs w:val="32"/>
          <w:lang w:val="en-US" w:eastAsia="zh-CN"/>
        </w:rPr>
        <w:t>本</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衔接，将</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确定的主要指</w:t>
      </w:r>
      <w:r>
        <w:rPr>
          <w:rFonts w:hint="eastAsia" w:ascii="仿宋_GB2312" w:hAnsi="仿宋_GB2312" w:cs="仿宋_GB2312"/>
          <w:color w:val="auto"/>
          <w:spacing w:val="0"/>
          <w:kern w:val="21"/>
          <w:sz w:val="32"/>
          <w:szCs w:val="32"/>
        </w:rPr>
        <w:t>标合理分解成年度目标，做好年度间综合平衡</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根据</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b w:val="0"/>
          <w:bCs w:val="0"/>
          <w:color w:val="auto"/>
          <w:spacing w:val="0"/>
          <w:kern w:val="21"/>
          <w:sz w:val="32"/>
          <w:szCs w:val="32"/>
        </w:rPr>
        <w:t>纲要</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cs="仿宋_GB2312"/>
          <w:color w:val="auto"/>
          <w:spacing w:val="0"/>
          <w:kern w:val="21"/>
          <w:sz w:val="32"/>
          <w:szCs w:val="32"/>
        </w:rPr>
        <w:t>确定的重点任务合理确定年度工作重点，形成</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长期战略</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发展规划</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年度计划</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的体系化推进和闭环落实机制。</w:t>
      </w:r>
    </w:p>
    <w:p w14:paraId="74F8D640">
      <w:pPr>
        <w:keepNext w:val="0"/>
        <w:keepLines w:val="0"/>
        <w:pageBreakBefore w:val="0"/>
        <w:widowControl w:val="0"/>
        <w:kinsoku/>
        <w:wordWrap/>
        <w:overflowPunct w:val="0"/>
        <w:topLinePunct w:val="0"/>
        <w:autoSpaceDE/>
        <w:autoSpaceDN/>
        <w:bidi w:val="0"/>
        <w:adjustRightInd/>
        <w:snapToGrid/>
        <w:spacing w:afterAutospacing="0" w:line="570" w:lineRule="exact"/>
        <w:ind w:left="0"/>
        <w:textAlignment w:val="auto"/>
        <w:rPr>
          <w:rFonts w:hint="eastAsia" w:ascii="仿宋_GB2312" w:hAnsi="仿宋_GB2312" w:cs="仿宋_GB2312"/>
          <w:color w:val="auto"/>
          <w:spacing w:val="0"/>
          <w:kern w:val="21"/>
          <w:sz w:val="32"/>
          <w:szCs w:val="32"/>
        </w:rPr>
      </w:pPr>
      <w:r>
        <w:rPr>
          <w:rFonts w:hint="eastAsia" w:ascii="楷体_GB2312" w:hAnsi="楷体_GB2312" w:eastAsia="楷体_GB2312" w:cs="楷体_GB2312"/>
          <w:b w:val="0"/>
          <w:bCs w:val="0"/>
          <w:color w:val="auto"/>
          <w:spacing w:val="0"/>
          <w:kern w:val="21"/>
          <w:sz w:val="32"/>
          <w:szCs w:val="32"/>
        </w:rPr>
        <w:t>加强规划实施监测评估。</w:t>
      </w:r>
      <w:r>
        <w:rPr>
          <w:rFonts w:hint="eastAsia" w:ascii="仿宋_GB2312" w:hAnsi="仿宋_GB2312" w:cs="仿宋_GB2312"/>
          <w:color w:val="auto"/>
          <w:spacing w:val="0"/>
          <w:kern w:val="21"/>
          <w:sz w:val="32"/>
          <w:szCs w:val="32"/>
        </w:rPr>
        <w:t>加强对</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纲要</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实施情况的跟踪分析和监测评估，健全动态监测评估</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中期评估</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总结评估的全过程动态规划评估体系，将监测结果作为加强和改进规划实施的重要依据。</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纲要</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的实施情况依法接受</w:t>
      </w:r>
      <w:r>
        <w:rPr>
          <w:rFonts w:hint="eastAsia" w:ascii="仿宋_GB2312" w:hAnsi="仿宋_GB2312" w:cs="仿宋_GB2312"/>
          <w:color w:val="auto"/>
          <w:spacing w:val="0"/>
          <w:kern w:val="21"/>
          <w:sz w:val="32"/>
          <w:szCs w:val="32"/>
          <w:lang w:val="en-US" w:eastAsia="zh-CN"/>
        </w:rPr>
        <w:t>市</w:t>
      </w:r>
      <w:r>
        <w:rPr>
          <w:rFonts w:hint="eastAsia" w:ascii="仿宋_GB2312" w:hAnsi="仿宋_GB2312" w:cs="仿宋_GB2312"/>
          <w:color w:val="auto"/>
          <w:spacing w:val="0"/>
          <w:kern w:val="21"/>
          <w:sz w:val="32"/>
          <w:szCs w:val="32"/>
        </w:rPr>
        <w:t>人民代表大会及其常务委员会的监督，</w:t>
      </w:r>
      <w:r>
        <w:rPr>
          <w:rFonts w:hint="eastAsia" w:ascii="仿宋_GB2312" w:hAnsi="仿宋_GB2312" w:cs="仿宋_GB2312"/>
          <w:color w:val="auto"/>
          <w:spacing w:val="0"/>
          <w:kern w:val="21"/>
          <w:sz w:val="32"/>
          <w:szCs w:val="32"/>
          <w:lang w:val="en-US" w:eastAsia="zh-CN"/>
        </w:rPr>
        <w:t>市</w:t>
      </w:r>
      <w:r>
        <w:rPr>
          <w:rFonts w:hint="eastAsia" w:ascii="仿宋_GB2312" w:hAnsi="仿宋_GB2312" w:cs="仿宋_GB2312"/>
          <w:color w:val="auto"/>
          <w:spacing w:val="0"/>
          <w:kern w:val="21"/>
          <w:sz w:val="32"/>
          <w:szCs w:val="32"/>
        </w:rPr>
        <w:t>政府相关部门负责组织开展规划实施情况中期评估</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形成中期评估报告报市委同意后，提请</w:t>
      </w:r>
      <w:r>
        <w:rPr>
          <w:rFonts w:hint="eastAsia" w:ascii="仿宋_GB2312" w:hAnsi="仿宋_GB2312" w:cs="仿宋_GB2312"/>
          <w:color w:val="auto"/>
          <w:spacing w:val="0"/>
          <w:kern w:val="21"/>
          <w:sz w:val="32"/>
          <w:szCs w:val="32"/>
          <w:lang w:val="en-US" w:eastAsia="zh-CN"/>
        </w:rPr>
        <w:t>市</w:t>
      </w:r>
      <w:r>
        <w:rPr>
          <w:rFonts w:hint="eastAsia" w:ascii="仿宋_GB2312" w:hAnsi="仿宋_GB2312" w:cs="仿宋_GB2312"/>
          <w:color w:val="auto"/>
          <w:spacing w:val="0"/>
          <w:kern w:val="21"/>
          <w:sz w:val="32"/>
          <w:szCs w:val="32"/>
        </w:rPr>
        <w:t>人大常务委员会审议，</w:t>
      </w:r>
      <w:r>
        <w:rPr>
          <w:rFonts w:hint="eastAsia" w:ascii="仿宋_GB2312" w:hAnsi="仿宋_GB2312" w:cs="仿宋_GB2312"/>
          <w:color w:val="auto"/>
          <w:spacing w:val="0"/>
          <w:kern w:val="21"/>
          <w:sz w:val="32"/>
          <w:szCs w:val="32"/>
          <w:lang w:val="en-US" w:eastAsia="zh-CN"/>
        </w:rPr>
        <w:t>扎实做好规划</w:t>
      </w:r>
      <w:r>
        <w:rPr>
          <w:rFonts w:hint="eastAsia" w:ascii="仿宋_GB2312" w:hAnsi="仿宋_GB2312" w:cs="仿宋_GB2312"/>
          <w:color w:val="auto"/>
          <w:spacing w:val="0"/>
          <w:kern w:val="21"/>
          <w:sz w:val="32"/>
          <w:szCs w:val="32"/>
        </w:rPr>
        <w:t>总结评估</w:t>
      </w:r>
      <w:r>
        <w:rPr>
          <w:rFonts w:hint="eastAsia" w:ascii="仿宋_GB2312" w:hAnsi="仿宋_GB2312" w:cs="仿宋_GB2312"/>
          <w:color w:val="auto"/>
          <w:spacing w:val="0"/>
          <w:kern w:val="21"/>
          <w:sz w:val="32"/>
          <w:szCs w:val="32"/>
          <w:lang w:val="en-US" w:eastAsia="zh-CN"/>
        </w:rPr>
        <w:t>工作</w:t>
      </w:r>
      <w:r>
        <w:rPr>
          <w:rFonts w:hint="eastAsia" w:ascii="仿宋_GB2312" w:hAnsi="仿宋_GB2312" w:cs="仿宋_GB2312"/>
          <w:color w:val="auto"/>
          <w:spacing w:val="0"/>
          <w:kern w:val="21"/>
          <w:sz w:val="32"/>
          <w:szCs w:val="32"/>
        </w:rPr>
        <w:t>。</w:t>
      </w:r>
    </w:p>
    <w:p w14:paraId="17226D07">
      <w:pPr>
        <w:pStyle w:val="3"/>
        <w:keepNext w:val="0"/>
        <w:keepLines w:val="0"/>
        <w:pageBreakBefore w:val="0"/>
        <w:widowControl w:val="0"/>
        <w:kinsoku/>
        <w:wordWrap/>
        <w:overflowPunct w:val="0"/>
        <w:topLinePunct w:val="0"/>
        <w:autoSpaceDE/>
        <w:autoSpaceDN/>
        <w:bidi w:val="0"/>
        <w:adjustRightInd/>
        <w:snapToGrid/>
        <w:spacing w:before="0" w:after="0" w:afterAutospacing="0" w:line="20" w:lineRule="exact"/>
        <w:ind w:left="0"/>
        <w:textAlignment w:val="auto"/>
        <w:rPr>
          <w:rFonts w:hint="eastAsia"/>
          <w:color w:val="auto"/>
          <w:spacing w:val="0"/>
          <w:kern w:val="21"/>
        </w:rPr>
      </w:pPr>
    </w:p>
    <w:p w14:paraId="1FC917FF">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color w:val="auto"/>
          <w:spacing w:val="0"/>
          <w:kern w:val="21"/>
          <w:sz w:val="32"/>
          <w:szCs w:val="32"/>
        </w:rPr>
      </w:pPr>
      <w:bookmarkStart w:id="178" w:name="_Toc3089"/>
      <w:bookmarkStart w:id="179" w:name="_Toc23596"/>
      <w:bookmarkStart w:id="180" w:name="_Toc30998"/>
    </w:p>
    <w:p w14:paraId="451E0955">
      <w:pPr>
        <w:pStyle w:val="5"/>
        <w:keepNext w:val="0"/>
        <w:keepLines w:val="0"/>
        <w:pageBreakBefore w:val="0"/>
        <w:widowControl w:val="0"/>
        <w:kinsoku/>
        <w:wordWrap/>
        <w:overflowPunct w:val="0"/>
        <w:topLinePunct w:val="0"/>
        <w:autoSpaceDE/>
        <w:autoSpaceDN/>
        <w:bidi w:val="0"/>
        <w:spacing w:before="0" w:beforeLines="0" w:after="0" w:afterLines="0" w:afterAutospacing="0"/>
        <w:ind w:left="0"/>
        <w:textAlignment w:val="auto"/>
        <w:rPr>
          <w:rFonts w:hint="eastAsia" w:eastAsia="黑体"/>
          <w:color w:val="auto"/>
          <w:spacing w:val="0"/>
          <w:kern w:val="21"/>
          <w:sz w:val="32"/>
          <w:szCs w:val="32"/>
          <w:lang w:eastAsia="zh-CN"/>
        </w:rPr>
      </w:pPr>
      <w:r>
        <w:rPr>
          <w:rFonts w:hint="eastAsia"/>
          <w:color w:val="auto"/>
          <w:spacing w:val="0"/>
          <w:kern w:val="21"/>
          <w:sz w:val="32"/>
          <w:szCs w:val="32"/>
        </w:rPr>
        <w:t>第</w:t>
      </w:r>
      <w:r>
        <w:rPr>
          <w:rFonts w:hint="eastAsia"/>
          <w:color w:val="auto"/>
          <w:spacing w:val="0"/>
          <w:kern w:val="21"/>
          <w:sz w:val="32"/>
          <w:szCs w:val="32"/>
          <w:lang w:val="en-US" w:eastAsia="zh-CN"/>
        </w:rPr>
        <w:t>四十八</w:t>
      </w:r>
      <w:r>
        <w:rPr>
          <w:rFonts w:hint="eastAsia"/>
          <w:color w:val="auto"/>
          <w:spacing w:val="0"/>
          <w:kern w:val="21"/>
          <w:sz w:val="32"/>
          <w:szCs w:val="32"/>
        </w:rPr>
        <w:t>章</w:t>
      </w:r>
      <w:r>
        <w:rPr>
          <w:rFonts w:hint="eastAsia"/>
          <w:color w:val="auto"/>
          <w:spacing w:val="0"/>
          <w:kern w:val="21"/>
          <w:sz w:val="32"/>
          <w:szCs w:val="32"/>
          <w:lang w:val="en-US" w:eastAsia="zh-CN"/>
        </w:rPr>
        <w:t xml:space="preserve">  夯实规划</w:t>
      </w:r>
      <w:r>
        <w:rPr>
          <w:rFonts w:hint="eastAsia"/>
          <w:color w:val="auto"/>
          <w:spacing w:val="0"/>
          <w:kern w:val="21"/>
          <w:sz w:val="32"/>
          <w:szCs w:val="32"/>
        </w:rPr>
        <w:t>项目</w:t>
      </w:r>
      <w:bookmarkEnd w:id="178"/>
      <w:bookmarkEnd w:id="179"/>
      <w:r>
        <w:rPr>
          <w:rFonts w:hint="eastAsia"/>
          <w:color w:val="auto"/>
          <w:spacing w:val="0"/>
          <w:kern w:val="21"/>
          <w:sz w:val="32"/>
          <w:szCs w:val="32"/>
          <w:lang w:val="en-US" w:eastAsia="zh-CN"/>
        </w:rPr>
        <w:t>支撑</w:t>
      </w:r>
      <w:bookmarkEnd w:id="180"/>
    </w:p>
    <w:p w14:paraId="61CC8E69">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rPr>
          <w:rFonts w:hint="eastAsia" w:ascii="仿宋_GB2312" w:hAnsi="仿宋_GB2312" w:cs="仿宋_GB2312"/>
          <w:b w:val="0"/>
          <w:bCs w:val="0"/>
          <w:color w:val="auto"/>
          <w:spacing w:val="0"/>
          <w:kern w:val="21"/>
          <w:sz w:val="32"/>
          <w:szCs w:val="32"/>
          <w:lang w:val="en-US" w:eastAsia="zh-CN"/>
        </w:rPr>
      </w:pPr>
    </w:p>
    <w:p w14:paraId="2C0439D7">
      <w:pPr>
        <w:keepNext w:val="0"/>
        <w:keepLines w:val="0"/>
        <w:pageBreakBefore w:val="0"/>
        <w:widowControl w:val="0"/>
        <w:kinsoku/>
        <w:wordWrap/>
        <w:overflowPunct w:val="0"/>
        <w:topLinePunct w:val="0"/>
        <w:autoSpaceDE/>
        <w:autoSpaceDN/>
        <w:bidi w:val="0"/>
        <w:adjustRightInd/>
        <w:snapToGrid/>
        <w:spacing w:afterAutospacing="0" w:line="580" w:lineRule="exact"/>
        <w:ind w:left="0"/>
        <w:textAlignment w:val="auto"/>
      </w:pPr>
      <w:r>
        <w:rPr>
          <w:rFonts w:hint="eastAsia" w:ascii="仿宋_GB2312" w:hAnsi="仿宋_GB2312" w:cs="仿宋_GB2312"/>
          <w:b w:val="0"/>
          <w:bCs w:val="0"/>
          <w:color w:val="auto"/>
          <w:spacing w:val="0"/>
          <w:kern w:val="21"/>
          <w:sz w:val="32"/>
          <w:szCs w:val="32"/>
          <w:lang w:val="en-US" w:eastAsia="zh-CN"/>
        </w:rPr>
        <w:t>将</w:t>
      </w:r>
      <w:r>
        <w:rPr>
          <w:rFonts w:hint="eastAsia" w:ascii="仿宋_GB2312" w:hAnsi="仿宋_GB2312" w:eastAsia="仿宋_GB2312" w:cs="仿宋_GB2312"/>
          <w:b w:val="0"/>
          <w:bCs w:val="0"/>
          <w:color w:val="auto"/>
          <w:spacing w:val="0"/>
          <w:kern w:val="21"/>
          <w:sz w:val="32"/>
          <w:szCs w:val="32"/>
        </w:rPr>
        <w:t>重大工程项目作为规划实施的重要抓手，以高质量项目推动高质量发展。</w:t>
      </w:r>
      <w:r>
        <w:rPr>
          <w:rFonts w:hint="eastAsia" w:ascii="仿宋_GB2312" w:hAnsi="仿宋_GB2312" w:cs="仿宋_GB2312"/>
          <w:b w:val="0"/>
          <w:bCs/>
          <w:color w:val="auto"/>
          <w:spacing w:val="0"/>
          <w:kern w:val="21"/>
          <w:sz w:val="32"/>
          <w:szCs w:val="32"/>
          <w:lang w:val="en-US" w:eastAsia="zh-CN"/>
        </w:rPr>
        <w:t>共</w:t>
      </w:r>
      <w:r>
        <w:rPr>
          <w:rFonts w:hint="eastAsia" w:ascii="仿宋_GB2312" w:hAnsi="仿宋_GB2312" w:cs="仿宋_GB2312"/>
          <w:color w:val="auto"/>
          <w:spacing w:val="0"/>
          <w:kern w:val="21"/>
          <w:sz w:val="32"/>
          <w:szCs w:val="32"/>
        </w:rPr>
        <w:t>谋划</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lang w:val="en-US" w:eastAsia="zh-CN"/>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重点项目</w:t>
      </w:r>
      <w:r>
        <w:rPr>
          <w:rFonts w:hint="eastAsia" w:ascii="仿宋_GB2312" w:hAnsi="仿宋_GB2312" w:cs="仿宋_GB2312"/>
          <w:color w:val="auto"/>
          <w:spacing w:val="0"/>
          <w:kern w:val="21"/>
          <w:sz w:val="32"/>
          <w:szCs w:val="32"/>
          <w:lang w:val="en-US" w:eastAsia="zh-CN"/>
        </w:rPr>
        <w:t>1715</w:t>
      </w:r>
      <w:r>
        <w:rPr>
          <w:rFonts w:hint="eastAsia" w:ascii="仿宋_GB2312" w:hAnsi="仿宋_GB2312" w:cs="仿宋_GB2312"/>
          <w:color w:val="auto"/>
          <w:spacing w:val="0"/>
          <w:kern w:val="21"/>
          <w:sz w:val="32"/>
          <w:szCs w:val="32"/>
        </w:rPr>
        <w:t>个，总投资</w:t>
      </w:r>
      <w:r>
        <w:rPr>
          <w:rFonts w:hint="eastAsia" w:ascii="仿宋_GB2312" w:hAnsi="仿宋_GB2312" w:cs="仿宋_GB2312"/>
          <w:color w:val="auto"/>
          <w:spacing w:val="0"/>
          <w:kern w:val="21"/>
          <w:sz w:val="32"/>
          <w:szCs w:val="32"/>
          <w:lang w:val="en-US" w:eastAsia="zh-CN"/>
        </w:rPr>
        <w:t>2.1万</w:t>
      </w:r>
      <w:r>
        <w:rPr>
          <w:rFonts w:hint="eastAsia" w:ascii="仿宋_GB2312" w:hAnsi="仿宋_GB2312" w:cs="仿宋_GB2312"/>
          <w:color w:val="auto"/>
          <w:spacing w:val="0"/>
          <w:kern w:val="21"/>
          <w:sz w:val="32"/>
          <w:szCs w:val="32"/>
        </w:rPr>
        <w:t>亿元</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bCs/>
          <w:color w:val="auto"/>
          <w:spacing w:val="0"/>
          <w:kern w:val="21"/>
          <w:sz w:val="32"/>
          <w:szCs w:val="32"/>
        </w:rPr>
        <w:t>聚焦产业转型，重点布局现代能源、高端化工、特色农业、文化旅游、数字经济五大领域产业项目，推动传统产业升级、新兴产业壮大。聚焦基础短板，统筹推进综合交通、水利供水、城市更新、新基建等基础设施重大工程，完善城乡发展硬支撑。聚焦生态治理，谋划实施黄河流域综合治理、水土流失修复、低碳循环发展等绿色生态项目。聚焦民生提质，补齐教育、医疗、养老、保障性住房等公共服务领域项目短板。强化项目建设全生命周期服务保障，</w:t>
      </w:r>
      <w:r>
        <w:rPr>
          <w:rFonts w:hint="eastAsia" w:ascii="仿宋_GB2312" w:hAnsi="仿宋_GB2312" w:cs="仿宋_GB2312"/>
          <w:color w:val="auto"/>
          <w:spacing w:val="0"/>
          <w:kern w:val="21"/>
          <w:sz w:val="32"/>
          <w:szCs w:val="32"/>
        </w:rPr>
        <w:t>从项目谋划、</w:t>
      </w:r>
      <w:r>
        <w:rPr>
          <w:rFonts w:hint="eastAsia" w:ascii="仿宋_GB2312" w:hAnsi="仿宋_GB2312" w:cs="仿宋_GB2312"/>
          <w:color w:val="auto"/>
          <w:spacing w:val="0"/>
          <w:kern w:val="21"/>
          <w:sz w:val="32"/>
          <w:szCs w:val="32"/>
          <w:lang w:val="en-US" w:eastAsia="zh-CN"/>
        </w:rPr>
        <w:t>储备</w:t>
      </w:r>
      <w:r>
        <w:rPr>
          <w:rFonts w:hint="eastAsia" w:ascii="仿宋_GB2312" w:hAnsi="仿宋_GB2312" w:cs="仿宋_GB2312"/>
          <w:color w:val="auto"/>
          <w:spacing w:val="0"/>
          <w:kern w:val="21"/>
          <w:sz w:val="32"/>
          <w:szCs w:val="32"/>
        </w:rPr>
        <w:t>、建设、投用全流程推进，用好月调度、季推进和领导包抓等机制，</w:t>
      </w:r>
      <w:r>
        <w:rPr>
          <w:rFonts w:hint="eastAsia" w:ascii="仿宋_GB2312" w:hAnsi="仿宋_GB2312" w:cs="仿宋_GB2312"/>
          <w:color w:val="auto"/>
          <w:spacing w:val="0"/>
          <w:kern w:val="21"/>
          <w:sz w:val="32"/>
          <w:szCs w:val="32"/>
          <w:lang w:val="en-US" w:eastAsia="zh-CN"/>
        </w:rPr>
        <w:t>并联推进要素要件办理，</w:t>
      </w:r>
      <w:r>
        <w:rPr>
          <w:rFonts w:hint="eastAsia" w:ascii="仿宋_GB2312" w:hAnsi="仿宋_GB2312" w:cs="仿宋_GB2312"/>
          <w:color w:val="auto"/>
          <w:spacing w:val="0"/>
          <w:kern w:val="21"/>
          <w:sz w:val="32"/>
          <w:szCs w:val="32"/>
        </w:rPr>
        <w:t>将项目论证、前期、土地、开工等要害环节作为突破口，集中解决影响项目落地的关键问题，确保项目早开工、早建设</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强化项目“</w:t>
      </w:r>
      <w:r>
        <w:rPr>
          <w:rFonts w:hint="eastAsia" w:ascii="仿宋_GB2312" w:hAnsi="仿宋_GB2312" w:cs="仿宋_GB2312"/>
          <w:color w:val="auto"/>
          <w:spacing w:val="0"/>
          <w:kern w:val="21"/>
          <w:sz w:val="32"/>
          <w:szCs w:val="32"/>
          <w:lang w:val="en-US" w:eastAsia="zh-CN"/>
        </w:rPr>
        <w:t>四</w:t>
      </w:r>
      <w:r>
        <w:rPr>
          <w:rFonts w:hint="eastAsia" w:ascii="仿宋_GB2312" w:hAnsi="仿宋_GB2312" w:cs="仿宋_GB2312"/>
          <w:color w:val="auto"/>
          <w:spacing w:val="0"/>
          <w:kern w:val="21"/>
          <w:sz w:val="32"/>
          <w:szCs w:val="32"/>
        </w:rPr>
        <w:t>个一批”动态管理，发挥“多库联通”作用，</w:t>
      </w:r>
      <w:r>
        <w:rPr>
          <w:rFonts w:hint="eastAsia" w:ascii="仿宋_GB2312" w:hAnsi="仿宋_GB2312" w:eastAsia="仿宋_GB2312" w:cs="仿宋_GB2312"/>
          <w:b w:val="0"/>
          <w:bCs w:val="0"/>
          <w:color w:val="auto"/>
          <w:spacing w:val="0"/>
          <w:kern w:val="21"/>
          <w:sz w:val="32"/>
          <w:szCs w:val="32"/>
        </w:rPr>
        <w:t>做好与年度省</w:t>
      </w:r>
      <w:r>
        <w:rPr>
          <w:rFonts w:hint="eastAsia" w:ascii="仿宋_GB2312" w:hAnsi="仿宋_GB2312" w:cs="仿宋_GB2312"/>
          <w:b w:val="0"/>
          <w:bCs w:val="0"/>
          <w:color w:val="auto"/>
          <w:spacing w:val="0"/>
          <w:kern w:val="21"/>
          <w:sz w:val="32"/>
          <w:szCs w:val="32"/>
          <w:lang w:val="en-US" w:eastAsia="zh-CN"/>
        </w:rPr>
        <w:t>市</w:t>
      </w:r>
      <w:r>
        <w:rPr>
          <w:rFonts w:hint="eastAsia" w:ascii="仿宋_GB2312" w:hAnsi="仿宋_GB2312" w:eastAsia="仿宋_GB2312" w:cs="仿宋_GB2312"/>
          <w:b w:val="0"/>
          <w:bCs w:val="0"/>
          <w:color w:val="auto"/>
          <w:spacing w:val="0"/>
          <w:kern w:val="21"/>
          <w:sz w:val="32"/>
          <w:szCs w:val="32"/>
        </w:rPr>
        <w:t>级重点建设项目的有机衔接</w:t>
      </w:r>
      <w:r>
        <w:rPr>
          <w:rFonts w:hint="eastAsia" w:ascii="仿宋_GB2312" w:hAnsi="仿宋_GB2312" w:cs="仿宋_GB2312"/>
          <w:b w:val="0"/>
          <w:bCs w:val="0"/>
          <w:color w:val="auto"/>
          <w:spacing w:val="0"/>
          <w:kern w:val="21"/>
          <w:sz w:val="32"/>
          <w:szCs w:val="32"/>
          <w:lang w:eastAsia="zh-CN"/>
        </w:rPr>
        <w:t>，</w:t>
      </w:r>
      <w:r>
        <w:rPr>
          <w:rFonts w:hint="eastAsia" w:ascii="仿宋_GB2312" w:hAnsi="仿宋_GB2312" w:eastAsia="仿宋_GB2312" w:cs="仿宋_GB2312"/>
          <w:b w:val="0"/>
          <w:bCs w:val="0"/>
          <w:color w:val="auto"/>
          <w:spacing w:val="0"/>
          <w:kern w:val="21"/>
          <w:sz w:val="32"/>
          <w:szCs w:val="32"/>
        </w:rPr>
        <w:t>推动规划项目接替有序实施。持续完善政策性资金项目储备清单、</w:t>
      </w:r>
      <w:r>
        <w:rPr>
          <w:rFonts w:hint="eastAsia" w:ascii="仿宋_GB2312" w:hAnsi="仿宋_GB2312" w:cs="仿宋_GB2312"/>
          <w:color w:val="auto"/>
          <w:spacing w:val="0"/>
          <w:kern w:val="21"/>
          <w:sz w:val="32"/>
          <w:szCs w:val="32"/>
        </w:rPr>
        <w:t>专项规划项目支</w:t>
      </w:r>
      <w:r>
        <w:rPr>
          <w:rFonts w:hint="eastAsia" w:ascii="仿宋_GB2312" w:hAnsi="仿宋_GB2312" w:cs="仿宋_GB2312"/>
          <w:color w:val="auto"/>
          <w:spacing w:val="0"/>
          <w:kern w:val="21"/>
          <w:sz w:val="32"/>
          <w:szCs w:val="32"/>
          <w:lang w:val="en-US" w:eastAsia="zh-CN"/>
        </w:rPr>
        <w:t>撑</w:t>
      </w:r>
      <w:r>
        <w:rPr>
          <w:rFonts w:hint="eastAsia" w:ascii="仿宋_GB2312" w:hAnsi="仿宋_GB2312" w:cs="仿宋_GB2312"/>
          <w:color w:val="auto"/>
          <w:spacing w:val="0"/>
          <w:kern w:val="21"/>
          <w:sz w:val="32"/>
          <w:szCs w:val="32"/>
        </w:rPr>
        <w:t>清单、重点产业链项目招引清单</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动态调整</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规划重大项目库</w:t>
      </w:r>
      <w:r>
        <w:rPr>
          <w:rFonts w:hint="eastAsia" w:ascii="仿宋_GB2312" w:hAnsi="仿宋_GB2312" w:cs="仿宋_GB2312"/>
          <w:color w:val="auto"/>
          <w:spacing w:val="0"/>
          <w:kern w:val="21"/>
          <w:sz w:val="32"/>
          <w:szCs w:val="32"/>
          <w:lang w:eastAsia="zh-CN"/>
        </w:rPr>
        <w:t>。建立部门协同、市县联动的要素保障机制，</w:t>
      </w:r>
      <w:r>
        <w:rPr>
          <w:rFonts w:hint="eastAsia" w:ascii="仿宋_GB2312" w:hAnsi="仿宋_GB2312" w:cs="仿宋_GB2312"/>
          <w:color w:val="auto"/>
          <w:spacing w:val="0"/>
          <w:kern w:val="21"/>
          <w:sz w:val="32"/>
          <w:szCs w:val="32"/>
          <w:lang w:val="en-US" w:eastAsia="zh-CN"/>
        </w:rPr>
        <w:t>立足</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十五五</w:t>
      </w:r>
      <w:r>
        <w:rPr>
          <w:rFonts w:hint="eastAsia" w:ascii="仿宋_GB2312" w:hAnsi="仿宋_GB2312" w:cs="仿宋_GB2312"/>
          <w:color w:val="auto"/>
          <w:spacing w:val="0"/>
          <w:kern w:val="21"/>
          <w:sz w:val="32"/>
          <w:szCs w:val="32"/>
          <w:lang w:eastAsia="zh-CN"/>
        </w:rPr>
        <w:t>”</w:t>
      </w:r>
      <w:r>
        <w:rPr>
          <w:rFonts w:hint="eastAsia" w:ascii="仿宋_GB2312" w:hAnsi="仿宋_GB2312" w:cs="仿宋_GB2312"/>
          <w:color w:val="auto"/>
          <w:spacing w:val="0"/>
          <w:kern w:val="21"/>
          <w:sz w:val="32"/>
          <w:szCs w:val="32"/>
        </w:rPr>
        <w:t>规划项目</w:t>
      </w:r>
      <w:r>
        <w:rPr>
          <w:rFonts w:hint="eastAsia" w:ascii="仿宋_GB2312" w:hAnsi="仿宋_GB2312" w:cs="仿宋_GB2312"/>
          <w:color w:val="auto"/>
          <w:spacing w:val="0"/>
          <w:kern w:val="21"/>
          <w:sz w:val="32"/>
          <w:szCs w:val="32"/>
          <w:lang w:val="en-US" w:eastAsia="zh-CN"/>
        </w:rPr>
        <w:t>需求，</w:t>
      </w:r>
      <w:r>
        <w:rPr>
          <w:rFonts w:hint="eastAsia" w:ascii="仿宋_GB2312" w:hAnsi="仿宋_GB2312" w:cs="仿宋_GB2312"/>
          <w:color w:val="auto"/>
          <w:spacing w:val="0"/>
          <w:kern w:val="21"/>
          <w:sz w:val="32"/>
          <w:szCs w:val="32"/>
        </w:rPr>
        <w:t>做好用地、用能、资金等要素统筹，积极争取中省资金、土地、能耗等优先保障，确保项目加快落地见效，夯实“十五五”经济社会发展的硬支撑。</w:t>
      </w:r>
    </w:p>
    <w:sectPr>
      <w:headerReference r:id="rId5" w:type="default"/>
      <w:footerReference r:id="rId7" w:type="default"/>
      <w:headerReference r:id="rId6" w:type="even"/>
      <w:footerReference r:id="rId8" w:type="even"/>
      <w:pgSz w:w="11906" w:h="16838"/>
      <w:pgMar w:top="2098" w:right="1531" w:bottom="1984" w:left="1531" w:header="1412" w:footer="1491" w:gutter="0"/>
      <w:pgBorders>
        <w:top w:val="none" w:sz="0" w:space="0"/>
        <w:left w:val="none" w:sz="0" w:space="0"/>
        <w:bottom w:val="none" w:sz="0" w:space="0"/>
        <w:right w:val="none" w:sz="0" w:space="0"/>
      </w:pgBorders>
      <w:pgNumType w:fmt="decimal"/>
      <w:cols w:space="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9CC08">
    <w:pPr>
      <w:pStyle w:val="13"/>
      <w:keepNext w:val="0"/>
      <w:keepLines w:val="0"/>
      <w:pageBreakBefore w:val="0"/>
      <w:widowControl w:val="0"/>
      <w:kinsoku/>
      <w:wordWrap w:val="0"/>
      <w:overflowPunct/>
      <w:topLinePunct w:val="0"/>
      <w:autoSpaceDE/>
      <w:autoSpaceDN/>
      <w:bidi w:val="0"/>
      <w:adjustRightInd/>
      <w:snapToGrid w:val="0"/>
      <w:spacing w:line="240" w:lineRule="auto"/>
      <w:textAlignment w:val="auto"/>
      <w:rPr>
        <w:rFonts w:hint="eastAsia"/>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8E8F">
    <w:pPr>
      <w:pStyle w:val="13"/>
      <w:keepNext w:val="0"/>
      <w:keepLines w:val="0"/>
      <w:pageBreakBefore w:val="0"/>
      <w:widowControl w:val="0"/>
      <w:kinsoku/>
      <w:wordWrap w:val="0"/>
      <w:overflowPunct/>
      <w:topLinePunct w:val="0"/>
      <w:autoSpaceDE/>
      <w:autoSpaceDN/>
      <w:bidi w:val="0"/>
      <w:adjustRightInd/>
      <w:snapToGrid w:val="0"/>
      <w:spacing w:line="240" w:lineRule="auto"/>
      <w:ind w:left="0" w:leftChars="0" w:firstLine="280" w:firstLineChars="100"/>
      <w:textAlignment w:val="auto"/>
      <w:rPr>
        <w:rFonts w:hint="eastAsia"/>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0D41">
    <w:pPr>
      <w:pStyle w:val="14"/>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78A17">
    <w:pPr>
      <w:pStyle w:val="14"/>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446C8C"/>
    <w:rsid w:val="59A96DCE"/>
    <w:rsid w:val="60446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643" w:firstLineChars="200"/>
      <w:jc w:val="both"/>
    </w:pPr>
    <w:rPr>
      <w:rFonts w:eastAsia="仿宋_GB2312" w:asciiTheme="minorHAnsi" w:hAnsiTheme="minorHAnsi" w:cstheme="minorBidi"/>
      <w:kern w:val="2"/>
      <w:sz w:val="32"/>
      <w:szCs w:val="22"/>
      <w:lang w:val="en-US" w:eastAsia="zh-CN" w:bidi="ar-SA"/>
    </w:rPr>
  </w:style>
  <w:style w:type="paragraph" w:styleId="4">
    <w:name w:val="heading 1"/>
    <w:basedOn w:val="1"/>
    <w:next w:val="1"/>
    <w:qFormat/>
    <w:uiPriority w:val="9"/>
    <w:pPr>
      <w:keepNext/>
      <w:keepLines/>
      <w:spacing w:before="50" w:beforeLines="50" w:after="50" w:afterLines="50"/>
      <w:ind w:firstLine="0" w:firstLineChars="0"/>
      <w:jc w:val="center"/>
      <w:outlineLvl w:val="0"/>
    </w:pPr>
    <w:rPr>
      <w:rFonts w:eastAsia="方正小标宋简体" w:asciiTheme="majorHAnsi" w:hAnsiTheme="majorHAnsi" w:cstheme="majorBidi"/>
      <w:sz w:val="36"/>
      <w:szCs w:val="48"/>
    </w:rPr>
  </w:style>
  <w:style w:type="paragraph" w:styleId="5">
    <w:name w:val="heading 2"/>
    <w:basedOn w:val="1"/>
    <w:next w:val="1"/>
    <w:unhideWhenUsed/>
    <w:qFormat/>
    <w:uiPriority w:val="9"/>
    <w:pPr>
      <w:keepNext/>
      <w:keepLines/>
      <w:spacing w:before="50" w:beforeLines="50" w:after="50" w:afterLines="50"/>
      <w:ind w:firstLine="0" w:firstLineChars="0"/>
      <w:jc w:val="center"/>
      <w:outlineLvl w:val="1"/>
    </w:pPr>
    <w:rPr>
      <w:rFonts w:eastAsia="黑体" w:asciiTheme="majorAscii" w:hAnsiTheme="majorAscii" w:cstheme="majorBidi"/>
      <w:szCs w:val="40"/>
    </w:rPr>
  </w:style>
  <w:style w:type="paragraph" w:styleId="6">
    <w:name w:val="heading 3"/>
    <w:basedOn w:val="7"/>
    <w:next w:val="7"/>
    <w:unhideWhenUsed/>
    <w:qFormat/>
    <w:uiPriority w:val="9"/>
    <w:pPr>
      <w:keepNext/>
      <w:keepLines/>
      <w:spacing w:before="50" w:beforeLines="50" w:beforeAutospacing="0" w:after="50" w:afterLines="50"/>
      <w:ind w:left="0" w:leftChars="0" w:firstLine="0" w:firstLineChars="0"/>
      <w:jc w:val="center"/>
      <w:outlineLvl w:val="2"/>
    </w:pPr>
    <w:rPr>
      <w:rFonts w:eastAsia="楷体_GB2312" w:asciiTheme="majorHAnsi" w:hAnsiTheme="majorHAnsi" w:cstheme="majorBidi"/>
      <w:b/>
      <w:szCs w:val="32"/>
    </w:rPr>
  </w:style>
  <w:style w:type="character" w:default="1" w:styleId="18">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before="0" w:after="120"/>
      <w:ind w:left="0" w:right="0"/>
      <w:jc w:val="both"/>
    </w:pPr>
    <w:rPr>
      <w:rFonts w:ascii="Calibri" w:hAnsi="Calibri" w:eastAsia="宋体" w:cs="宋体"/>
      <w:kern w:val="2"/>
      <w:sz w:val="21"/>
      <w:szCs w:val="24"/>
      <w:lang w:val="en-US" w:eastAsia="zh-CN" w:bidi="ar-SA"/>
    </w:rPr>
  </w:style>
  <w:style w:type="paragraph" w:styleId="3">
    <w:name w:val="Body Text First Indent"/>
    <w:basedOn w:val="2"/>
    <w:qFormat/>
    <w:uiPriority w:val="0"/>
    <w:pPr>
      <w:spacing w:after="120"/>
      <w:ind w:firstLine="420" w:firstLineChars="100"/>
    </w:pPr>
    <w:rPr>
      <w:sz w:val="30"/>
    </w:rPr>
  </w:style>
  <w:style w:type="paragraph" w:styleId="7">
    <w:name w:val="table of authorities"/>
    <w:basedOn w:val="1"/>
    <w:next w:val="1"/>
    <w:qFormat/>
    <w:uiPriority w:val="0"/>
    <w:pPr>
      <w:spacing w:before="100" w:beforeAutospacing="1" w:after="100" w:afterAutospacing="1"/>
      <w:ind w:left="420" w:leftChars="200"/>
    </w:pPr>
    <w:rPr>
      <w:rFonts w:ascii="Times New Roman" w:hAnsi="Times New Roman" w:cs="Times New Roman"/>
    </w:rPr>
  </w:style>
  <w:style w:type="paragraph" w:styleId="8">
    <w:name w:val="Normal Indent"/>
    <w:basedOn w:val="1"/>
    <w:next w:val="9"/>
    <w:qFormat/>
    <w:uiPriority w:val="0"/>
    <w:pPr>
      <w:ind w:firstLine="420"/>
    </w:pPr>
    <w:rPr>
      <w:rFonts w:ascii="仿宋_GB2312" w:hAnsi="仿宋_GB2312" w:cs="仿宋_GB2312"/>
      <w:szCs w:val="20"/>
    </w:rPr>
  </w:style>
  <w:style w:type="paragraph" w:styleId="9">
    <w:name w:val="index 5"/>
    <w:basedOn w:val="1"/>
    <w:next w:val="1"/>
    <w:unhideWhenUsed/>
    <w:qFormat/>
    <w:uiPriority w:val="99"/>
    <w:pPr>
      <w:ind w:left="1680"/>
    </w:pPr>
    <w:rPr>
      <w:rFonts w:ascii="Times New Roman" w:hAnsi="Times New Roman" w:eastAsia="宋体" w:cs="Times New Roman"/>
      <w:sz w:val="21"/>
      <w:szCs w:val="24"/>
    </w:rPr>
  </w:style>
  <w:style w:type="paragraph" w:styleId="10">
    <w:name w:val="caption"/>
    <w:basedOn w:val="1"/>
    <w:next w:val="1"/>
    <w:unhideWhenUsed/>
    <w:qFormat/>
    <w:uiPriority w:val="0"/>
    <w:pPr>
      <w:adjustRightInd w:val="0"/>
      <w:snapToGrid w:val="0"/>
      <w:ind w:firstLine="0" w:firstLineChars="0"/>
      <w:jc w:val="center"/>
    </w:pPr>
    <w:rPr>
      <w:rFonts w:ascii="Arial" w:hAnsi="Arial" w:eastAsia="黑体"/>
      <w:sz w:val="28"/>
    </w:rPr>
  </w:style>
  <w:style w:type="paragraph" w:styleId="11">
    <w:name w:val="Body Text Indent"/>
    <w:basedOn w:val="1"/>
    <w:next w:val="12"/>
    <w:unhideWhenUsed/>
    <w:qFormat/>
    <w:uiPriority w:val="99"/>
    <w:pPr>
      <w:spacing w:after="120"/>
      <w:ind w:left="420" w:leftChars="200"/>
    </w:pPr>
  </w:style>
  <w:style w:type="paragraph" w:styleId="12">
    <w:name w:val="toc 1"/>
    <w:basedOn w:val="1"/>
    <w:next w:val="1"/>
    <w:semiHidden/>
    <w:unhideWhenUsed/>
    <w:qFormat/>
    <w:uiPriority w:val="39"/>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tabs>
        <w:tab w:val="center" w:pos="4153"/>
        <w:tab w:val="right" w:pos="8306"/>
      </w:tabs>
      <w:snapToGrid w:val="0"/>
      <w:jc w:val="center"/>
    </w:pPr>
    <w:rPr>
      <w:sz w:val="18"/>
      <w:szCs w:val="18"/>
    </w:rPr>
  </w:style>
  <w:style w:type="paragraph" w:styleId="15">
    <w:name w:val="Body Text First Indent 2"/>
    <w:basedOn w:val="11"/>
    <w:unhideWhenUsed/>
    <w:qFormat/>
    <w:uiPriority w:val="99"/>
    <w:pPr>
      <w:ind w:firstLine="420"/>
    </w:p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Normal Indent1"/>
    <w:basedOn w:val="1"/>
    <w:qFormat/>
    <w:uiPriority w:val="0"/>
    <w:pPr>
      <w:ind w:firstLine="200"/>
    </w:pPr>
    <w:rPr>
      <w:rFonts w:eastAsia="楷体_GB2312"/>
    </w:rPr>
  </w:style>
  <w:style w:type="paragraph" w:customStyle="1" w:styleId="20">
    <w:name w:val="正文缩进1"/>
    <w:basedOn w:val="1"/>
    <w:qFormat/>
    <w:uiPriority w:val="99"/>
    <w:pPr>
      <w:ind w:firstLine="200" w:firstLineChars="200"/>
    </w:pPr>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129</Pages>
  <Words>0</Words>
  <Characters>0</Characters>
  <Lines>0</Lines>
  <Paragraphs>0</Paragraphs>
  <TotalTime>3</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2026-06-30T03:03:00Z</dcterms:created>
  <dc:creator>倘若</dc:creator>
  <cp:lastModifiedBy>倘若</cp:lastModifiedBy>
  <dcterms:modified xsi:type="dcterms:W3CDTF">2026-06-30T03:07:11Z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D28F0122B30D4150B7691C727B1CAC82_11</vt:lpwstr>
  </property>
  <property fmtid="{D5CDD505-2E9C-101B-9397-08002B2CF9AE}" pid="4" name="KSOTemplateDocerSaveRecord">
    <vt:lpwstr>eyJoZGlkIjoiMTJkY2MzMmU1ZGU5OGRhOGUzNmZmZTZkMDUwNTg4ZmQiLCJ1c2VySWQiOiI0NTgyNTI0NjIifQ==</vt:lpwstr>
  </property>
</Properties>
</file>