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4" w:lineRule="exact"/>
        <w:ind w:right="1776" w:rightChars="555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仪器仪表计量测试评价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3" w:type="dxa"/>
          <w:left w:w="108" w:type="dxa"/>
          <w:bottom w:w="53" w:type="dxa"/>
          <w:right w:w="108" w:type="dxa"/>
        </w:tblCellMar>
      </w:tblPr>
      <w:tblGrid>
        <w:gridCol w:w="759"/>
        <w:gridCol w:w="3846"/>
        <w:gridCol w:w="4665"/>
        <w:gridCol w:w="2377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仪器仪表类别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预计送样时间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激光跟踪仪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北京航天计量测试技术研究所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ICP光谱仪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钢研纳克检测技术股份有限公司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X射线衍射仪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车载激光雷达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北京航天计量测试技术研究所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数字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PCR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仪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高准确度科式质量流量计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信号发生器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北京无线电计量测试研究所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示波器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便携式碳排放测试仪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高精度数字多用表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北京东方计量测试研究所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流式细胞仪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中国测试技术研究院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光纤宽频大电流传感器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  <w:bookmarkStart w:id="0" w:name="_GoBack"/>
            <w:bookmarkEnd w:id="0"/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自动分检衡器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连续累计自动衡器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江苏省计量科学研究院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智慧供热系统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中国计量科学研究院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2026年6月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2026年10月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FDF34"/>
    <w:multiLevelType w:val="singleLevel"/>
    <w:tmpl w:val="989FDF34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D3B7E"/>
    <w:rsid w:val="3D25855B"/>
    <w:rsid w:val="47FFB3E9"/>
    <w:rsid w:val="580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overflowPunct w:val="0"/>
      <w:topLinePunct/>
    </w:pPr>
    <w:rPr>
      <w:rFonts w:ascii="宋体" w:hAnsi="Courier New" w:eastAsia="仿宋_GB2312" w:cs="宋体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2026-05-26T01:56:00Z</dcterms:created>
  <dc:creator>oo</dc:creator>
  <cp:lastModifiedBy>潘雍</cp:lastModifiedBy>
  <dcterms:modified xsi:type="dcterms:W3CDTF">2026-06-05T09:12:15Z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F6680BFD8716295327F9146A96BAD00C</vt:lpwstr>
  </property>
</Properties>
</file>