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1B6C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DDD17B4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AF23C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延安市产业链精准对接洽谈会活动方案</w:t>
      </w:r>
    </w:p>
    <w:p w14:paraId="39EF8302">
      <w:pPr>
        <w:pStyle w:val="2"/>
        <w:spacing w:line="580" w:lineRule="exact"/>
        <w:rPr>
          <w:spacing w:val="0"/>
        </w:rPr>
      </w:pPr>
    </w:p>
    <w:p w14:paraId="79A1C65A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一、时间地点</w:t>
      </w:r>
    </w:p>
    <w:p w14:paraId="10601369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5月22日（星期五）13:00-17:00</w:t>
      </w:r>
    </w:p>
    <w:p w14:paraId="51F6AAB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西安曲江惠宾苑宾馆2号楼1楼宴会厅</w:t>
      </w:r>
    </w:p>
    <w:p w14:paraId="4CBA6FFA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二、举办单位</w:t>
      </w:r>
    </w:p>
    <w:p w14:paraId="53100983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主办单位：延安市人民政府</w:t>
      </w:r>
    </w:p>
    <w:p w14:paraId="7B676A40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承办单位：延安市经济合作局（贸促会）</w:t>
      </w:r>
    </w:p>
    <w:p w14:paraId="6A17D76A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45CB0B5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全市“一园四区”战略，重点聚焦精细化工、先进装备制造及新材料、苹果及特色食品、现代文旅四大主攻方向，采取“分桌洽谈、集中服务”模式。现场设置15个精准对接洽谈桌，由各县（市、区）、开发区与匹配企业进行“面对面”深度磋商。同时，专设1个市级要素保障协调桌，由市发改委、市工信局、市经济合作局（贸促会）等部门组成，对跨区域或高度意向的项目进行研判，引导分流至最匹配的县区洽谈桌，以及集中解答各县区在洽谈中遇到的需市级协调的共性问题和瓶颈，提供解决方案建议，形成“县区主谈、市级保障”的联动机制，提升洽谈效率与实效。</w:t>
      </w:r>
      <w:bookmarkStart w:id="0" w:name="_GoBack"/>
      <w:bookmarkEnd w:id="0"/>
    </w:p>
    <w:p w14:paraId="1990545D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四、参加人员</w:t>
      </w:r>
    </w:p>
    <w:p w14:paraId="2189228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1.市政府分管领导，市发改委、市工信局、市财政局、市农业农村局、市市场监管局、市经济合作局（贸促会）、市行政审批局、市自然资源局、市生态环境局等市直相关部门、市属国有企业负责人；</w:t>
      </w:r>
    </w:p>
    <w:p w14:paraId="64F4AD9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2.各分团领导、工业园区及招商部门负责人；</w:t>
      </w:r>
    </w:p>
    <w:p w14:paraId="551C38D4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3.省内外商协会、企业代表；</w:t>
      </w:r>
    </w:p>
    <w:p w14:paraId="40CBF2CA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4.新闻媒体。</w:t>
      </w:r>
    </w:p>
    <w:p w14:paraId="795D4E5D">
      <w:pPr>
        <w:pStyle w:val="3"/>
        <w:spacing w:after="0" w:line="580" w:lineRule="exact"/>
        <w:ind w:firstLine="640" w:firstLineChars="200"/>
        <w:rPr>
          <w:rFonts w:ascii="黑体" w:hAnsi="黑体" w:cs="黑体"/>
          <w:spacing w:val="0"/>
          <w:sz w:val="32"/>
          <w:szCs w:val="32"/>
        </w:rPr>
      </w:pPr>
      <w:r>
        <w:rPr>
          <w:rFonts w:hint="eastAsia" w:ascii="黑体" w:hAnsi="黑体" w:cs="黑体"/>
          <w:spacing w:val="0"/>
          <w:sz w:val="32"/>
          <w:szCs w:val="32"/>
        </w:rPr>
        <w:t>五、工作要求</w:t>
      </w:r>
    </w:p>
    <w:p w14:paraId="163AB995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1.各分团务必高度重视此次精准洽谈机会，组建专业洽谈小组，提前梳理本区域产业基础、要素保障等核心优势，确保洽谈时能精准回应企业关切，高效推介投资价值。</w:t>
      </w:r>
    </w:p>
    <w:p w14:paraId="360F901A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2.市发改委、工信局、行政审批局、自然资源局、生态环境局、财政局等</w:t>
      </w:r>
      <w:r>
        <w:rPr>
          <w:rStyle w:val="9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市直相关部门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要围绕土地、能耗、环评、审批、融资等企业普遍关注的要素保障问题，梳理形成解答手册，供现场查阅和解答。</w:t>
      </w:r>
    </w:p>
    <w:p w14:paraId="55EFF4FD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3.洽谈结束后，各分团需将对接项目清单报送至市经济合作局统一汇总，</w:t>
      </w:r>
      <w:r>
        <w:rPr>
          <w:rStyle w:val="9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建立洽谈项目跟踪台账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，力促意向项目签约转化。</w:t>
      </w:r>
    </w:p>
    <w:p w14:paraId="407A6B10">
      <w:pPr>
        <w:pStyle w:val="2"/>
        <w:spacing w:line="580" w:lineRule="exact"/>
        <w:rPr>
          <w:rFonts w:ascii="仿宋_GB2312" w:hAnsi="仿宋_GB2312" w:cs="仿宋_GB2312"/>
          <w:spacing w:val="0"/>
          <w:sz w:val="32"/>
        </w:rPr>
      </w:pPr>
    </w:p>
    <w:p w14:paraId="0CFAEBE4">
      <w:pPr>
        <w:pStyle w:val="3"/>
        <w:spacing w:after="0" w:line="580" w:lineRule="exact"/>
        <w:ind w:firstLine="320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 w14:paraId="6C3E5EE0">
      <w:pPr>
        <w:widowControl/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</w:p>
    <w:p w14:paraId="02546EE8"/>
    <w:sectPr>
      <w:headerReference r:id="rId3" w:type="default"/>
      <w:footerReference r:id="rId4" w:type="default"/>
      <w:pgSz w:w="11906" w:h="16838"/>
      <w:pgMar w:top="1984" w:right="1474" w:bottom="1417" w:left="1587" w:header="1984" w:footer="1417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CDE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6508A9"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2+zbWAAAACgEAAA8AAAAAAAAAAQAgAAAAIgAAAGRycy9kb3ducmV2&#10;LnhtbFBLAQIUABQAAAAIAIdO4kDajL89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508A9"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8464">
    <w:pPr>
      <w:pStyle w:val="6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2D23"/>
    <w:rsid w:val="40C142CB"/>
    <w:rsid w:val="59A96DCE"/>
    <w:rsid w:val="5F5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</w:pPr>
    <w:rPr>
      <w:rFonts w:eastAsia="仿宋_GB2312"/>
      <w:spacing w:val="-6"/>
      <w:szCs w:val="32"/>
      <w:lang w:bidi="he-IL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黑体"/>
      <w:szCs w:val="22"/>
      <w:lang w:bidi="ar-SA"/>
    </w:rPr>
  </w:style>
  <w:style w:type="paragraph" w:styleId="4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2026-05-20T02:00:00Z</dcterms:created>
  <dc:creator>倘若</dc:creator>
  <cp:lastModifiedBy>倘若</cp:lastModifiedBy>
  <dcterms:modified xsi:type="dcterms:W3CDTF">2026-05-20T02:02:51Z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7064A256E2CB4388AC057438D8CDAE92_11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