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18" w:rsidRDefault="00040CA2">
      <w:pPr>
        <w:jc w:val="left"/>
        <w:outlineLvl w:val="1"/>
        <w:rPr>
          <w:rFonts w:ascii="Times New Roman" w:eastAsia="黑体" w:hAnsi="Times New Roman" w:cs="Times New Roman"/>
          <w:sz w:val="32"/>
          <w:szCs w:val="32"/>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3</w:t>
      </w:r>
    </w:p>
    <w:p w:rsidR="00816418" w:rsidRDefault="00040CA2">
      <w:pPr>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绿色供应链管理</w:t>
      </w:r>
      <w:r>
        <w:rPr>
          <w:rFonts w:ascii="方正小标宋_GBK" w:eastAsia="方正小标宋_GBK" w:hAnsi="方正小标宋_GBK" w:cs="方正小标宋_GBK" w:hint="eastAsia"/>
          <w:sz w:val="36"/>
          <w:szCs w:val="36"/>
        </w:rPr>
        <w:t>企业</w:t>
      </w:r>
      <w:r>
        <w:rPr>
          <w:rFonts w:ascii="方正小标宋_GBK" w:eastAsia="方正小标宋_GBK" w:hAnsi="方正小标宋_GBK" w:cs="方正小标宋_GBK" w:hint="eastAsia"/>
          <w:sz w:val="36"/>
          <w:szCs w:val="36"/>
        </w:rPr>
        <w:t>评价要求</w:t>
      </w:r>
    </w:p>
    <w:p w:rsidR="00816418" w:rsidRDefault="00816418">
      <w:pPr>
        <w:rPr>
          <w:sz w:val="32"/>
          <w:szCs w:val="32"/>
        </w:rPr>
      </w:pPr>
    </w:p>
    <w:p w:rsidR="00816418" w:rsidRDefault="00040CA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一、总则</w:t>
      </w:r>
    </w:p>
    <w:p w:rsidR="00816418" w:rsidRPr="00153EC3" w:rsidRDefault="00040CA2">
      <w:pPr>
        <w:spacing w:line="560" w:lineRule="exact"/>
        <w:ind w:firstLineChars="200" w:firstLine="643"/>
        <w:rPr>
          <w:rFonts w:ascii="楷体_GB2312" w:eastAsia="楷体_GB2312" w:hAnsi="楷体" w:cs="楷体" w:hint="eastAsia"/>
          <w:b/>
          <w:sz w:val="32"/>
          <w:szCs w:val="32"/>
        </w:rPr>
      </w:pPr>
      <w:r w:rsidRPr="00153EC3">
        <w:rPr>
          <w:rFonts w:ascii="楷体_GB2312" w:eastAsia="楷体_GB2312" w:hAnsi="楷体" w:cs="楷体" w:hint="eastAsia"/>
          <w:b/>
          <w:sz w:val="32"/>
          <w:szCs w:val="32"/>
        </w:rPr>
        <w:t>（一）定义、目的及范围</w:t>
      </w:r>
    </w:p>
    <w:p w:rsidR="00816418" w:rsidRDefault="00040CA2">
      <w:pPr>
        <w:spacing w:line="560" w:lineRule="exact"/>
        <w:ind w:firstLineChars="200" w:firstLine="640"/>
        <w:rPr>
          <w:rFonts w:ascii="仿宋_GB2312" w:eastAsia="仿宋_GB2312"/>
          <w:sz w:val="32"/>
          <w:szCs w:val="32"/>
        </w:rPr>
      </w:pPr>
      <w:r>
        <w:rPr>
          <w:rFonts w:ascii="Times New Roman" w:eastAsia="仿宋_GB2312" w:hAnsi="Times New Roman" w:cs="Times New Roman"/>
          <w:sz w:val="32"/>
          <w:szCs w:val="32"/>
        </w:rPr>
        <w:t>绿色供应链</w:t>
      </w:r>
      <w:r>
        <w:rPr>
          <w:rFonts w:ascii="Times New Roman" w:eastAsia="仿宋_GB2312" w:hAnsi="Times New Roman" w:cs="Times New Roman" w:hint="eastAsia"/>
          <w:sz w:val="32"/>
          <w:szCs w:val="32"/>
        </w:rPr>
        <w:t>管理企业是</w:t>
      </w:r>
      <w:r>
        <w:rPr>
          <w:rFonts w:ascii="Times New Roman" w:eastAsia="仿宋_GB2312" w:hAnsi="Times New Roman" w:cs="Times New Roman" w:hint="eastAsia"/>
          <w:sz w:val="32"/>
          <w:szCs w:val="32"/>
        </w:rPr>
        <w:t>指</w:t>
      </w:r>
      <w:r>
        <w:rPr>
          <w:rFonts w:ascii="Times New Roman" w:eastAsia="仿宋_GB2312" w:hAnsi="Times New Roman" w:cs="Times New Roman"/>
          <w:sz w:val="32"/>
          <w:szCs w:val="32"/>
        </w:rPr>
        <w:t>将</w:t>
      </w:r>
      <w:r>
        <w:rPr>
          <w:rFonts w:ascii="Times New Roman" w:eastAsia="仿宋_GB2312" w:hAnsi="Times New Roman" w:cs="Times New Roman" w:hint="eastAsia"/>
          <w:sz w:val="32"/>
          <w:szCs w:val="32"/>
        </w:rPr>
        <w:t>绿色低碳发展</w:t>
      </w:r>
      <w:r>
        <w:rPr>
          <w:rFonts w:ascii="Times New Roman" w:eastAsia="仿宋_GB2312" w:hAnsi="Times New Roman" w:cs="Times New Roman"/>
          <w:sz w:val="32"/>
          <w:szCs w:val="32"/>
        </w:rPr>
        <w:t>理念贯穿于企业产品设计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原材料采购、生产、运输、储存、销售、使用和报废处理</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全过程，</w:t>
      </w:r>
      <w:r>
        <w:rPr>
          <w:rFonts w:ascii="Times New Roman" w:eastAsia="仿宋_GB2312" w:hAnsi="Times New Roman" w:cs="Times New Roman" w:hint="eastAsia"/>
          <w:sz w:val="32"/>
          <w:szCs w:val="32"/>
        </w:rPr>
        <w:t>实现供应</w:t>
      </w:r>
      <w:r>
        <w:rPr>
          <w:rFonts w:ascii="Times New Roman" w:eastAsia="仿宋_GB2312" w:hAnsi="Times New Roman" w:cs="Times New Roman"/>
          <w:sz w:val="32"/>
          <w:szCs w:val="32"/>
        </w:rPr>
        <w:t>链</w:t>
      </w:r>
      <w:r>
        <w:rPr>
          <w:rFonts w:ascii="Times New Roman" w:eastAsia="仿宋_GB2312" w:hAnsi="Times New Roman" w:cs="Times New Roman" w:hint="eastAsia"/>
          <w:sz w:val="32"/>
          <w:szCs w:val="32"/>
        </w:rPr>
        <w:t>全链条绿色化水平协同提升的主导企业，是</w:t>
      </w:r>
      <w:r>
        <w:rPr>
          <w:rFonts w:ascii="Times New Roman" w:eastAsia="仿宋_GB2312" w:hAnsi="Times New Roman" w:cs="Times New Roman" w:hint="eastAsia"/>
          <w:sz w:val="32"/>
          <w:szCs w:val="32"/>
        </w:rPr>
        <w:t>带动供应链上下游工厂实施绿色制造的关键。</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绿色供应链管理范围：按照产品生命周期要求，对设计、采购、生产、物流、回收等业务流程进行管理，其中涉及供应商、制造企业、物流商、销售商、最终用户以及回收、拆解等企业的协作。</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（二）基本要求</w:t>
      </w:r>
    </w:p>
    <w:p w:rsidR="00816418" w:rsidRDefault="00040CA2">
      <w:pPr>
        <w:spacing w:line="56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是依法设立并具有独立法人资格或者视同法人的独立核算单位；</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具有较强的行业影响力；</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具有较完善的能源资源、环境管理体系，各项管理制度健全，符合国家和地方的法律法规及标准规范要求，近三年无</w:t>
      </w:r>
      <w:r>
        <w:rPr>
          <w:rFonts w:ascii="Times New Roman" w:eastAsia="仿宋_GB2312" w:hAnsi="Times New Roman" w:cs="Times New Roman"/>
          <w:sz w:val="32"/>
          <w:szCs w:val="32"/>
        </w:rPr>
        <w:lastRenderedPageBreak/>
        <w:t>重大安全和环境污染事故；</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拥有数量众多的供应商，在供应商中有很强的影响力，与上下游供应商建立良好的合作关系；</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有完善的供应商管理体系，建立健全的供应商认证、选择、审核、绩效管理和退出机制；</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有健全的财务管理制度，销售盈利能力处于行业领先水平；</w:t>
      </w:r>
    </w:p>
    <w:p w:rsidR="00816418" w:rsidRDefault="00040CA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153E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对实施绿色供应链管理有明确的工作目标、思路、计划和措施。</w:t>
      </w:r>
    </w:p>
    <w:p w:rsidR="00816418" w:rsidRDefault="00040CA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二、企业绿色供应链管理关键环节</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（一）确立可持续的绿色供应链管理战略</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（二）实施绿色供应商管理</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企业要树立绿色采购理念，不断改进和完善采购标准、制度，将绿色采购贯穿原材料、产品和服务采购的全过程。要从物料环保、污染预防、节能减排等方面对供应商进行</w:t>
      </w:r>
      <w:r>
        <w:rPr>
          <w:rFonts w:ascii="仿宋_GB2312" w:eastAsia="仿宋_GB2312" w:hint="eastAsia"/>
          <w:sz w:val="32"/>
          <w:szCs w:val="32"/>
        </w:rPr>
        <w:t>绿色伙伴认证、选择和管理，推动供应商持续提高绿色发展水平，共同构建绿色供应链。要早期介入</w:t>
      </w:r>
      <w:bookmarkStart w:id="0" w:name="_GoBack"/>
      <w:bookmarkEnd w:id="0"/>
      <w:r>
        <w:rPr>
          <w:rFonts w:ascii="仿宋_GB2312" w:eastAsia="仿宋_GB2312" w:hint="eastAsia"/>
          <w:sz w:val="32"/>
          <w:szCs w:val="32"/>
        </w:rPr>
        <w:t>、主动参与供应商的研发制造过</w:t>
      </w:r>
      <w:r>
        <w:rPr>
          <w:rFonts w:ascii="仿宋_GB2312" w:eastAsia="仿宋_GB2312" w:hint="eastAsia"/>
          <w:sz w:val="32"/>
          <w:szCs w:val="32"/>
        </w:rPr>
        <w:lastRenderedPageBreak/>
        <w:t>程，引导供应商减少各种原辅</w:t>
      </w:r>
      <w:r>
        <w:rPr>
          <w:rFonts w:ascii="仿宋_GB2312" w:eastAsia="仿宋_GB2312" w:hint="eastAsia"/>
          <w:sz w:val="32"/>
          <w:szCs w:val="32"/>
        </w:rPr>
        <w:t>材料</w:t>
      </w:r>
      <w:r>
        <w:rPr>
          <w:rFonts w:ascii="仿宋_GB2312" w:eastAsia="仿宋_GB2312" w:hint="eastAsia"/>
          <w:sz w:val="32"/>
          <w:szCs w:val="32"/>
        </w:rPr>
        <w:t>和包装材料用量、用更环保的材料替代，避免或减少环境污染。定期对供应商进行培训和技术支持，传递客户和其他利益相关者的环境要求，帮助供应商将要求融入业务之中并逐级传递。</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（三）强化绿色生产</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企业要建立基于产品全生命周期的绿色设计理念，整合环境数据资源，建立基础过程和产品数据库，构建评价模型，在研发设计阶段开展全生命周期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LCA</w:t>
      </w:r>
      <w:r>
        <w:rPr>
          <w:rFonts w:ascii="Times New Roman" w:eastAsia="仿宋_GB2312" w:hAnsi="Times New Roman" w:cs="Times New Roman"/>
          <w:sz w:val="32"/>
          <w:szCs w:val="32"/>
        </w:rPr>
        <w:t>）</w:t>
      </w:r>
      <w:r>
        <w:rPr>
          <w:rFonts w:ascii="仿宋_GB2312" w:eastAsia="仿宋_GB2312" w:hint="eastAsia"/>
          <w:sz w:val="32"/>
          <w:szCs w:val="32"/>
        </w:rPr>
        <w:t>评价。不断提升绿色技术创新能力，采用先进</w:t>
      </w:r>
      <w:r>
        <w:rPr>
          <w:rFonts w:ascii="仿宋_GB2312" w:eastAsia="仿宋_GB2312" w:hint="eastAsia"/>
          <w:sz w:val="32"/>
          <w:szCs w:val="32"/>
        </w:rPr>
        <w:t>适用的工艺技术与设备，减少或者避免生产过程中污染物的产生和排放。积极参与国际相关技术规范标准的制定，促进业界绿色生产水平提升，引领行业变革。</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（四）建设绿色回收体系</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（五）搭建绿色信息收集监测披露平台</w:t>
      </w:r>
    </w:p>
    <w:p w:rsidR="00816418" w:rsidRDefault="00040CA2">
      <w:pPr>
        <w:spacing w:line="560" w:lineRule="exact"/>
        <w:ind w:firstLineChars="200" w:firstLine="640"/>
        <w:rPr>
          <w:rFonts w:ascii="仿宋_GB2312" w:eastAsia="仿宋_GB2312"/>
          <w:sz w:val="32"/>
          <w:szCs w:val="32"/>
        </w:rPr>
      </w:pPr>
      <w:r>
        <w:rPr>
          <w:rFonts w:ascii="仿宋_GB2312" w:eastAsia="仿宋_GB2312" w:hint="eastAsia"/>
          <w:bCs/>
          <w:sz w:val="32"/>
          <w:szCs w:val="32"/>
        </w:rPr>
        <w:t>企业要建立能源消耗在线监测体系和</w:t>
      </w:r>
      <w:bookmarkStart w:id="1" w:name="OLE_LINK2"/>
      <w:bookmarkStart w:id="2" w:name="OLE_LINK1"/>
      <w:r>
        <w:rPr>
          <w:rFonts w:ascii="仿宋_GB2312" w:eastAsia="仿宋_GB2312" w:hint="eastAsia"/>
          <w:bCs/>
          <w:sz w:val="32"/>
          <w:szCs w:val="32"/>
        </w:rPr>
        <w:t>减排监测数据库</w:t>
      </w:r>
      <w:bookmarkEnd w:id="1"/>
      <w:bookmarkEnd w:id="2"/>
      <w:r>
        <w:rPr>
          <w:rFonts w:ascii="仿宋_GB2312" w:eastAsia="仿宋_GB2312" w:hint="eastAsia"/>
          <w:bCs/>
          <w:sz w:val="32"/>
          <w:szCs w:val="32"/>
        </w:rPr>
        <w:t>，定期发布企业社会责任报告，披露企业节能减排目标完成情况、污染物排放、违规情况等信息。要建立绿色供应链信息平台，收集绿色设计、绿色采购、绿色生产、绿色回收等过程的数据，</w:t>
      </w:r>
      <w:r>
        <w:rPr>
          <w:rFonts w:ascii="仿宋_GB2312" w:eastAsia="仿宋_GB2312" w:hint="eastAsia"/>
          <w:bCs/>
          <w:sz w:val="32"/>
          <w:szCs w:val="32"/>
        </w:rPr>
        <w:lastRenderedPageBreak/>
        <w:t>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rsidR="00816418" w:rsidRDefault="00040CA2">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三、企业绿色供应链管理评价方法</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（一）评价方式</w:t>
      </w:r>
    </w:p>
    <w:p w:rsidR="00816418" w:rsidRDefault="00040CA2">
      <w:pPr>
        <w:spacing w:line="560" w:lineRule="exact"/>
        <w:ind w:firstLineChars="200" w:firstLine="640"/>
        <w:rPr>
          <w:rFonts w:ascii="仿宋_GB2312" w:eastAsia="仿宋_GB2312"/>
          <w:sz w:val="32"/>
          <w:szCs w:val="32"/>
        </w:rPr>
      </w:pPr>
      <w:r>
        <w:rPr>
          <w:rFonts w:ascii="Times New Roman" w:eastAsia="仿宋_GB2312" w:hAnsi="Times New Roman" w:cs="Times New Roman"/>
          <w:sz w:val="32"/>
          <w:szCs w:val="32"/>
        </w:rPr>
        <w:t>企</w:t>
      </w:r>
      <w:r>
        <w:rPr>
          <w:rFonts w:ascii="Times New Roman" w:eastAsia="仿宋_GB2312" w:hAnsi="Times New Roman" w:cs="Times New Roman"/>
          <w:sz w:val="32"/>
          <w:szCs w:val="32"/>
        </w:rPr>
        <w:t>业绿色供应链管理评价</w:t>
      </w:r>
      <w:r>
        <w:rPr>
          <w:rFonts w:ascii="Times New Roman" w:eastAsia="仿宋_GB2312" w:hAnsi="Times New Roman" w:cs="Times New Roman" w:hint="eastAsia"/>
          <w:sz w:val="32"/>
          <w:szCs w:val="32"/>
        </w:rPr>
        <w:t>应</w:t>
      </w:r>
      <w:r>
        <w:rPr>
          <w:rFonts w:ascii="仿宋_GB2312" w:eastAsia="仿宋_GB2312" w:hint="eastAsia"/>
          <w:sz w:val="32"/>
          <w:szCs w:val="32"/>
        </w:rPr>
        <w:t>根据</w:t>
      </w:r>
      <w:r>
        <w:rPr>
          <w:rFonts w:ascii="仿宋_GB2312" w:eastAsia="仿宋_GB2312" w:hint="eastAsia"/>
          <w:sz w:val="32"/>
          <w:szCs w:val="32"/>
        </w:rPr>
        <w:t>绿色供应链管理关键环节，按照评价标准对企业进行实地调查，查阅相关文件、报表、数据等，确保评价结果客观准确。</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（二）评价指标体系</w:t>
      </w:r>
    </w:p>
    <w:p w:rsidR="00816418" w:rsidRDefault="00040CA2">
      <w:pPr>
        <w:spacing w:line="560" w:lineRule="exact"/>
        <w:ind w:firstLine="630"/>
        <w:rPr>
          <w:rFonts w:ascii="仿宋_GB2312" w:eastAsia="仿宋_GB2312"/>
          <w:sz w:val="32"/>
          <w:szCs w:val="32"/>
        </w:rPr>
      </w:pPr>
      <w:r>
        <w:rPr>
          <w:rFonts w:ascii="仿宋_GB2312" w:eastAsia="仿宋_GB2312" w:hint="eastAsia"/>
          <w:sz w:val="32"/>
          <w:szCs w:val="32"/>
        </w:rPr>
        <w:t>绿色供应链管理评价指标体系包括绿色供应链管理战略指标、绿色供应商管理指标、绿色生产指标、绿色回收指标、绿色信息平台建设指标、绿色信息</w:t>
      </w:r>
      <w:r>
        <w:rPr>
          <w:rFonts w:ascii="Times New Roman" w:eastAsia="仿宋_GB2312" w:hAnsi="Times New Roman" w:cs="Times New Roman"/>
          <w:sz w:val="32"/>
          <w:szCs w:val="32"/>
        </w:rPr>
        <w:t>披露指标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个方面。具体如</w:t>
      </w:r>
      <w:r>
        <w:rPr>
          <w:rFonts w:ascii="Times New Roman" w:eastAsia="仿宋_GB2312" w:hAnsi="Times New Roman" w:cs="Times New Roman"/>
          <w:sz w:val="32"/>
          <w:szCs w:val="32"/>
        </w:rPr>
        <w:t>附</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所示。</w:t>
      </w:r>
    </w:p>
    <w:p w:rsidR="00816418" w:rsidRDefault="00040CA2">
      <w:pPr>
        <w:jc w:val="center"/>
        <w:rPr>
          <w:rFonts w:ascii="黑体" w:eastAsia="黑体" w:hAnsi="黑体"/>
          <w:sz w:val="28"/>
          <w:szCs w:val="28"/>
        </w:rPr>
      </w:pPr>
      <w:r>
        <w:rPr>
          <w:rFonts w:ascii="黑体" w:eastAsia="黑体" w:hAnsi="黑体" w:hint="eastAsia"/>
          <w:sz w:val="28"/>
          <w:szCs w:val="28"/>
        </w:rPr>
        <w:t>附</w:t>
      </w:r>
      <w:r>
        <w:rPr>
          <w:rFonts w:ascii="黑体" w:eastAsia="黑体" w:hAnsi="黑体" w:hint="eastAsia"/>
          <w:sz w:val="28"/>
          <w:szCs w:val="28"/>
        </w:rPr>
        <w:t>表</w:t>
      </w:r>
      <w:r>
        <w:rPr>
          <w:rFonts w:ascii="Times New Roman" w:eastAsia="黑体" w:hAnsi="Times New Roman" w:cs="Times New Roman"/>
          <w:sz w:val="28"/>
          <w:szCs w:val="28"/>
        </w:rPr>
        <w:t>3.</w:t>
      </w:r>
      <w:r>
        <w:rPr>
          <w:rFonts w:ascii="Times New Roman" w:eastAsia="黑体" w:hAnsi="Times New Roman" w:cs="Times New Roman"/>
          <w:sz w:val="28"/>
          <w:szCs w:val="28"/>
        </w:rPr>
        <w:t xml:space="preserve">1 </w:t>
      </w:r>
      <w:r>
        <w:rPr>
          <w:rFonts w:ascii="黑体" w:eastAsia="黑体" w:hAnsi="黑体" w:hint="eastAsia"/>
          <w:sz w:val="28"/>
          <w:szCs w:val="28"/>
        </w:rPr>
        <w:t xml:space="preserve"> </w:t>
      </w:r>
      <w:r>
        <w:rPr>
          <w:rFonts w:ascii="黑体" w:eastAsia="黑体" w:hAnsi="黑体" w:hint="eastAsia"/>
          <w:sz w:val="28"/>
          <w:szCs w:val="28"/>
        </w:rPr>
        <w:t>企业绿色供应链管理评价指标体系</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28"/>
        <w:gridCol w:w="3601"/>
        <w:gridCol w:w="719"/>
        <w:gridCol w:w="840"/>
        <w:gridCol w:w="1454"/>
      </w:tblGrid>
      <w:tr w:rsidR="00816418">
        <w:tc>
          <w:tcPr>
            <w:tcW w:w="118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一级指标</w:t>
            </w: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序号</w:t>
            </w:r>
          </w:p>
        </w:tc>
        <w:tc>
          <w:tcPr>
            <w:tcW w:w="3601"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二级指标</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单位</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最高分值</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指标类型</w:t>
            </w:r>
          </w:p>
        </w:tc>
      </w:tr>
      <w:tr w:rsidR="00816418">
        <w:tc>
          <w:tcPr>
            <w:tcW w:w="1180" w:type="dxa"/>
            <w:vMerge w:val="restart"/>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绿色供应链管理</w:t>
            </w:r>
          </w:p>
          <w:p w:rsidR="00816418" w:rsidRDefault="00040CA2">
            <w:pPr>
              <w:jc w:val="center"/>
              <w:rPr>
                <w:rFonts w:ascii="Times New Roman" w:eastAsia="仿宋_GB2312" w:hAnsi="Times New Roman"/>
                <w:sz w:val="24"/>
              </w:rPr>
            </w:pPr>
            <w:r>
              <w:rPr>
                <w:rFonts w:ascii="Times New Roman" w:eastAsia="仿宋_GB2312" w:hAnsi="Times New Roman"/>
                <w:sz w:val="24"/>
              </w:rPr>
              <w:t>战略</w:t>
            </w:r>
            <w:r>
              <w:rPr>
                <w:rFonts w:ascii="Times New Roman" w:eastAsia="仿宋_GB2312" w:hAnsi="Times New Roman"/>
                <w:sz w:val="24"/>
              </w:rPr>
              <w:t>X1</w:t>
            </w: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1</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纳入公司发展规划</w:t>
            </w:r>
            <w:r>
              <w:rPr>
                <w:rFonts w:ascii="Times New Roman" w:eastAsia="仿宋_GB2312" w:hAnsi="Times New Roman"/>
                <w:sz w:val="24"/>
              </w:rPr>
              <w:t>X11</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8</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jc w:val="cente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2</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制定绿色供应链管理目标</w:t>
            </w:r>
            <w:r>
              <w:rPr>
                <w:rFonts w:ascii="Times New Roman" w:eastAsia="仿宋_GB2312" w:hAnsi="Times New Roman"/>
                <w:sz w:val="24"/>
              </w:rPr>
              <w:t>X12</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6</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3</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设置专门管理机构</w:t>
            </w:r>
            <w:r>
              <w:rPr>
                <w:rFonts w:ascii="Times New Roman" w:eastAsia="仿宋_GB2312" w:hAnsi="Times New Roman"/>
                <w:sz w:val="24"/>
              </w:rPr>
              <w:t>X13</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6</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restart"/>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实施绿色供应商</w:t>
            </w:r>
          </w:p>
          <w:p w:rsidR="00816418" w:rsidRDefault="00040CA2">
            <w:pPr>
              <w:jc w:val="center"/>
              <w:rPr>
                <w:rFonts w:ascii="Times New Roman" w:eastAsia="仿宋_GB2312" w:hAnsi="Times New Roman"/>
                <w:sz w:val="24"/>
              </w:rPr>
            </w:pPr>
            <w:r>
              <w:rPr>
                <w:rFonts w:ascii="Times New Roman" w:eastAsia="仿宋_GB2312" w:hAnsi="Times New Roman"/>
                <w:sz w:val="24"/>
              </w:rPr>
              <w:t>管理</w:t>
            </w:r>
            <w:r>
              <w:rPr>
                <w:rFonts w:ascii="Times New Roman" w:eastAsia="仿宋_GB2312" w:hAnsi="Times New Roman"/>
                <w:sz w:val="24"/>
              </w:rPr>
              <w:t>X2</w:t>
            </w: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4</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绿色采购标准制度完善</w:t>
            </w:r>
            <w:r>
              <w:rPr>
                <w:rFonts w:ascii="Times New Roman" w:eastAsia="仿宋_GB2312" w:hAnsi="Times New Roman"/>
                <w:sz w:val="24"/>
              </w:rPr>
              <w:t>X21</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4</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jc w:val="cente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5</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供应商认证体系完善</w:t>
            </w:r>
            <w:r>
              <w:rPr>
                <w:rFonts w:ascii="Times New Roman" w:eastAsia="仿宋_GB2312" w:hAnsi="Times New Roman"/>
                <w:sz w:val="24"/>
              </w:rPr>
              <w:t>X22</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3</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6</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对供应商定期审核</w:t>
            </w:r>
            <w:r>
              <w:rPr>
                <w:rFonts w:ascii="Times New Roman" w:eastAsia="仿宋_GB2312" w:hAnsi="Times New Roman"/>
                <w:sz w:val="24"/>
              </w:rPr>
              <w:t>X23</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3</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7</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供应商绩效评估制度健全</w:t>
            </w:r>
            <w:r>
              <w:rPr>
                <w:rFonts w:ascii="Times New Roman" w:eastAsia="仿宋_GB2312" w:hAnsi="Times New Roman"/>
                <w:sz w:val="24"/>
              </w:rPr>
              <w:t>X24</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3</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8</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定期对供应商进行培训</w:t>
            </w:r>
            <w:r>
              <w:rPr>
                <w:rFonts w:ascii="Times New Roman" w:eastAsia="仿宋_GB2312" w:hAnsi="Times New Roman"/>
                <w:sz w:val="24"/>
              </w:rPr>
              <w:t>X25</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3</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ign w:val="center"/>
          </w:tcPr>
          <w:p w:rsidR="00816418" w:rsidRDefault="00816418">
            <w:pPr>
              <w:rPr>
                <w:rFonts w:ascii="Times New Roman" w:eastAsia="仿宋_GB2312" w:hAnsi="Times New Roman"/>
                <w:sz w:val="24"/>
              </w:rPr>
            </w:pP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9</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低风险供应商占比</w:t>
            </w:r>
            <w:r>
              <w:rPr>
                <w:rFonts w:ascii="Times New Roman" w:eastAsia="仿宋_GB2312" w:hAnsi="Times New Roman"/>
                <w:sz w:val="24"/>
              </w:rPr>
              <w:t>X26</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4</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定量</w:t>
            </w:r>
          </w:p>
        </w:tc>
      </w:tr>
      <w:tr w:rsidR="00816418" w:rsidTr="00153EC3">
        <w:trPr>
          <w:trHeight w:val="463"/>
        </w:trPr>
        <w:tc>
          <w:tcPr>
            <w:tcW w:w="1180" w:type="dxa"/>
            <w:vMerge w:val="restart"/>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绿色生产</w:t>
            </w:r>
            <w:r>
              <w:rPr>
                <w:rFonts w:ascii="Times New Roman" w:eastAsia="仿宋_GB2312" w:hAnsi="Times New Roman"/>
                <w:sz w:val="24"/>
              </w:rPr>
              <w:t>X3</w:t>
            </w:r>
          </w:p>
        </w:tc>
        <w:tc>
          <w:tcPr>
            <w:tcW w:w="728" w:type="dxa"/>
          </w:tcPr>
          <w:p w:rsidR="00816418" w:rsidRDefault="00040CA2">
            <w:pPr>
              <w:jc w:val="center"/>
              <w:rPr>
                <w:rFonts w:ascii="Times New Roman" w:eastAsia="仿宋_GB2312" w:hAnsi="Times New Roman"/>
                <w:sz w:val="24"/>
              </w:rPr>
            </w:pPr>
            <w:r>
              <w:rPr>
                <w:rFonts w:ascii="Times New Roman" w:eastAsia="仿宋_GB2312" w:hAnsi="Times New Roman"/>
                <w:sz w:val="24"/>
              </w:rPr>
              <w:t>10</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节能减排环保合规</w:t>
            </w:r>
            <w:r>
              <w:rPr>
                <w:rFonts w:ascii="Times New Roman" w:eastAsia="仿宋_GB2312" w:hAnsi="Times New Roman"/>
                <w:sz w:val="24"/>
              </w:rPr>
              <w:t>X31</w:t>
            </w:r>
          </w:p>
        </w:tc>
        <w:tc>
          <w:tcPr>
            <w:tcW w:w="719" w:type="dxa"/>
            <w:vAlign w:val="center"/>
          </w:tcPr>
          <w:p w:rsidR="00816418" w:rsidRDefault="00816418">
            <w:pPr>
              <w:jc w:val="center"/>
              <w:rPr>
                <w:rFonts w:ascii="Times New Roman" w:eastAsia="仿宋_GB2312" w:hAnsi="Times New Roman"/>
                <w:sz w:val="24"/>
              </w:rPr>
            </w:pP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10</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rsidTr="00153EC3">
        <w:trPr>
          <w:trHeight w:val="839"/>
        </w:trPr>
        <w:tc>
          <w:tcPr>
            <w:tcW w:w="1180" w:type="dxa"/>
            <w:vMerge/>
            <w:vAlign w:val="center"/>
          </w:tcPr>
          <w:p w:rsidR="00816418" w:rsidRDefault="00816418">
            <w:pP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11</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符合有害物质限制使用管理办法</w:t>
            </w:r>
            <w:r>
              <w:rPr>
                <w:rFonts w:ascii="Times New Roman" w:eastAsia="仿宋_GB2312" w:hAnsi="Times New Roman"/>
                <w:sz w:val="24"/>
              </w:rPr>
              <w:t>X32</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10</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c>
          <w:tcPr>
            <w:tcW w:w="1180" w:type="dxa"/>
            <w:vMerge w:val="restart"/>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lastRenderedPageBreak/>
              <w:t>绿色回收</w:t>
            </w:r>
            <w:r>
              <w:rPr>
                <w:rFonts w:ascii="Times New Roman" w:eastAsia="仿宋_GB2312" w:hAnsi="Times New Roman"/>
                <w:sz w:val="24"/>
              </w:rPr>
              <w:t>X4</w:t>
            </w: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12</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产品回收率</w:t>
            </w:r>
            <w:r>
              <w:rPr>
                <w:rFonts w:ascii="Times New Roman" w:eastAsia="仿宋_GB2312" w:hAnsi="Times New Roman"/>
                <w:sz w:val="24"/>
              </w:rPr>
              <w:t>X41</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定量</w:t>
            </w:r>
          </w:p>
        </w:tc>
      </w:tr>
      <w:tr w:rsidR="00816418">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13</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包装回收率</w:t>
            </w:r>
            <w:r>
              <w:rPr>
                <w:rFonts w:ascii="Times New Roman" w:eastAsia="仿宋_GB2312" w:hAnsi="Times New Roman"/>
                <w:sz w:val="24"/>
              </w:rPr>
              <w:t>X42</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定量</w:t>
            </w:r>
          </w:p>
        </w:tc>
      </w:tr>
      <w:tr w:rsidR="00816418">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14</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回收体系完善（含自建、与第三方联合回收）</w:t>
            </w:r>
            <w:r>
              <w:rPr>
                <w:rFonts w:ascii="Times New Roman" w:eastAsia="仿宋_GB2312" w:hAnsi="Times New Roman"/>
                <w:sz w:val="24"/>
              </w:rPr>
              <w:t>X43</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574"/>
        </w:trPr>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15</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指导下游企业回收拆解</w:t>
            </w:r>
            <w:r>
              <w:rPr>
                <w:rFonts w:ascii="Times New Roman" w:eastAsia="仿宋_GB2312" w:hAnsi="Times New Roman"/>
                <w:sz w:val="24"/>
              </w:rPr>
              <w:t>X44</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p w:rsidR="00816418" w:rsidRDefault="00816418">
            <w:pPr>
              <w:jc w:val="center"/>
              <w:rPr>
                <w:rFonts w:ascii="Times New Roman" w:eastAsia="仿宋_GB2312" w:hAnsi="Times New Roman"/>
                <w:sz w:val="24"/>
              </w:rPr>
            </w:pP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906"/>
        </w:trPr>
        <w:tc>
          <w:tcPr>
            <w:tcW w:w="118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绿色信息平台建设</w:t>
            </w:r>
            <w:r>
              <w:rPr>
                <w:rFonts w:ascii="Times New Roman" w:eastAsia="仿宋_GB2312" w:hAnsi="Times New Roman"/>
                <w:sz w:val="24"/>
              </w:rPr>
              <w:t>X5</w:t>
            </w: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16</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绿色供应链管理信息平台完善</w:t>
            </w:r>
            <w:r>
              <w:rPr>
                <w:rFonts w:ascii="Times New Roman" w:eastAsia="仿宋_GB2312" w:hAnsi="Times New Roman"/>
                <w:sz w:val="24"/>
              </w:rPr>
              <w:t>X51</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10</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906"/>
        </w:trPr>
        <w:tc>
          <w:tcPr>
            <w:tcW w:w="1180" w:type="dxa"/>
            <w:vMerge w:val="restart"/>
            <w:vAlign w:val="center"/>
          </w:tcPr>
          <w:p w:rsidR="00816418" w:rsidRDefault="00040CA2">
            <w:pPr>
              <w:rPr>
                <w:rFonts w:ascii="Times New Roman" w:eastAsia="仿宋_GB2312" w:hAnsi="Times New Roman"/>
                <w:sz w:val="24"/>
              </w:rPr>
            </w:pPr>
            <w:r>
              <w:rPr>
                <w:rFonts w:ascii="Times New Roman" w:eastAsia="仿宋_GB2312" w:hAnsi="Times New Roman"/>
                <w:sz w:val="24"/>
              </w:rPr>
              <w:t>绿色信息披露</w:t>
            </w:r>
            <w:r>
              <w:rPr>
                <w:rFonts w:ascii="Times New Roman" w:eastAsia="仿宋_GB2312" w:hAnsi="Times New Roman"/>
                <w:sz w:val="24"/>
              </w:rPr>
              <w:t>X6</w:t>
            </w: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17</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披露企业节能减排减碳信息</w:t>
            </w:r>
            <w:r>
              <w:rPr>
                <w:rFonts w:ascii="Times New Roman" w:eastAsia="仿宋_GB2312" w:hAnsi="Times New Roman"/>
                <w:sz w:val="24"/>
              </w:rPr>
              <w:t>X61</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2.5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762"/>
        </w:trPr>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18</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披露高、中风险供应商审核率及低风险供应商占比</w:t>
            </w:r>
            <w:r>
              <w:rPr>
                <w:rFonts w:ascii="Times New Roman" w:eastAsia="仿宋_GB2312" w:hAnsi="Times New Roman"/>
                <w:sz w:val="24"/>
              </w:rPr>
              <w:t>X62</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2.5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623"/>
        </w:trPr>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19</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披露供应商节能减排信息</w:t>
            </w:r>
            <w:r>
              <w:rPr>
                <w:rFonts w:ascii="Times New Roman" w:eastAsia="仿宋_GB2312" w:hAnsi="Times New Roman"/>
                <w:sz w:val="24"/>
              </w:rPr>
              <w:t>X63</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2.5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r w:rsidR="00816418">
        <w:trPr>
          <w:trHeight w:val="623"/>
        </w:trPr>
        <w:tc>
          <w:tcPr>
            <w:tcW w:w="1180" w:type="dxa"/>
            <w:vMerge/>
            <w:vAlign w:val="center"/>
          </w:tcPr>
          <w:p w:rsidR="00816418" w:rsidRDefault="00816418">
            <w:pPr>
              <w:jc w:val="center"/>
              <w:rPr>
                <w:rFonts w:ascii="Times New Roman" w:eastAsia="仿宋_GB2312" w:hAnsi="Times New Roman"/>
                <w:sz w:val="24"/>
              </w:rPr>
            </w:pPr>
          </w:p>
        </w:tc>
        <w:tc>
          <w:tcPr>
            <w:tcW w:w="728"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20</w:t>
            </w:r>
          </w:p>
        </w:tc>
        <w:tc>
          <w:tcPr>
            <w:tcW w:w="3601" w:type="dxa"/>
            <w:vAlign w:val="center"/>
          </w:tcPr>
          <w:p w:rsidR="00816418" w:rsidRDefault="00040CA2">
            <w:pPr>
              <w:rPr>
                <w:rFonts w:ascii="Times New Roman" w:eastAsia="仿宋_GB2312" w:hAnsi="Times New Roman"/>
                <w:sz w:val="24"/>
              </w:rPr>
            </w:pPr>
            <w:r>
              <w:rPr>
                <w:rFonts w:ascii="Times New Roman" w:eastAsia="仿宋_GB2312" w:hAnsi="Times New Roman"/>
                <w:sz w:val="24"/>
              </w:rPr>
              <w:t>发布企业社会责任报告（含绿色采购信息）</w:t>
            </w:r>
            <w:r>
              <w:rPr>
                <w:rFonts w:ascii="Times New Roman" w:eastAsia="仿宋_GB2312" w:hAnsi="Times New Roman"/>
                <w:sz w:val="24"/>
              </w:rPr>
              <w:t>X64</w:t>
            </w:r>
          </w:p>
        </w:tc>
        <w:tc>
          <w:tcPr>
            <w:tcW w:w="719"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w:t>
            </w:r>
          </w:p>
        </w:tc>
        <w:tc>
          <w:tcPr>
            <w:tcW w:w="840"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2.5</w:t>
            </w:r>
          </w:p>
        </w:tc>
        <w:tc>
          <w:tcPr>
            <w:tcW w:w="1454" w:type="dxa"/>
            <w:vAlign w:val="center"/>
          </w:tcPr>
          <w:p w:rsidR="00816418" w:rsidRDefault="00040CA2">
            <w:pPr>
              <w:jc w:val="center"/>
              <w:rPr>
                <w:rFonts w:ascii="Times New Roman" w:eastAsia="仿宋_GB2312" w:hAnsi="Times New Roman"/>
                <w:sz w:val="24"/>
              </w:rPr>
            </w:pPr>
            <w:r>
              <w:rPr>
                <w:rFonts w:ascii="Times New Roman" w:eastAsia="仿宋_GB2312" w:hAnsi="Times New Roman"/>
                <w:sz w:val="24"/>
              </w:rPr>
              <w:t>定性</w:t>
            </w:r>
          </w:p>
        </w:tc>
      </w:tr>
    </w:tbl>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（三）绿色供应链评价指数计算方法</w:t>
      </w:r>
    </w:p>
    <w:p w:rsidR="00816418" w:rsidRDefault="00040CA2">
      <w:pPr>
        <w:ind w:firstLine="630"/>
        <w:rPr>
          <w:rFonts w:ascii="仿宋_GB2312" w:eastAsia="仿宋_GB2312"/>
          <w:sz w:val="32"/>
          <w:szCs w:val="32"/>
        </w:rPr>
      </w:pPr>
      <w:r>
        <w:rPr>
          <w:rFonts w:ascii="仿宋_GB2312" w:eastAsia="仿宋_GB2312" w:hint="eastAsia"/>
          <w:sz w:val="32"/>
          <w:szCs w:val="32"/>
        </w:rPr>
        <w:t>企业绿色供应链管理指数的计算公式如下。</w:t>
      </w:r>
    </w:p>
    <w:p w:rsidR="00816418" w:rsidRDefault="00040CA2">
      <w:pPr>
        <w:ind w:left="320" w:hangingChars="100" w:hanging="320"/>
        <w:rPr>
          <w:rFonts w:ascii="Times New Roman" w:eastAsia="仿宋_GB2312" w:hAnsi="Times New Roman" w:cs="Times New Roman"/>
          <w:position w:val="-30"/>
          <w:sz w:val="32"/>
          <w:szCs w:val="32"/>
        </w:rPr>
      </w:pPr>
      <w:r>
        <w:rPr>
          <w:rFonts w:ascii="Times New Roman" w:eastAsia="仿宋_GB2312" w:hAnsi="Times New Roman" w:cs="Times New Roman"/>
          <w:position w:val="-30"/>
          <w:sz w:val="32"/>
          <w:szCs w:val="32"/>
        </w:rPr>
        <w:object w:dxaOrig="8205" w:dyaOrig="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44.25pt" o:ole="">
            <v:imagedata r:id="rId7" o:title=""/>
          </v:shape>
          <o:OLEObject Type="Embed" ProgID="Equation.3" ShapeID="_x0000_i1025" DrawAspect="Content" ObjectID="_1837599790" r:id="rId8"/>
        </w:object>
      </w:r>
    </w:p>
    <w:p w:rsidR="00816418" w:rsidRDefault="00040CA2">
      <w:pPr>
        <w:spacing w:line="560" w:lineRule="exact"/>
        <w:ind w:left="320" w:hangingChars="100" w:hanging="320"/>
        <w:rPr>
          <w:rFonts w:ascii="仿宋_GB2312" w:eastAsia="仿宋_GB2312"/>
          <w:sz w:val="32"/>
          <w:szCs w:val="32"/>
        </w:rPr>
      </w:pPr>
      <w:r>
        <w:rPr>
          <w:rFonts w:ascii="仿宋_GB2312" w:eastAsia="仿宋_GB2312" w:hint="eastAsia"/>
          <w:sz w:val="32"/>
          <w:szCs w:val="32"/>
        </w:rPr>
        <w:t>式中</w:t>
      </w:r>
      <w:r>
        <w:rPr>
          <w:rFonts w:ascii="仿宋_GB2312" w:eastAsia="仿宋_GB2312"/>
          <w:sz w:val="32"/>
          <w:szCs w:val="32"/>
        </w:rPr>
        <w:object w:dxaOrig="1440" w:dyaOrig="1440">
          <v:shape id="_x0000_s1026" type="#_x0000_t75" style="position:absolute;left:0;text-align:left;margin-left:0;margin-top:.3pt;width:9pt;height:17.25pt;z-index:251659264;mso-wrap-distance-left:9pt;mso-wrap-distance-top:0;mso-wrap-distance-right:9pt;mso-wrap-distance-bottom:0;mso-position-horizontal:left;mso-position-horizontal-relative:text;mso-position-vertical-relative:text;mso-width-relative:page;mso-height-relative:page">
            <v:imagedata r:id="rId9" o:title=""/>
            <w10:wrap type="square" side="right"/>
          </v:shape>
          <o:OLEObject Type="Embed" ProgID="Equation.3" ShapeID="_x0000_s1026" DrawAspect="Content" ObjectID="_1837599791" r:id="rId10"/>
        </w:object>
      </w:r>
      <w:r>
        <w:rPr>
          <w:rFonts w:ascii="仿宋_GB2312" w:eastAsia="仿宋_GB2312" w:hint="eastAsia"/>
          <w:sz w:val="32"/>
          <w:szCs w:val="32"/>
        </w:rPr>
        <w:t>GSCI</w:t>
      </w:r>
      <w:r>
        <w:rPr>
          <w:rFonts w:ascii="仿宋_GB2312" w:eastAsia="仿宋_GB2312" w:hint="eastAsia"/>
          <w:sz w:val="32"/>
          <w:szCs w:val="32"/>
        </w:rPr>
        <w:t>为绿色供应链管理指数。</w:t>
      </w:r>
    </w:p>
    <w:p w:rsidR="00816418" w:rsidRPr="00153EC3" w:rsidRDefault="00040CA2" w:rsidP="00153EC3">
      <w:pPr>
        <w:spacing w:line="560" w:lineRule="exact"/>
        <w:ind w:firstLineChars="200" w:firstLine="643"/>
        <w:rPr>
          <w:rFonts w:ascii="楷体_GB2312" w:eastAsia="楷体_GB2312" w:hAnsi="楷体" w:cs="楷体"/>
          <w:b/>
          <w:sz w:val="32"/>
          <w:szCs w:val="32"/>
        </w:rPr>
      </w:pPr>
      <w:r w:rsidRPr="00153EC3">
        <w:rPr>
          <w:rFonts w:ascii="楷体_GB2312" w:eastAsia="楷体_GB2312" w:hAnsi="楷体" w:cs="楷体" w:hint="eastAsia"/>
          <w:b/>
          <w:sz w:val="32"/>
          <w:szCs w:val="32"/>
        </w:rPr>
        <w:t>（</w:t>
      </w:r>
      <w:r w:rsidRPr="00153EC3">
        <w:rPr>
          <w:rFonts w:ascii="楷体_GB2312" w:eastAsia="楷体_GB2312" w:hAnsi="楷体" w:cs="楷体" w:hint="eastAsia"/>
          <w:b/>
          <w:sz w:val="32"/>
          <w:szCs w:val="32"/>
        </w:rPr>
        <w:t>四</w:t>
      </w:r>
      <w:r w:rsidRPr="00153EC3">
        <w:rPr>
          <w:rFonts w:ascii="楷体_GB2312" w:eastAsia="楷体_GB2312" w:hAnsi="楷体" w:cs="楷体" w:hint="eastAsia"/>
          <w:b/>
          <w:sz w:val="32"/>
          <w:szCs w:val="32"/>
        </w:rPr>
        <w:t>）部分指标说明</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纳入公司发展规划：有明确的绿色供应链管理中长期发展规划、年度目标、指标、实施方案等文件。</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供应商绩效评估制度：建立供应商绩效评估标准，对供应商进行分级评价和管理。</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低风险供应商占比的基准值取</w:t>
      </w:r>
      <w:r>
        <w:rPr>
          <w:rFonts w:ascii="Times New Roman" w:eastAsia="仿宋" w:hAnsi="Times New Roman" w:cs="Times New Roman"/>
          <w:sz w:val="32"/>
          <w:szCs w:val="32"/>
        </w:rPr>
        <w:t>80%</w:t>
      </w:r>
      <w:r>
        <w:rPr>
          <w:rFonts w:ascii="Times New Roman" w:eastAsia="仿宋" w:hAnsi="Times New Roman" w:cs="Times New Roman"/>
          <w:sz w:val="32"/>
          <w:szCs w:val="32"/>
        </w:rPr>
        <w:t>。达到或超过</w:t>
      </w:r>
      <w:r>
        <w:rPr>
          <w:rFonts w:ascii="Times New Roman" w:eastAsia="仿宋" w:hAnsi="Times New Roman" w:cs="Times New Roman"/>
          <w:sz w:val="32"/>
          <w:szCs w:val="32"/>
        </w:rPr>
        <w:t>80%</w:t>
      </w:r>
      <w:r>
        <w:rPr>
          <w:rFonts w:ascii="Times New Roman" w:eastAsia="仿宋" w:hAnsi="Times New Roman" w:cs="Times New Roman"/>
          <w:sz w:val="32"/>
          <w:szCs w:val="32"/>
        </w:rPr>
        <w:t>得</w:t>
      </w:r>
      <w:r>
        <w:rPr>
          <w:rFonts w:ascii="Times New Roman" w:eastAsia="仿宋" w:hAnsi="Times New Roman" w:cs="Times New Roman"/>
          <w:sz w:val="32"/>
          <w:szCs w:val="32"/>
        </w:rPr>
        <w:t>4</w:t>
      </w:r>
      <w:r>
        <w:rPr>
          <w:rFonts w:ascii="Times New Roman" w:eastAsia="仿宋" w:hAnsi="Times New Roman" w:cs="Times New Roman"/>
          <w:sz w:val="32"/>
          <w:szCs w:val="32"/>
        </w:rPr>
        <w:t>分，其他分值的计算：比例值</w:t>
      </w:r>
      <w:r>
        <w:rPr>
          <w:rFonts w:ascii="Times New Roman" w:eastAsia="仿宋" w:hAnsi="Times New Roman" w:cs="Times New Roman"/>
          <w:sz w:val="32"/>
          <w:szCs w:val="32"/>
        </w:rPr>
        <w:t>/80%*4</w:t>
      </w:r>
      <w:r>
        <w:rPr>
          <w:rFonts w:ascii="Times New Roman" w:eastAsia="仿宋" w:hAnsi="Times New Roman" w:cs="Times New Roman"/>
          <w:sz w:val="32"/>
          <w:szCs w:val="32"/>
        </w:rPr>
        <w:t>。</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节能减排环保合规：符合国家和地方有关环境法律和法规，近五年无重大安全、环保、质量事故；配备能源、水源监</w:t>
      </w:r>
      <w:r>
        <w:rPr>
          <w:rFonts w:ascii="Times New Roman" w:eastAsia="仿宋" w:hAnsi="Times New Roman" w:cs="Times New Roman"/>
          <w:sz w:val="32"/>
          <w:szCs w:val="32"/>
        </w:rPr>
        <w:lastRenderedPageBreak/>
        <w:t>测设备及污染物监测设备（计量仪器符合</w:t>
      </w:r>
      <w:r>
        <w:rPr>
          <w:rFonts w:ascii="Times New Roman" w:eastAsia="仿宋" w:hAnsi="Times New Roman" w:cs="Times New Roman"/>
          <w:sz w:val="32"/>
          <w:szCs w:val="32"/>
        </w:rPr>
        <w:t>GB</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17167</w:t>
      </w:r>
      <w:r>
        <w:rPr>
          <w:rFonts w:ascii="Times New Roman" w:eastAsia="仿宋" w:hAnsi="Times New Roman" w:cs="Times New Roman"/>
          <w:sz w:val="32"/>
          <w:szCs w:val="32"/>
        </w:rPr>
        <w:t>和</w:t>
      </w:r>
      <w:r>
        <w:rPr>
          <w:rFonts w:ascii="Times New Roman" w:eastAsia="仿宋" w:hAnsi="Times New Roman" w:cs="Times New Roman"/>
          <w:sz w:val="32"/>
          <w:szCs w:val="32"/>
        </w:rPr>
        <w:t>GB</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24789</w:t>
      </w:r>
      <w:r>
        <w:rPr>
          <w:rFonts w:ascii="Times New Roman" w:eastAsia="仿宋" w:hAnsi="Times New Roman" w:cs="Times New Roman"/>
          <w:sz w:val="32"/>
          <w:szCs w:val="32"/>
        </w:rPr>
        <w:t>）。</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产品回收率</w:t>
      </w:r>
      <w:r>
        <w:rPr>
          <w:rFonts w:ascii="Times New Roman" w:eastAsia="仿宋" w:hAnsi="Times New Roman" w:cs="Times New Roman"/>
          <w:sz w:val="32"/>
          <w:szCs w:val="32"/>
        </w:rPr>
        <w:t>X41</w:t>
      </w:r>
      <w:r>
        <w:rPr>
          <w:rFonts w:ascii="Times New Roman" w:eastAsia="仿宋" w:hAnsi="Times New Roman" w:cs="Times New Roman"/>
          <w:sz w:val="32"/>
          <w:szCs w:val="32"/>
        </w:rPr>
        <w:t>的基准值为</w:t>
      </w:r>
      <w:r>
        <w:rPr>
          <w:rFonts w:ascii="Times New Roman" w:eastAsia="仿宋" w:hAnsi="Times New Roman" w:cs="Times New Roman"/>
          <w:sz w:val="32"/>
          <w:szCs w:val="32"/>
        </w:rPr>
        <w:t>90%</w:t>
      </w:r>
      <w:r>
        <w:rPr>
          <w:rFonts w:ascii="Times New Roman" w:eastAsia="仿宋" w:hAnsi="Times New Roman" w:cs="Times New Roman"/>
          <w:sz w:val="32"/>
          <w:szCs w:val="32"/>
        </w:rPr>
        <w:t>，达到或超过</w:t>
      </w:r>
      <w:r>
        <w:rPr>
          <w:rFonts w:ascii="Times New Roman" w:eastAsia="仿宋" w:hAnsi="Times New Roman" w:cs="Times New Roman"/>
          <w:sz w:val="32"/>
          <w:szCs w:val="32"/>
        </w:rPr>
        <w:t>90%</w:t>
      </w:r>
      <w:r>
        <w:rPr>
          <w:rFonts w:ascii="Times New Roman" w:eastAsia="仿宋" w:hAnsi="Times New Roman" w:cs="Times New Roman"/>
          <w:sz w:val="32"/>
          <w:szCs w:val="32"/>
        </w:rPr>
        <w:t>得</w:t>
      </w:r>
      <w:r>
        <w:rPr>
          <w:rFonts w:ascii="Times New Roman" w:eastAsia="仿宋" w:hAnsi="Times New Roman" w:cs="Times New Roman"/>
          <w:sz w:val="32"/>
          <w:szCs w:val="32"/>
        </w:rPr>
        <w:t>5</w:t>
      </w:r>
      <w:r>
        <w:rPr>
          <w:rFonts w:ascii="Times New Roman" w:eastAsia="仿宋" w:hAnsi="Times New Roman" w:cs="Times New Roman"/>
          <w:sz w:val="32"/>
          <w:szCs w:val="32"/>
        </w:rPr>
        <w:t>分，其他分值的计算：比例值</w:t>
      </w:r>
      <w:r>
        <w:rPr>
          <w:rFonts w:ascii="Times New Roman" w:eastAsia="仿宋" w:hAnsi="Times New Roman" w:cs="Times New Roman"/>
          <w:sz w:val="32"/>
          <w:szCs w:val="32"/>
        </w:rPr>
        <w:t>/90%*5</w:t>
      </w:r>
      <w:r>
        <w:rPr>
          <w:rFonts w:ascii="Times New Roman" w:eastAsia="仿宋" w:hAnsi="Times New Roman" w:cs="Times New Roman"/>
          <w:sz w:val="32"/>
          <w:szCs w:val="32"/>
        </w:rPr>
        <w:t>。</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包装回收率</w:t>
      </w:r>
      <w:r>
        <w:rPr>
          <w:rFonts w:ascii="Times New Roman" w:eastAsia="仿宋" w:hAnsi="Times New Roman" w:cs="Times New Roman"/>
          <w:sz w:val="32"/>
          <w:szCs w:val="32"/>
        </w:rPr>
        <w:t>X42</w:t>
      </w:r>
      <w:r>
        <w:rPr>
          <w:rFonts w:ascii="Times New Roman" w:eastAsia="仿宋" w:hAnsi="Times New Roman" w:cs="Times New Roman"/>
          <w:sz w:val="32"/>
          <w:szCs w:val="32"/>
        </w:rPr>
        <w:t>的基准值为</w:t>
      </w:r>
      <w:r>
        <w:rPr>
          <w:rFonts w:ascii="Times New Roman" w:eastAsia="仿宋" w:hAnsi="Times New Roman" w:cs="Times New Roman"/>
          <w:sz w:val="32"/>
          <w:szCs w:val="32"/>
        </w:rPr>
        <w:t>80%</w:t>
      </w:r>
      <w:r>
        <w:rPr>
          <w:rFonts w:ascii="Times New Roman" w:eastAsia="仿宋" w:hAnsi="Times New Roman" w:cs="Times New Roman"/>
          <w:sz w:val="32"/>
          <w:szCs w:val="32"/>
        </w:rPr>
        <w:t>，达到或超过</w:t>
      </w:r>
      <w:r>
        <w:rPr>
          <w:rFonts w:ascii="Times New Roman" w:eastAsia="仿宋" w:hAnsi="Times New Roman" w:cs="Times New Roman"/>
          <w:sz w:val="32"/>
          <w:szCs w:val="32"/>
        </w:rPr>
        <w:t>80%</w:t>
      </w:r>
      <w:r>
        <w:rPr>
          <w:rFonts w:ascii="Times New Roman" w:eastAsia="仿宋" w:hAnsi="Times New Roman" w:cs="Times New Roman"/>
          <w:sz w:val="32"/>
          <w:szCs w:val="32"/>
        </w:rPr>
        <w:t>得</w:t>
      </w:r>
      <w:r>
        <w:rPr>
          <w:rFonts w:ascii="Times New Roman" w:eastAsia="仿宋" w:hAnsi="Times New Roman" w:cs="Times New Roman"/>
          <w:sz w:val="32"/>
          <w:szCs w:val="32"/>
        </w:rPr>
        <w:t>5</w:t>
      </w:r>
      <w:r>
        <w:rPr>
          <w:rFonts w:ascii="Times New Roman" w:eastAsia="仿宋" w:hAnsi="Times New Roman" w:cs="Times New Roman"/>
          <w:sz w:val="32"/>
          <w:szCs w:val="32"/>
        </w:rPr>
        <w:t>分，其他分值的计算：比例值</w:t>
      </w:r>
      <w:r>
        <w:rPr>
          <w:rFonts w:ascii="Times New Roman" w:eastAsia="仿宋" w:hAnsi="Times New Roman" w:cs="Times New Roman"/>
          <w:sz w:val="32"/>
          <w:szCs w:val="32"/>
        </w:rPr>
        <w:t>/80%*5</w:t>
      </w:r>
      <w:r>
        <w:rPr>
          <w:rFonts w:ascii="Times New Roman" w:eastAsia="仿宋" w:hAnsi="Times New Roman" w:cs="Times New Roman"/>
          <w:sz w:val="32"/>
          <w:szCs w:val="32"/>
        </w:rPr>
        <w:t>。</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指导下游企业回收拆解：具备回收拆解信息管理系统，实现拆解信息的传递及产品的追溯。</w:t>
      </w:r>
    </w:p>
    <w:p w:rsidR="00816418" w:rsidRDefault="00040CA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8</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绿色供应链管理信息平台完善：对企业及其供</w:t>
      </w:r>
      <w:r>
        <w:rPr>
          <w:rFonts w:ascii="Times New Roman" w:eastAsia="仿宋" w:hAnsi="Times New Roman" w:cs="Times New Roman"/>
          <w:sz w:val="32"/>
          <w:szCs w:val="32"/>
        </w:rPr>
        <w:t>应商产品材质、工艺流程、能源资源消耗、污染物排放等信息进行有效收集与管理。</w:t>
      </w:r>
    </w:p>
    <w:p w:rsidR="00816418" w:rsidRDefault="00040CA2">
      <w:pPr>
        <w:spacing w:line="560" w:lineRule="exact"/>
        <w:ind w:firstLineChars="200" w:firstLine="640"/>
      </w:pPr>
      <w:r>
        <w:rPr>
          <w:rFonts w:ascii="Times New Roman" w:eastAsia="仿宋" w:hAnsi="Times New Roman" w:cs="Times New Roman"/>
          <w:sz w:val="32"/>
          <w:szCs w:val="32"/>
        </w:rPr>
        <w:t>9</w:t>
      </w:r>
      <w:r w:rsidR="00153EC3">
        <w:rPr>
          <w:rFonts w:ascii="Times New Roman" w:eastAsia="仿宋" w:hAnsi="Times New Roman" w:cs="Times New Roman" w:hint="eastAsia"/>
          <w:sz w:val="32"/>
          <w:szCs w:val="32"/>
        </w:rPr>
        <w:t>．</w:t>
      </w:r>
      <w:r>
        <w:rPr>
          <w:rFonts w:ascii="Times New Roman" w:eastAsia="仿宋" w:hAnsi="Times New Roman" w:cs="Times New Roman"/>
          <w:sz w:val="32"/>
          <w:szCs w:val="32"/>
        </w:rPr>
        <w:t>披露企业节能减排减碳信息：具体包括有毒有害物质使用、能源资源利</w:t>
      </w:r>
      <w:r>
        <w:rPr>
          <w:rFonts w:ascii="仿宋" w:eastAsia="仿宋" w:hAnsi="仿宋" w:cs="仿宋" w:hint="eastAsia"/>
          <w:sz w:val="32"/>
          <w:szCs w:val="32"/>
        </w:rPr>
        <w:t>用效率、污染物排放、碳排放减少量、产品回收利用率等信息。</w:t>
      </w:r>
    </w:p>
    <w:sectPr w:rsidR="00816418" w:rsidSect="002F198C">
      <w:footerReference w:type="even" r:id="rId11"/>
      <w:footerReference w:type="default" r:id="rId12"/>
      <w:pgSz w:w="11906" w:h="16838"/>
      <w:pgMar w:top="1701" w:right="1587" w:bottom="1587" w:left="1587" w:header="851" w:footer="992" w:gutter="0"/>
      <w:pgNumType w:fmt="numberInDash" w:start="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CA2" w:rsidRDefault="00040CA2">
      <w:r>
        <w:separator/>
      </w:r>
    </w:p>
  </w:endnote>
  <w:endnote w:type="continuationSeparator" w:id="0">
    <w:p w:rsidR="00040CA2" w:rsidRDefault="0004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B9301F9A-4543-4067-B6A1-E6C2F2D2B6DF}"/>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E0AA68F9-131F-4299-A9F8-E5CC2A7DF728}"/>
  </w:font>
  <w:font w:name="楷体_GB2312">
    <w:panose1 w:val="02010609030101010101"/>
    <w:charset w:val="86"/>
    <w:family w:val="modern"/>
    <w:pitch w:val="fixed"/>
    <w:sig w:usb0="00000001" w:usb1="080E0000" w:usb2="00000010" w:usb3="00000000" w:csb0="00040000" w:csb1="00000000"/>
    <w:embedBold r:id="rId3" w:subsetted="1" w:fontKey="{E804CF7F-CC95-48DE-8331-4A3C12C5DA33}"/>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4" w:subsetted="1" w:fontKey="{9FC62587-4B19-44F2-9DDB-1D1CA0253B07}"/>
  </w:font>
  <w:font w:name="仿宋">
    <w:panose1 w:val="02010609060101010101"/>
    <w:charset w:val="86"/>
    <w:family w:val="modern"/>
    <w:pitch w:val="fixed"/>
    <w:sig w:usb0="800002BF" w:usb1="38CF7CFA" w:usb2="00000016" w:usb3="00000000" w:csb0="00040001" w:csb1="00000000"/>
    <w:embedRegular r:id="rId5" w:subsetted="1" w:fontKey="{78879256-B200-4A51-AEB8-16CA3FA1700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457249"/>
      <w:docPartObj>
        <w:docPartGallery w:val="Page Numbers (Bottom of Page)"/>
        <w:docPartUnique/>
      </w:docPartObj>
    </w:sdtPr>
    <w:sdtEndPr>
      <w:rPr>
        <w:rFonts w:ascii="Times New Roman" w:hAnsi="Times New Roman" w:cs="Times New Roman"/>
        <w:sz w:val="28"/>
        <w:szCs w:val="28"/>
      </w:rPr>
    </w:sdtEndPr>
    <w:sdtContent>
      <w:p w:rsidR="002F198C" w:rsidRPr="002F198C" w:rsidRDefault="002F198C" w:rsidP="002F198C">
        <w:pPr>
          <w:pStyle w:val="a7"/>
          <w:ind w:right="360"/>
          <w:rPr>
            <w:rFonts w:ascii="Times New Roman" w:hAnsi="Times New Roman" w:cs="Times New Roman" w:hint="eastAsia"/>
            <w:sz w:val="28"/>
            <w:szCs w:val="28"/>
          </w:rPr>
        </w:pPr>
        <w:r w:rsidRPr="002F198C">
          <w:rPr>
            <w:rFonts w:ascii="Times New Roman" w:hAnsi="Times New Roman" w:cs="Times New Roman"/>
            <w:sz w:val="28"/>
            <w:szCs w:val="28"/>
          </w:rPr>
          <w:fldChar w:fldCharType="begin"/>
        </w:r>
        <w:r w:rsidRPr="002F198C">
          <w:rPr>
            <w:rFonts w:ascii="Times New Roman" w:hAnsi="Times New Roman" w:cs="Times New Roman"/>
            <w:sz w:val="28"/>
            <w:szCs w:val="28"/>
          </w:rPr>
          <w:instrText>PAGE   \* MERGEFORMAT</w:instrText>
        </w:r>
        <w:r w:rsidRPr="002F198C">
          <w:rPr>
            <w:rFonts w:ascii="Times New Roman" w:hAnsi="Times New Roman" w:cs="Times New Roman"/>
            <w:sz w:val="28"/>
            <w:szCs w:val="28"/>
          </w:rPr>
          <w:fldChar w:fldCharType="separate"/>
        </w:r>
        <w:r w:rsidRPr="002F198C">
          <w:rPr>
            <w:rFonts w:ascii="Times New Roman" w:hAnsi="Times New Roman" w:cs="Times New Roman"/>
            <w:noProof/>
            <w:sz w:val="28"/>
            <w:szCs w:val="28"/>
            <w:lang w:val="zh-CN"/>
          </w:rPr>
          <w:t>-</w:t>
        </w:r>
        <w:r>
          <w:rPr>
            <w:rFonts w:ascii="Times New Roman" w:hAnsi="Times New Roman" w:cs="Times New Roman"/>
            <w:noProof/>
            <w:sz w:val="28"/>
            <w:szCs w:val="28"/>
          </w:rPr>
          <w:t xml:space="preserve"> 10 -</w:t>
        </w:r>
        <w:r w:rsidRPr="002F198C">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51105"/>
      <w:docPartObj>
        <w:docPartGallery w:val="Page Numbers (Bottom of Page)"/>
        <w:docPartUnique/>
      </w:docPartObj>
    </w:sdtPr>
    <w:sdtEndPr>
      <w:rPr>
        <w:rFonts w:ascii="Times New Roman" w:hAnsi="Times New Roman" w:cs="Times New Roman"/>
        <w:sz w:val="28"/>
        <w:szCs w:val="28"/>
      </w:rPr>
    </w:sdtEndPr>
    <w:sdtContent>
      <w:p w:rsidR="00816418" w:rsidRPr="002F198C" w:rsidRDefault="002F198C" w:rsidP="002F198C">
        <w:pPr>
          <w:pStyle w:val="a7"/>
          <w:jc w:val="right"/>
          <w:rPr>
            <w:rFonts w:ascii="Times New Roman" w:hAnsi="Times New Roman" w:cs="Times New Roman" w:hint="eastAsia"/>
            <w:sz w:val="28"/>
            <w:szCs w:val="28"/>
          </w:rPr>
        </w:pPr>
        <w:r w:rsidRPr="002F198C">
          <w:rPr>
            <w:rFonts w:ascii="Times New Roman" w:hAnsi="Times New Roman" w:cs="Times New Roman"/>
            <w:sz w:val="28"/>
            <w:szCs w:val="28"/>
          </w:rPr>
          <w:fldChar w:fldCharType="begin"/>
        </w:r>
        <w:r w:rsidRPr="002F198C">
          <w:rPr>
            <w:rFonts w:ascii="Times New Roman" w:hAnsi="Times New Roman" w:cs="Times New Roman"/>
            <w:sz w:val="28"/>
            <w:szCs w:val="28"/>
          </w:rPr>
          <w:instrText>PAGE   \* MERGEFORMAT</w:instrText>
        </w:r>
        <w:r w:rsidRPr="002F198C">
          <w:rPr>
            <w:rFonts w:ascii="Times New Roman" w:hAnsi="Times New Roman" w:cs="Times New Roman"/>
            <w:sz w:val="28"/>
            <w:szCs w:val="28"/>
          </w:rPr>
          <w:fldChar w:fldCharType="separate"/>
        </w:r>
        <w:r w:rsidRPr="002F198C">
          <w:rPr>
            <w:rFonts w:ascii="Times New Roman" w:hAnsi="Times New Roman" w:cs="Times New Roman"/>
            <w:noProof/>
            <w:sz w:val="28"/>
            <w:szCs w:val="28"/>
            <w:lang w:val="zh-CN"/>
          </w:rPr>
          <w:t>-</w:t>
        </w:r>
        <w:r>
          <w:rPr>
            <w:rFonts w:ascii="Times New Roman" w:hAnsi="Times New Roman" w:cs="Times New Roman"/>
            <w:noProof/>
            <w:sz w:val="28"/>
            <w:szCs w:val="28"/>
          </w:rPr>
          <w:t xml:space="preserve"> 9 -</w:t>
        </w:r>
        <w:r w:rsidRPr="002F198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CA2" w:rsidRDefault="00040CA2">
      <w:r>
        <w:separator/>
      </w:r>
    </w:p>
  </w:footnote>
  <w:footnote w:type="continuationSeparator" w:id="0">
    <w:p w:rsidR="00040CA2" w:rsidRDefault="00040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 w:val="00040CA2"/>
    <w:rsid w:val="00153EC3"/>
    <w:rsid w:val="00220828"/>
    <w:rsid w:val="002F198C"/>
    <w:rsid w:val="00816418"/>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531B70"/>
    <w:rsid w:val="23B550DA"/>
    <w:rsid w:val="2ADFEC52"/>
    <w:rsid w:val="2E9ECEED"/>
    <w:rsid w:val="2FAE4E12"/>
    <w:rsid w:val="2FB3C4D6"/>
    <w:rsid w:val="30DD30CD"/>
    <w:rsid w:val="30E6689F"/>
    <w:rsid w:val="31276A68"/>
    <w:rsid w:val="32704B72"/>
    <w:rsid w:val="34422E76"/>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4B9650D"/>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9B7C86"/>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C81112"/>
  <w15:docId w15:val="{D5BAA48C-ADB6-4086-A967-0E19A14F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Body Text Indent" w:uiPriority="99"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style>
  <w:style w:type="paragraph" w:styleId="a5">
    <w:name w:val="Title"/>
    <w:basedOn w:val="a"/>
    <w:next w:val="a"/>
    <w:autoRedefine/>
    <w:uiPriority w:val="10"/>
    <w:qFormat/>
    <w:pPr>
      <w:spacing w:before="240" w:after="60"/>
      <w:jc w:val="center"/>
    </w:pPr>
    <w:rPr>
      <w:rFonts w:eastAsia="方正小标宋_GBK"/>
      <w:bCs/>
      <w:sz w:val="44"/>
      <w:szCs w:val="32"/>
    </w:rPr>
  </w:style>
  <w:style w:type="paragraph" w:styleId="a6">
    <w:name w:val="Body Text Indent"/>
    <w:basedOn w:val="a"/>
    <w:uiPriority w:val="99"/>
    <w:qFormat/>
    <w:pPr>
      <w:spacing w:after="120"/>
      <w:ind w:leftChars="200" w:left="420"/>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a">
    <w:name w:val="Normal (Web)"/>
    <w:basedOn w:val="a"/>
    <w:qFormat/>
    <w:pPr>
      <w:spacing w:before="100" w:beforeAutospacing="1" w:after="100" w:afterAutospacing="1"/>
      <w:jc w:val="left"/>
    </w:pPr>
    <w:rPr>
      <w:rFonts w:cs="Times New Roman"/>
      <w:kern w:val="0"/>
      <w:sz w:val="24"/>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autoRedefine/>
    <w:qFormat/>
  </w:style>
  <w:style w:type="character" w:styleId="ad">
    <w:name w:val="FollowedHyperlink"/>
    <w:basedOn w:val="a0"/>
    <w:qFormat/>
    <w:rPr>
      <w:color w:val="800080"/>
      <w:u w:val="single"/>
    </w:rPr>
  </w:style>
  <w:style w:type="character" w:styleId="ae">
    <w:name w:val="Hyperlink"/>
    <w:basedOn w:val="a0"/>
    <w:autoRedefine/>
    <w:qFormat/>
    <w:rPr>
      <w:color w:val="0000FF"/>
      <w:u w:val="single"/>
    </w:rPr>
  </w:style>
  <w:style w:type="paragraph" w:customStyle="1" w:styleId="10">
    <w:name w:val="列出段落1"/>
    <w:basedOn w:val="a"/>
    <w:uiPriority w:val="34"/>
    <w:qFormat/>
    <w:pPr>
      <w:ind w:firstLineChars="200" w:firstLine="420"/>
    </w:pPr>
  </w:style>
  <w:style w:type="paragraph" w:customStyle="1" w:styleId="af">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4">
    <w:name w:val="列出段落4"/>
    <w:basedOn w:val="a"/>
    <w:autoRedefine/>
    <w:uiPriority w:val="34"/>
    <w:qFormat/>
    <w:pPr>
      <w:ind w:firstLineChars="200" w:firstLine="420"/>
    </w:pPr>
  </w:style>
  <w:style w:type="paragraph" w:customStyle="1" w:styleId="2">
    <w:name w:val="列出段落2"/>
    <w:basedOn w:val="a"/>
    <w:uiPriority w:val="34"/>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uiPriority w:val="99"/>
    <w:qFormat/>
    <w:pPr>
      <w:widowControl/>
      <w:spacing w:before="240" w:line="259" w:lineRule="auto"/>
      <w:outlineLvl w:val="9"/>
    </w:pPr>
    <w:rPr>
      <w:rFonts w:ascii="Cambria" w:hAnsi="Cambria"/>
      <w:b w:val="0"/>
      <w:color w:val="365F91"/>
      <w:kern w:val="0"/>
      <w:sz w:val="32"/>
      <w:szCs w:val="32"/>
    </w:rPr>
  </w:style>
  <w:style w:type="paragraph" w:customStyle="1" w:styleId="20">
    <w:name w:val="正文2"/>
    <w:basedOn w:val="a"/>
    <w:next w:val="a"/>
    <w:qFormat/>
    <w:rPr>
      <w:rFonts w:ascii="Times New Roman" w:eastAsia="宋体" w:hAnsi="Times New Roman" w:cs="Times New Roman"/>
    </w:rPr>
  </w:style>
  <w:style w:type="character" w:customStyle="1" w:styleId="a8">
    <w:name w:val="页脚 字符"/>
    <w:basedOn w:val="a0"/>
    <w:link w:val="a7"/>
    <w:uiPriority w:val="99"/>
    <w:rsid w:val="002F198C"/>
    <w:rPr>
      <w:kern w:val="2"/>
      <w:sz w:val="18"/>
      <w:szCs w:val="24"/>
    </w:rPr>
  </w:style>
  <w:style w:type="paragraph" w:styleId="af0">
    <w:name w:val="Balloon Text"/>
    <w:basedOn w:val="a"/>
    <w:link w:val="af1"/>
    <w:rsid w:val="002F198C"/>
    <w:rPr>
      <w:sz w:val="18"/>
      <w:szCs w:val="18"/>
    </w:rPr>
  </w:style>
  <w:style w:type="character" w:customStyle="1" w:styleId="af1">
    <w:name w:val="批注框文本 字符"/>
    <w:basedOn w:val="a0"/>
    <w:link w:val="af0"/>
    <w:rsid w:val="002F198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wangjing</dc:creator>
  <cp:lastModifiedBy>周密</cp:lastModifiedBy>
  <cp:revision>5</cp:revision>
  <cp:lastPrinted>2026-04-13T07:37:00Z</cp:lastPrinted>
  <dcterms:created xsi:type="dcterms:W3CDTF">2023-03-22T03:53:00Z</dcterms:created>
  <dcterms:modified xsi:type="dcterms:W3CDTF">2026-04-13T07:37:00Z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2B216BFEAB744DF78787394374673144_13</vt:lpwstr>
  </property>
  <property fmtid="{D5CDD505-2E9C-101B-9397-08002B2CF9AE}" pid="4" name="KSOTemplateDocerSaveRecord">
    <vt:lpwstr>eyJoZGlkIjoiNTQzZGJiNTI3NDQ2NzU4OGNmYzQyZjdjYmMyZDIxNTEiLCJ1c2VySWQiOiIyMTkzNDg1MTYifQ==</vt:lpwstr>
  </property>
</Properties>
</file>