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722FF">
      <w:pPr>
        <w:pStyle w:val="12"/>
        <w:pageBreakBefore w:val="0"/>
        <w:shd w:val="clear" w:color="auto" w:fill="FFFFFF"/>
        <w:wordWrap/>
        <w:overflowPunct/>
        <w:topLinePunct w:val="0"/>
        <w:bidi w:val="0"/>
        <w:spacing w:before="0" w:beforeAutospacing="0" w:after="0" w:afterAutospacing="0" w:line="560" w:lineRule="exact"/>
        <w:jc w:val="center"/>
        <w:rPr>
          <w:rStyle w:val="16"/>
          <w:rFonts w:hint="eastAsia" w:ascii="方正小标宋简体" w:hAnsi="方正小标宋简体" w:eastAsia="方正小标宋简体" w:cs="方正小标宋简体"/>
          <w:b w:val="0"/>
          <w:bCs w:val="0"/>
          <w:color w:val="auto"/>
          <w:sz w:val="44"/>
          <w:szCs w:val="44"/>
          <w:u w:val="none"/>
          <w:lang w:eastAsia="zh-CN"/>
        </w:rPr>
      </w:pPr>
      <w:r>
        <w:rPr>
          <w:rStyle w:val="16"/>
          <w:rFonts w:hint="eastAsia" w:ascii="方正小标宋简体" w:hAnsi="方正小标宋简体" w:eastAsia="方正小标宋简体" w:cs="方正小标宋简体"/>
          <w:b w:val="0"/>
          <w:bCs w:val="0"/>
          <w:color w:val="auto"/>
          <w:sz w:val="44"/>
          <w:szCs w:val="44"/>
          <w:u w:val="none"/>
          <w:lang w:eastAsia="zh-CN"/>
        </w:rPr>
        <w:t>延安市</w:t>
      </w:r>
      <w:r>
        <w:rPr>
          <w:rStyle w:val="16"/>
          <w:rFonts w:hint="eastAsia" w:ascii="方正小标宋简体" w:hAnsi="方正小标宋简体" w:eastAsia="方正小标宋简体" w:cs="方正小标宋简体"/>
          <w:b w:val="0"/>
          <w:bCs w:val="0"/>
          <w:color w:val="auto"/>
          <w:sz w:val="44"/>
          <w:szCs w:val="44"/>
          <w:u w:val="none"/>
        </w:rPr>
        <w:t>公共数据管</w:t>
      </w:r>
      <w:bookmarkStart w:id="42" w:name="_GoBack"/>
      <w:bookmarkEnd w:id="42"/>
      <w:r>
        <w:rPr>
          <w:rStyle w:val="16"/>
          <w:rFonts w:hint="eastAsia" w:ascii="方正小标宋简体" w:hAnsi="方正小标宋简体" w:eastAsia="方正小标宋简体" w:cs="方正小标宋简体"/>
          <w:b w:val="0"/>
          <w:bCs w:val="0"/>
          <w:color w:val="auto"/>
          <w:sz w:val="44"/>
          <w:szCs w:val="44"/>
          <w:u w:val="none"/>
        </w:rPr>
        <w:t>理办法</w:t>
      </w:r>
      <w:r>
        <w:rPr>
          <w:rStyle w:val="16"/>
          <w:rFonts w:hint="eastAsia" w:ascii="方正小标宋简体" w:hAnsi="方正小标宋简体" w:eastAsia="方正小标宋简体" w:cs="方正小标宋简体"/>
          <w:b w:val="0"/>
          <w:bCs w:val="0"/>
          <w:color w:val="auto"/>
          <w:sz w:val="44"/>
          <w:szCs w:val="44"/>
          <w:u w:val="none"/>
          <w:lang w:eastAsia="zh-CN"/>
        </w:rPr>
        <w:t>（试行）</w:t>
      </w:r>
    </w:p>
    <w:p w14:paraId="0D407560">
      <w:pPr>
        <w:pStyle w:val="2"/>
        <w:pageBreakBefore w:val="0"/>
        <w:kinsoku/>
        <w:wordWrap/>
        <w:overflowPunct/>
        <w:topLinePunct w:val="0"/>
        <w:autoSpaceDE/>
        <w:autoSpaceDN/>
        <w:bidi w:val="0"/>
        <w:adjustRightInd/>
        <w:snapToGrid/>
        <w:spacing w:before="0" w:beforeLines="0" w:after="0" w:afterLines="0" w:afterAutospacing="0" w:line="560" w:lineRule="exact"/>
        <w:jc w:val="center"/>
        <w:textAlignment w:val="auto"/>
        <w:rPr>
          <w:rFonts w:hint="eastAsia" w:ascii="楷体_GB2312" w:hAnsi="楷体_GB2312" w:eastAsia="楷体_GB2312" w:cs="楷体_GB2312"/>
          <w:bCs w:val="0"/>
          <w:snapToGrid/>
          <w:color w:val="auto"/>
          <w:sz w:val="32"/>
          <w:szCs w:val="32"/>
          <w:u w:val="none"/>
          <w:lang w:eastAsia="zh-CN"/>
        </w:rPr>
      </w:pPr>
      <w:bookmarkStart w:id="0" w:name="_Toc1300604782"/>
      <w:bookmarkStart w:id="1" w:name="_Toc630366056"/>
      <w:bookmarkStart w:id="2" w:name="_Toc1154738241"/>
      <w:bookmarkStart w:id="3" w:name="_Toc663632479"/>
      <w:bookmarkStart w:id="4" w:name="_Toc1206325007"/>
      <w:r>
        <w:rPr>
          <w:rFonts w:hint="eastAsia" w:ascii="楷体_GB2312" w:hAnsi="楷体_GB2312" w:eastAsia="楷体_GB2312" w:cs="楷体_GB2312"/>
          <w:bCs w:val="0"/>
          <w:snapToGrid/>
          <w:color w:val="auto"/>
          <w:sz w:val="32"/>
          <w:szCs w:val="32"/>
          <w:u w:val="none"/>
          <w:lang w:eastAsia="zh-CN"/>
        </w:rPr>
        <w:t>（公开</w:t>
      </w:r>
      <w:r>
        <w:rPr>
          <w:rFonts w:hint="eastAsia" w:ascii="楷体_GB2312" w:hAnsi="楷体_GB2312" w:eastAsia="楷体_GB2312" w:cs="楷体_GB2312"/>
          <w:bCs w:val="0"/>
          <w:snapToGrid/>
          <w:color w:val="auto"/>
          <w:sz w:val="32"/>
          <w:szCs w:val="32"/>
          <w:u w:val="none"/>
          <w:lang w:val="en-US" w:eastAsia="zh-CN"/>
        </w:rPr>
        <w:t>征求意见稿</w:t>
      </w:r>
      <w:r>
        <w:rPr>
          <w:rFonts w:hint="eastAsia" w:ascii="楷体_GB2312" w:hAnsi="楷体_GB2312" w:eastAsia="楷体_GB2312" w:cs="楷体_GB2312"/>
          <w:bCs w:val="0"/>
          <w:snapToGrid/>
          <w:color w:val="auto"/>
          <w:sz w:val="32"/>
          <w:szCs w:val="32"/>
          <w:u w:val="none"/>
          <w:lang w:eastAsia="zh-CN"/>
        </w:rPr>
        <w:t>）</w:t>
      </w:r>
      <w:bookmarkEnd w:id="0"/>
      <w:bookmarkEnd w:id="1"/>
      <w:bookmarkEnd w:id="2"/>
      <w:bookmarkEnd w:id="3"/>
      <w:bookmarkEnd w:id="4"/>
    </w:p>
    <w:p w14:paraId="1440E790">
      <w:pPr>
        <w:rPr>
          <w:rFonts w:hint="eastAsia"/>
          <w:color w:val="auto"/>
          <w:u w:val="none"/>
          <w:lang w:eastAsia="zh-CN"/>
        </w:rPr>
      </w:pPr>
    </w:p>
    <w:sdt>
      <w:sdtPr>
        <w:rPr>
          <w:rStyle w:val="16"/>
          <w:rFonts w:hint="eastAsia" w:ascii="方正小标宋简体" w:hAnsi="方正小标宋简体" w:eastAsia="方正小标宋简体" w:cs="方正小标宋简体"/>
          <w:b w:val="0"/>
          <w:bCs w:val="0"/>
          <w:color w:val="auto"/>
          <w:sz w:val="44"/>
          <w:szCs w:val="44"/>
          <w:u w:val="none"/>
          <w:lang w:val="en-US" w:eastAsia="zh-CN"/>
        </w:rPr>
        <w:id w:val="803460394"/>
        <w15:color w:val="DBDBDB"/>
        <w:docPartObj>
          <w:docPartGallery w:val="Table of Contents"/>
          <w:docPartUnique/>
        </w:docPartObj>
      </w:sdtPr>
      <w:sdtEndPr>
        <w:rPr>
          <w:rStyle w:val="16"/>
          <w:rFonts w:hint="eastAsia" w:ascii="仿宋_GB2312" w:hAnsi="仿宋_GB2312" w:eastAsia="仿宋_GB2312" w:cs="仿宋_GB2312"/>
          <w:b w:val="0"/>
          <w:bCs w:val="0"/>
          <w:color w:val="auto"/>
          <w:kern w:val="0"/>
          <w:sz w:val="24"/>
          <w:szCs w:val="32"/>
          <w:u w:val="none"/>
          <w:lang w:val="en-US" w:eastAsia="zh-CN" w:bidi="ar-SA"/>
        </w:rPr>
      </w:sdtEndPr>
      <w:sdtContent>
        <w:p w14:paraId="6AA06C9D">
          <w:pPr>
            <w:pStyle w:val="12"/>
            <w:pageBreakBefore w:val="0"/>
            <w:shd w:val="clear" w:color="auto" w:fill="FFFFFF"/>
            <w:wordWrap/>
            <w:overflowPunct/>
            <w:topLinePunct w:val="0"/>
            <w:bidi w:val="0"/>
            <w:spacing w:before="0" w:beforeAutospacing="0" w:after="0" w:afterAutospacing="0" w:line="560" w:lineRule="exact"/>
            <w:jc w:val="center"/>
            <w:rPr>
              <w:rStyle w:val="16"/>
              <w:rFonts w:hint="eastAsia" w:ascii="方正小标宋简体" w:hAnsi="方正小标宋简体" w:eastAsia="方正小标宋简体" w:cs="方正小标宋简体"/>
              <w:b w:val="0"/>
              <w:bCs w:val="0"/>
              <w:color w:val="auto"/>
              <w:sz w:val="44"/>
              <w:szCs w:val="44"/>
              <w:u w:val="none"/>
            </w:rPr>
          </w:pPr>
          <w:r>
            <w:rPr>
              <w:rStyle w:val="16"/>
              <w:rFonts w:hint="eastAsia" w:ascii="方正小标宋简体" w:hAnsi="方正小标宋简体" w:eastAsia="方正小标宋简体" w:cs="方正小标宋简体"/>
              <w:b w:val="0"/>
              <w:bCs w:val="0"/>
              <w:color w:val="auto"/>
              <w:sz w:val="44"/>
              <w:szCs w:val="44"/>
              <w:u w:val="none"/>
              <w:lang w:val="en-US" w:eastAsia="zh-CN"/>
            </w:rPr>
            <w:t>目录</w:t>
          </w:r>
        </w:p>
        <w:p w14:paraId="7C07F82B">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TOC \o "1-1" \h \u </w:instrText>
          </w:r>
          <w:r>
            <w:rPr>
              <w:rFonts w:hint="eastAsia" w:ascii="仿宋_GB2312" w:hAnsi="仿宋_GB2312" w:eastAsia="仿宋_GB2312" w:cs="仿宋_GB2312"/>
              <w:color w:val="auto"/>
              <w:sz w:val="32"/>
              <w:szCs w:val="32"/>
              <w:u w:val="none"/>
            </w:rPr>
            <w:fldChar w:fldCharType="separate"/>
          </w:r>
          <w:r>
            <w:rPr>
              <w:rFonts w:hint="eastAsia" w:ascii="仿宋_GB2312" w:hAnsi="仿宋_GB2312" w:eastAsia="仿宋_GB2312" w:cs="仿宋_GB2312"/>
              <w:color w:val="auto"/>
              <w:szCs w:val="32"/>
              <w:u w:val="none"/>
            </w:rPr>
            <w:fldChar w:fldCharType="begin"/>
          </w:r>
          <w:r>
            <w:rPr>
              <w:rFonts w:hint="eastAsia" w:ascii="仿宋_GB2312" w:hAnsi="仿宋_GB2312" w:eastAsia="仿宋_GB2312" w:cs="仿宋_GB2312"/>
              <w:color w:val="auto"/>
              <w:szCs w:val="32"/>
              <w:u w:val="none"/>
            </w:rPr>
            <w:instrText xml:space="preserve"> HYPERLINK \l _Toc42659269 </w:instrText>
          </w:r>
          <w:r>
            <w:rPr>
              <w:rFonts w:hint="eastAsia" w:ascii="仿宋_GB2312" w:hAnsi="仿宋_GB2312" w:eastAsia="仿宋_GB2312" w:cs="仿宋_GB2312"/>
              <w:color w:val="auto"/>
              <w:szCs w:val="32"/>
              <w:u w:val="none"/>
            </w:rPr>
            <w:fldChar w:fldCharType="separate"/>
          </w:r>
          <w:r>
            <w:rPr>
              <w:rFonts w:hint="eastAsia" w:ascii="仿宋_GB2312" w:hAnsi="仿宋_GB2312" w:eastAsia="仿宋_GB2312" w:cs="仿宋_GB2312"/>
              <w:snapToGrid/>
              <w:color w:val="auto"/>
              <w:kern w:val="2"/>
              <w:szCs w:val="32"/>
              <w:u w:val="none"/>
              <w:lang w:val="en-US" w:eastAsia="zh-CN"/>
            </w:rPr>
            <w:t>第一章 总则</w:t>
          </w:r>
          <w:r>
            <w:rPr>
              <w:rFonts w:hint="eastAsia" w:ascii="仿宋_GB2312" w:hAnsi="仿宋_GB2312" w:eastAsia="仿宋_GB2312" w:cs="仿宋_GB2312"/>
              <w:color w:val="auto"/>
              <w:u w:val="none"/>
            </w:rPr>
            <w:tab/>
          </w:r>
          <w:r>
            <w:rPr>
              <w:rFonts w:hint="eastAsia" w:ascii="仿宋_GB2312" w:hAnsi="仿宋_GB2312" w:eastAsia="仿宋_GB2312" w:cs="仿宋_GB2312"/>
              <w:color w:val="auto"/>
              <w:u w:val="none"/>
            </w:rPr>
            <w:fldChar w:fldCharType="begin"/>
          </w:r>
          <w:r>
            <w:rPr>
              <w:rFonts w:hint="eastAsia" w:ascii="仿宋_GB2312" w:hAnsi="仿宋_GB2312" w:eastAsia="仿宋_GB2312" w:cs="仿宋_GB2312"/>
              <w:color w:val="auto"/>
              <w:u w:val="none"/>
            </w:rPr>
            <w:instrText xml:space="preserve"> PAGEREF _Toc42659269 \h </w:instrText>
          </w:r>
          <w:r>
            <w:rPr>
              <w:rFonts w:hint="eastAsia" w:ascii="仿宋_GB2312" w:hAnsi="仿宋_GB2312" w:eastAsia="仿宋_GB2312" w:cs="仿宋_GB2312"/>
              <w:color w:val="auto"/>
              <w:u w:val="none"/>
            </w:rPr>
            <w:fldChar w:fldCharType="separate"/>
          </w:r>
          <w:r>
            <w:rPr>
              <w:rFonts w:hint="eastAsia" w:ascii="仿宋_GB2312" w:hAnsi="仿宋_GB2312" w:eastAsia="仿宋_GB2312" w:cs="仿宋_GB2312"/>
              <w:color w:val="auto"/>
              <w:u w:val="none"/>
            </w:rPr>
            <w:t>1</w:t>
          </w:r>
          <w:r>
            <w:rPr>
              <w:rFonts w:hint="eastAsia" w:ascii="仿宋_GB2312" w:hAnsi="仿宋_GB2312" w:eastAsia="仿宋_GB2312" w:cs="仿宋_GB2312"/>
              <w:color w:val="auto"/>
              <w:u w:val="none"/>
            </w:rPr>
            <w:fldChar w:fldCharType="end"/>
          </w:r>
          <w:r>
            <w:rPr>
              <w:rFonts w:hint="eastAsia" w:ascii="仿宋_GB2312" w:hAnsi="仿宋_GB2312" w:eastAsia="仿宋_GB2312" w:cs="仿宋_GB2312"/>
              <w:color w:val="auto"/>
              <w:szCs w:val="32"/>
              <w:u w:val="none"/>
            </w:rPr>
            <w:fldChar w:fldCharType="end"/>
          </w:r>
        </w:p>
        <w:p w14:paraId="02E1A594">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szCs w:val="32"/>
              <w:u w:val="none"/>
            </w:rPr>
            <w:fldChar w:fldCharType="begin"/>
          </w:r>
          <w:r>
            <w:rPr>
              <w:rFonts w:hint="eastAsia" w:ascii="仿宋_GB2312" w:hAnsi="仿宋_GB2312" w:eastAsia="仿宋_GB2312" w:cs="仿宋_GB2312"/>
              <w:color w:val="auto"/>
              <w:szCs w:val="32"/>
              <w:u w:val="none"/>
            </w:rPr>
            <w:instrText xml:space="preserve"> HYPERLINK \l _Toc1214096938 </w:instrText>
          </w:r>
          <w:r>
            <w:rPr>
              <w:rFonts w:hint="eastAsia" w:ascii="仿宋_GB2312" w:hAnsi="仿宋_GB2312" w:eastAsia="仿宋_GB2312" w:cs="仿宋_GB2312"/>
              <w:color w:val="auto"/>
              <w:szCs w:val="32"/>
              <w:u w:val="none"/>
            </w:rPr>
            <w:fldChar w:fldCharType="separate"/>
          </w:r>
          <w:r>
            <w:rPr>
              <w:rFonts w:hint="eastAsia" w:ascii="仿宋_GB2312" w:hAnsi="仿宋_GB2312" w:eastAsia="仿宋_GB2312" w:cs="仿宋_GB2312"/>
              <w:snapToGrid/>
              <w:color w:val="auto"/>
              <w:kern w:val="2"/>
              <w:szCs w:val="32"/>
              <w:u w:val="none"/>
              <w:lang w:val="en-US" w:eastAsia="zh-CN"/>
            </w:rPr>
            <w:t>第二章 公共数据收集</w:t>
          </w:r>
          <w:r>
            <w:rPr>
              <w:rFonts w:hint="eastAsia" w:ascii="仿宋_GB2312" w:hAnsi="仿宋_GB2312" w:eastAsia="仿宋_GB2312" w:cs="仿宋_GB2312"/>
              <w:color w:val="auto"/>
              <w:u w:val="none"/>
            </w:rPr>
            <w:tab/>
          </w:r>
          <w:r>
            <w:rPr>
              <w:rFonts w:hint="eastAsia" w:ascii="仿宋_GB2312" w:hAnsi="仿宋_GB2312" w:eastAsia="仿宋_GB2312" w:cs="仿宋_GB2312"/>
              <w:color w:val="auto"/>
              <w:u w:val="none"/>
            </w:rPr>
            <w:fldChar w:fldCharType="begin"/>
          </w:r>
          <w:r>
            <w:rPr>
              <w:rFonts w:hint="eastAsia" w:ascii="仿宋_GB2312" w:hAnsi="仿宋_GB2312" w:eastAsia="仿宋_GB2312" w:cs="仿宋_GB2312"/>
              <w:color w:val="auto"/>
              <w:u w:val="none"/>
            </w:rPr>
            <w:instrText xml:space="preserve"> PAGEREF _Toc1214096938 \h </w:instrText>
          </w:r>
          <w:r>
            <w:rPr>
              <w:rFonts w:hint="eastAsia" w:ascii="仿宋_GB2312" w:hAnsi="仿宋_GB2312" w:eastAsia="仿宋_GB2312" w:cs="仿宋_GB2312"/>
              <w:color w:val="auto"/>
              <w:u w:val="none"/>
            </w:rPr>
            <w:fldChar w:fldCharType="separate"/>
          </w:r>
          <w:r>
            <w:rPr>
              <w:rFonts w:hint="eastAsia" w:ascii="仿宋_GB2312" w:hAnsi="仿宋_GB2312" w:eastAsia="仿宋_GB2312" w:cs="仿宋_GB2312"/>
              <w:color w:val="auto"/>
              <w:u w:val="none"/>
            </w:rPr>
            <w:t>3</w:t>
          </w:r>
          <w:r>
            <w:rPr>
              <w:rFonts w:hint="eastAsia" w:ascii="仿宋_GB2312" w:hAnsi="仿宋_GB2312" w:eastAsia="仿宋_GB2312" w:cs="仿宋_GB2312"/>
              <w:color w:val="auto"/>
              <w:u w:val="none"/>
            </w:rPr>
            <w:fldChar w:fldCharType="end"/>
          </w:r>
          <w:r>
            <w:rPr>
              <w:rFonts w:hint="eastAsia" w:ascii="仿宋_GB2312" w:hAnsi="仿宋_GB2312" w:eastAsia="仿宋_GB2312" w:cs="仿宋_GB2312"/>
              <w:color w:val="auto"/>
              <w:szCs w:val="32"/>
              <w:u w:val="none"/>
            </w:rPr>
            <w:fldChar w:fldCharType="end"/>
          </w:r>
        </w:p>
        <w:p w14:paraId="6AA35EFA">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szCs w:val="32"/>
              <w:u w:val="none"/>
            </w:rPr>
            <w:fldChar w:fldCharType="begin"/>
          </w:r>
          <w:r>
            <w:rPr>
              <w:rFonts w:hint="eastAsia" w:ascii="仿宋_GB2312" w:hAnsi="仿宋_GB2312" w:eastAsia="仿宋_GB2312" w:cs="仿宋_GB2312"/>
              <w:color w:val="auto"/>
              <w:szCs w:val="32"/>
              <w:u w:val="none"/>
            </w:rPr>
            <w:instrText xml:space="preserve"> HYPERLINK \l _Toc1260730690 </w:instrText>
          </w:r>
          <w:r>
            <w:rPr>
              <w:rFonts w:hint="eastAsia" w:ascii="仿宋_GB2312" w:hAnsi="仿宋_GB2312" w:eastAsia="仿宋_GB2312" w:cs="仿宋_GB2312"/>
              <w:color w:val="auto"/>
              <w:szCs w:val="32"/>
              <w:u w:val="none"/>
            </w:rPr>
            <w:fldChar w:fldCharType="separate"/>
          </w:r>
          <w:r>
            <w:rPr>
              <w:rFonts w:hint="eastAsia" w:ascii="仿宋_GB2312" w:hAnsi="仿宋_GB2312" w:eastAsia="仿宋_GB2312" w:cs="仿宋_GB2312"/>
              <w:snapToGrid/>
              <w:color w:val="auto"/>
              <w:kern w:val="2"/>
              <w:szCs w:val="32"/>
              <w:u w:val="none"/>
              <w:lang w:val="en-US" w:eastAsia="zh-CN"/>
            </w:rPr>
            <w:t xml:space="preserve">第三章 </w:t>
          </w:r>
          <w:r>
            <w:rPr>
              <w:rFonts w:hint="eastAsia" w:ascii="仿宋_GB2312" w:hAnsi="仿宋_GB2312" w:eastAsia="仿宋_GB2312" w:cs="仿宋_GB2312"/>
              <w:color w:val="auto"/>
              <w:kern w:val="2"/>
              <w:szCs w:val="24"/>
              <w:u w:val="none"/>
              <w:lang w:val="en-US" w:eastAsia="zh-CN" w:bidi="ar-SA"/>
            </w:rPr>
            <w:t>公共数据目录管理</w:t>
          </w:r>
          <w:r>
            <w:rPr>
              <w:rFonts w:hint="eastAsia" w:ascii="仿宋_GB2312" w:hAnsi="仿宋_GB2312" w:eastAsia="仿宋_GB2312" w:cs="仿宋_GB2312"/>
              <w:color w:val="auto"/>
              <w:u w:val="none"/>
            </w:rPr>
            <w:tab/>
          </w:r>
          <w:r>
            <w:rPr>
              <w:rFonts w:hint="eastAsia" w:ascii="仿宋_GB2312" w:hAnsi="仿宋_GB2312" w:eastAsia="仿宋_GB2312" w:cs="仿宋_GB2312"/>
              <w:color w:val="auto"/>
              <w:u w:val="none"/>
            </w:rPr>
            <w:fldChar w:fldCharType="begin"/>
          </w:r>
          <w:r>
            <w:rPr>
              <w:rFonts w:hint="eastAsia" w:ascii="仿宋_GB2312" w:hAnsi="仿宋_GB2312" w:eastAsia="仿宋_GB2312" w:cs="仿宋_GB2312"/>
              <w:color w:val="auto"/>
              <w:u w:val="none"/>
            </w:rPr>
            <w:instrText xml:space="preserve"> PAGEREF _Toc1260730690 \h </w:instrText>
          </w:r>
          <w:r>
            <w:rPr>
              <w:rFonts w:hint="eastAsia" w:ascii="仿宋_GB2312" w:hAnsi="仿宋_GB2312" w:eastAsia="仿宋_GB2312" w:cs="仿宋_GB2312"/>
              <w:color w:val="auto"/>
              <w:u w:val="none"/>
            </w:rPr>
            <w:fldChar w:fldCharType="separate"/>
          </w:r>
          <w:r>
            <w:rPr>
              <w:rFonts w:hint="eastAsia" w:ascii="仿宋_GB2312" w:hAnsi="仿宋_GB2312" w:eastAsia="仿宋_GB2312" w:cs="仿宋_GB2312"/>
              <w:color w:val="auto"/>
              <w:u w:val="none"/>
            </w:rPr>
            <w:t>4</w:t>
          </w:r>
          <w:r>
            <w:rPr>
              <w:rFonts w:hint="eastAsia" w:ascii="仿宋_GB2312" w:hAnsi="仿宋_GB2312" w:eastAsia="仿宋_GB2312" w:cs="仿宋_GB2312"/>
              <w:color w:val="auto"/>
              <w:u w:val="none"/>
            </w:rPr>
            <w:fldChar w:fldCharType="end"/>
          </w:r>
          <w:r>
            <w:rPr>
              <w:rFonts w:hint="eastAsia" w:ascii="仿宋_GB2312" w:hAnsi="仿宋_GB2312" w:eastAsia="仿宋_GB2312" w:cs="仿宋_GB2312"/>
              <w:color w:val="auto"/>
              <w:szCs w:val="32"/>
              <w:u w:val="none"/>
            </w:rPr>
            <w:fldChar w:fldCharType="end"/>
          </w:r>
        </w:p>
        <w:p w14:paraId="4F4623CA">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szCs w:val="32"/>
              <w:u w:val="none"/>
            </w:rPr>
            <w:fldChar w:fldCharType="begin"/>
          </w:r>
          <w:r>
            <w:rPr>
              <w:rFonts w:hint="eastAsia" w:ascii="仿宋_GB2312" w:hAnsi="仿宋_GB2312" w:eastAsia="仿宋_GB2312" w:cs="仿宋_GB2312"/>
              <w:color w:val="auto"/>
              <w:szCs w:val="32"/>
              <w:u w:val="none"/>
            </w:rPr>
            <w:instrText xml:space="preserve"> HYPERLINK \l _Toc2082359621 </w:instrText>
          </w:r>
          <w:r>
            <w:rPr>
              <w:rFonts w:hint="eastAsia" w:ascii="仿宋_GB2312" w:hAnsi="仿宋_GB2312" w:eastAsia="仿宋_GB2312" w:cs="仿宋_GB2312"/>
              <w:color w:val="auto"/>
              <w:szCs w:val="32"/>
              <w:u w:val="none"/>
            </w:rPr>
            <w:fldChar w:fldCharType="separate"/>
          </w:r>
          <w:r>
            <w:rPr>
              <w:rFonts w:hint="eastAsia" w:ascii="仿宋_GB2312" w:hAnsi="仿宋_GB2312" w:eastAsia="仿宋_GB2312" w:cs="仿宋_GB2312"/>
              <w:snapToGrid/>
              <w:color w:val="auto"/>
              <w:kern w:val="2"/>
              <w:szCs w:val="32"/>
              <w:u w:val="none"/>
              <w:lang w:val="en-US" w:eastAsia="zh-CN"/>
            </w:rPr>
            <w:t>第四章 公共数据归集</w:t>
          </w:r>
          <w:r>
            <w:rPr>
              <w:rFonts w:hint="eastAsia" w:ascii="仿宋_GB2312" w:hAnsi="仿宋_GB2312" w:eastAsia="仿宋_GB2312" w:cs="仿宋_GB2312"/>
              <w:color w:val="auto"/>
              <w:u w:val="none"/>
            </w:rPr>
            <w:tab/>
          </w:r>
          <w:r>
            <w:rPr>
              <w:rFonts w:hint="eastAsia" w:ascii="仿宋_GB2312" w:hAnsi="仿宋_GB2312" w:eastAsia="仿宋_GB2312" w:cs="仿宋_GB2312"/>
              <w:color w:val="auto"/>
              <w:u w:val="none"/>
            </w:rPr>
            <w:fldChar w:fldCharType="begin"/>
          </w:r>
          <w:r>
            <w:rPr>
              <w:rFonts w:hint="eastAsia" w:ascii="仿宋_GB2312" w:hAnsi="仿宋_GB2312" w:eastAsia="仿宋_GB2312" w:cs="仿宋_GB2312"/>
              <w:color w:val="auto"/>
              <w:u w:val="none"/>
            </w:rPr>
            <w:instrText xml:space="preserve"> PAGEREF _Toc2082359621 \h </w:instrText>
          </w:r>
          <w:r>
            <w:rPr>
              <w:rFonts w:hint="eastAsia" w:ascii="仿宋_GB2312" w:hAnsi="仿宋_GB2312" w:eastAsia="仿宋_GB2312" w:cs="仿宋_GB2312"/>
              <w:color w:val="auto"/>
              <w:u w:val="none"/>
            </w:rPr>
            <w:fldChar w:fldCharType="separate"/>
          </w:r>
          <w:r>
            <w:rPr>
              <w:rFonts w:hint="eastAsia" w:ascii="仿宋_GB2312" w:hAnsi="仿宋_GB2312" w:eastAsia="仿宋_GB2312" w:cs="仿宋_GB2312"/>
              <w:color w:val="auto"/>
              <w:u w:val="none"/>
            </w:rPr>
            <w:t>5</w:t>
          </w:r>
          <w:r>
            <w:rPr>
              <w:rFonts w:hint="eastAsia" w:ascii="仿宋_GB2312" w:hAnsi="仿宋_GB2312" w:eastAsia="仿宋_GB2312" w:cs="仿宋_GB2312"/>
              <w:color w:val="auto"/>
              <w:u w:val="none"/>
            </w:rPr>
            <w:fldChar w:fldCharType="end"/>
          </w:r>
          <w:r>
            <w:rPr>
              <w:rFonts w:hint="eastAsia" w:ascii="仿宋_GB2312" w:hAnsi="仿宋_GB2312" w:eastAsia="仿宋_GB2312" w:cs="仿宋_GB2312"/>
              <w:color w:val="auto"/>
              <w:szCs w:val="32"/>
              <w:u w:val="none"/>
            </w:rPr>
            <w:fldChar w:fldCharType="end"/>
          </w:r>
        </w:p>
        <w:p w14:paraId="15A70E1F">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szCs w:val="32"/>
              <w:u w:val="none"/>
            </w:rPr>
            <w:fldChar w:fldCharType="begin"/>
          </w:r>
          <w:r>
            <w:rPr>
              <w:rFonts w:hint="eastAsia" w:ascii="仿宋_GB2312" w:hAnsi="仿宋_GB2312" w:eastAsia="仿宋_GB2312" w:cs="仿宋_GB2312"/>
              <w:color w:val="auto"/>
              <w:szCs w:val="32"/>
              <w:u w:val="none"/>
            </w:rPr>
            <w:instrText xml:space="preserve"> HYPERLINK \l _Toc1755542061 </w:instrText>
          </w:r>
          <w:r>
            <w:rPr>
              <w:rFonts w:hint="eastAsia" w:ascii="仿宋_GB2312" w:hAnsi="仿宋_GB2312" w:eastAsia="仿宋_GB2312" w:cs="仿宋_GB2312"/>
              <w:color w:val="auto"/>
              <w:szCs w:val="32"/>
              <w:u w:val="none"/>
            </w:rPr>
            <w:fldChar w:fldCharType="separate"/>
          </w:r>
          <w:r>
            <w:rPr>
              <w:rFonts w:hint="eastAsia" w:ascii="仿宋_GB2312" w:hAnsi="仿宋_GB2312" w:eastAsia="仿宋_GB2312" w:cs="仿宋_GB2312"/>
              <w:snapToGrid/>
              <w:color w:val="auto"/>
              <w:kern w:val="2"/>
              <w:szCs w:val="32"/>
              <w:u w:val="none"/>
              <w:lang w:val="en-US" w:eastAsia="zh-CN"/>
            </w:rPr>
            <w:t>第五章 公共数据资源登记</w:t>
          </w:r>
          <w:r>
            <w:rPr>
              <w:rFonts w:hint="eastAsia" w:ascii="仿宋_GB2312" w:hAnsi="仿宋_GB2312" w:eastAsia="仿宋_GB2312" w:cs="仿宋_GB2312"/>
              <w:color w:val="auto"/>
              <w:u w:val="none"/>
            </w:rPr>
            <w:tab/>
          </w:r>
          <w:r>
            <w:rPr>
              <w:rFonts w:hint="eastAsia" w:ascii="仿宋_GB2312" w:hAnsi="仿宋_GB2312" w:eastAsia="仿宋_GB2312" w:cs="仿宋_GB2312"/>
              <w:color w:val="auto"/>
              <w:u w:val="none"/>
            </w:rPr>
            <w:fldChar w:fldCharType="begin"/>
          </w:r>
          <w:r>
            <w:rPr>
              <w:rFonts w:hint="eastAsia" w:ascii="仿宋_GB2312" w:hAnsi="仿宋_GB2312" w:eastAsia="仿宋_GB2312" w:cs="仿宋_GB2312"/>
              <w:color w:val="auto"/>
              <w:u w:val="none"/>
            </w:rPr>
            <w:instrText xml:space="preserve"> PAGEREF _Toc1755542061 \h </w:instrText>
          </w:r>
          <w:r>
            <w:rPr>
              <w:rFonts w:hint="eastAsia" w:ascii="仿宋_GB2312" w:hAnsi="仿宋_GB2312" w:eastAsia="仿宋_GB2312" w:cs="仿宋_GB2312"/>
              <w:color w:val="auto"/>
              <w:u w:val="none"/>
            </w:rPr>
            <w:fldChar w:fldCharType="separate"/>
          </w:r>
          <w:r>
            <w:rPr>
              <w:rFonts w:hint="eastAsia" w:ascii="仿宋_GB2312" w:hAnsi="仿宋_GB2312" w:eastAsia="仿宋_GB2312" w:cs="仿宋_GB2312"/>
              <w:color w:val="auto"/>
              <w:u w:val="none"/>
            </w:rPr>
            <w:t>6</w:t>
          </w:r>
          <w:r>
            <w:rPr>
              <w:rFonts w:hint="eastAsia" w:ascii="仿宋_GB2312" w:hAnsi="仿宋_GB2312" w:eastAsia="仿宋_GB2312" w:cs="仿宋_GB2312"/>
              <w:color w:val="auto"/>
              <w:u w:val="none"/>
            </w:rPr>
            <w:fldChar w:fldCharType="end"/>
          </w:r>
          <w:r>
            <w:rPr>
              <w:rFonts w:hint="eastAsia" w:ascii="仿宋_GB2312" w:hAnsi="仿宋_GB2312" w:eastAsia="仿宋_GB2312" w:cs="仿宋_GB2312"/>
              <w:color w:val="auto"/>
              <w:szCs w:val="32"/>
              <w:u w:val="none"/>
            </w:rPr>
            <w:fldChar w:fldCharType="end"/>
          </w:r>
        </w:p>
        <w:p w14:paraId="1337F443">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szCs w:val="32"/>
              <w:u w:val="none"/>
            </w:rPr>
            <w:fldChar w:fldCharType="begin"/>
          </w:r>
          <w:r>
            <w:rPr>
              <w:rFonts w:hint="eastAsia" w:ascii="仿宋_GB2312" w:hAnsi="仿宋_GB2312" w:eastAsia="仿宋_GB2312" w:cs="仿宋_GB2312"/>
              <w:color w:val="auto"/>
              <w:szCs w:val="32"/>
              <w:u w:val="none"/>
            </w:rPr>
            <w:instrText xml:space="preserve"> HYPERLINK \l _Toc1745155863 </w:instrText>
          </w:r>
          <w:r>
            <w:rPr>
              <w:rFonts w:hint="eastAsia" w:ascii="仿宋_GB2312" w:hAnsi="仿宋_GB2312" w:eastAsia="仿宋_GB2312" w:cs="仿宋_GB2312"/>
              <w:color w:val="auto"/>
              <w:szCs w:val="32"/>
              <w:u w:val="none"/>
            </w:rPr>
            <w:fldChar w:fldCharType="separate"/>
          </w:r>
          <w:r>
            <w:rPr>
              <w:rFonts w:hint="eastAsia" w:ascii="仿宋_GB2312" w:hAnsi="仿宋_GB2312" w:eastAsia="仿宋_GB2312" w:cs="仿宋_GB2312"/>
              <w:color w:val="auto"/>
              <w:u w:val="none"/>
              <w:lang w:val="en-US" w:eastAsia="zh-CN"/>
            </w:rPr>
            <w:t xml:space="preserve">第六章 </w:t>
          </w:r>
          <w:r>
            <w:rPr>
              <w:rFonts w:hint="eastAsia" w:ascii="仿宋_GB2312" w:hAnsi="仿宋_GB2312" w:eastAsia="仿宋_GB2312" w:cs="仿宋_GB2312"/>
              <w:snapToGrid/>
              <w:color w:val="auto"/>
              <w:kern w:val="2"/>
              <w:szCs w:val="32"/>
              <w:u w:val="none"/>
              <w:lang w:val="en-US" w:eastAsia="zh-CN"/>
            </w:rPr>
            <w:t>公共数据治理</w:t>
          </w:r>
          <w:r>
            <w:rPr>
              <w:rFonts w:hint="eastAsia" w:ascii="仿宋_GB2312" w:hAnsi="仿宋_GB2312" w:eastAsia="仿宋_GB2312" w:cs="仿宋_GB2312"/>
              <w:color w:val="auto"/>
              <w:u w:val="none"/>
            </w:rPr>
            <w:tab/>
          </w:r>
          <w:r>
            <w:rPr>
              <w:rFonts w:hint="eastAsia" w:ascii="仿宋_GB2312" w:hAnsi="仿宋_GB2312" w:eastAsia="仿宋_GB2312" w:cs="仿宋_GB2312"/>
              <w:color w:val="auto"/>
              <w:u w:val="none"/>
            </w:rPr>
            <w:fldChar w:fldCharType="begin"/>
          </w:r>
          <w:r>
            <w:rPr>
              <w:rFonts w:hint="eastAsia" w:ascii="仿宋_GB2312" w:hAnsi="仿宋_GB2312" w:eastAsia="仿宋_GB2312" w:cs="仿宋_GB2312"/>
              <w:color w:val="auto"/>
              <w:u w:val="none"/>
            </w:rPr>
            <w:instrText xml:space="preserve"> PAGEREF _Toc1745155863 \h </w:instrText>
          </w:r>
          <w:r>
            <w:rPr>
              <w:rFonts w:hint="eastAsia" w:ascii="仿宋_GB2312" w:hAnsi="仿宋_GB2312" w:eastAsia="仿宋_GB2312" w:cs="仿宋_GB2312"/>
              <w:color w:val="auto"/>
              <w:u w:val="none"/>
            </w:rPr>
            <w:fldChar w:fldCharType="separate"/>
          </w:r>
          <w:r>
            <w:rPr>
              <w:rFonts w:hint="eastAsia" w:ascii="仿宋_GB2312" w:hAnsi="仿宋_GB2312" w:eastAsia="仿宋_GB2312" w:cs="仿宋_GB2312"/>
              <w:color w:val="auto"/>
              <w:u w:val="none"/>
            </w:rPr>
            <w:t>8</w:t>
          </w:r>
          <w:r>
            <w:rPr>
              <w:rFonts w:hint="eastAsia" w:ascii="仿宋_GB2312" w:hAnsi="仿宋_GB2312" w:eastAsia="仿宋_GB2312" w:cs="仿宋_GB2312"/>
              <w:color w:val="auto"/>
              <w:u w:val="none"/>
            </w:rPr>
            <w:fldChar w:fldCharType="end"/>
          </w:r>
          <w:r>
            <w:rPr>
              <w:rFonts w:hint="eastAsia" w:ascii="仿宋_GB2312" w:hAnsi="仿宋_GB2312" w:eastAsia="仿宋_GB2312" w:cs="仿宋_GB2312"/>
              <w:color w:val="auto"/>
              <w:szCs w:val="32"/>
              <w:u w:val="none"/>
            </w:rPr>
            <w:fldChar w:fldCharType="end"/>
          </w:r>
        </w:p>
        <w:p w14:paraId="061E277C">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szCs w:val="32"/>
              <w:u w:val="none"/>
            </w:rPr>
            <w:fldChar w:fldCharType="begin"/>
          </w:r>
          <w:r>
            <w:rPr>
              <w:rFonts w:hint="eastAsia" w:ascii="仿宋_GB2312" w:hAnsi="仿宋_GB2312" w:eastAsia="仿宋_GB2312" w:cs="仿宋_GB2312"/>
              <w:color w:val="auto"/>
              <w:szCs w:val="32"/>
              <w:u w:val="none"/>
            </w:rPr>
            <w:instrText xml:space="preserve"> HYPERLINK \l _Toc1341282668 </w:instrText>
          </w:r>
          <w:r>
            <w:rPr>
              <w:rFonts w:hint="eastAsia" w:ascii="仿宋_GB2312" w:hAnsi="仿宋_GB2312" w:eastAsia="仿宋_GB2312" w:cs="仿宋_GB2312"/>
              <w:color w:val="auto"/>
              <w:szCs w:val="32"/>
              <w:u w:val="none"/>
            </w:rPr>
            <w:fldChar w:fldCharType="separate"/>
          </w:r>
          <w:r>
            <w:rPr>
              <w:rFonts w:hint="eastAsia" w:ascii="仿宋_GB2312" w:hAnsi="仿宋_GB2312" w:eastAsia="仿宋_GB2312" w:cs="仿宋_GB2312"/>
              <w:color w:val="auto"/>
              <w:u w:val="none"/>
              <w:lang w:val="en-US" w:eastAsia="zh-CN"/>
            </w:rPr>
            <w:t>第七章 公共数据共享</w:t>
          </w:r>
          <w:r>
            <w:rPr>
              <w:rFonts w:hint="eastAsia" w:ascii="仿宋_GB2312" w:hAnsi="仿宋_GB2312" w:eastAsia="仿宋_GB2312" w:cs="仿宋_GB2312"/>
              <w:color w:val="auto"/>
              <w:u w:val="none"/>
            </w:rPr>
            <w:tab/>
          </w:r>
          <w:r>
            <w:rPr>
              <w:rFonts w:hint="eastAsia" w:ascii="仿宋_GB2312" w:hAnsi="仿宋_GB2312" w:eastAsia="仿宋_GB2312" w:cs="仿宋_GB2312"/>
              <w:color w:val="auto"/>
              <w:u w:val="none"/>
            </w:rPr>
            <w:fldChar w:fldCharType="begin"/>
          </w:r>
          <w:r>
            <w:rPr>
              <w:rFonts w:hint="eastAsia" w:ascii="仿宋_GB2312" w:hAnsi="仿宋_GB2312" w:eastAsia="仿宋_GB2312" w:cs="仿宋_GB2312"/>
              <w:color w:val="auto"/>
              <w:u w:val="none"/>
            </w:rPr>
            <w:instrText xml:space="preserve"> PAGEREF _Toc1341282668 \h </w:instrText>
          </w:r>
          <w:r>
            <w:rPr>
              <w:rFonts w:hint="eastAsia" w:ascii="仿宋_GB2312" w:hAnsi="仿宋_GB2312" w:eastAsia="仿宋_GB2312" w:cs="仿宋_GB2312"/>
              <w:color w:val="auto"/>
              <w:u w:val="none"/>
            </w:rPr>
            <w:fldChar w:fldCharType="separate"/>
          </w:r>
          <w:r>
            <w:rPr>
              <w:rFonts w:hint="eastAsia" w:ascii="仿宋_GB2312" w:hAnsi="仿宋_GB2312" w:eastAsia="仿宋_GB2312" w:cs="仿宋_GB2312"/>
              <w:color w:val="auto"/>
              <w:u w:val="none"/>
            </w:rPr>
            <w:t>9</w:t>
          </w:r>
          <w:r>
            <w:rPr>
              <w:rFonts w:hint="eastAsia" w:ascii="仿宋_GB2312" w:hAnsi="仿宋_GB2312" w:eastAsia="仿宋_GB2312" w:cs="仿宋_GB2312"/>
              <w:color w:val="auto"/>
              <w:u w:val="none"/>
            </w:rPr>
            <w:fldChar w:fldCharType="end"/>
          </w:r>
          <w:r>
            <w:rPr>
              <w:rFonts w:hint="eastAsia" w:ascii="仿宋_GB2312" w:hAnsi="仿宋_GB2312" w:eastAsia="仿宋_GB2312" w:cs="仿宋_GB2312"/>
              <w:color w:val="auto"/>
              <w:szCs w:val="32"/>
              <w:u w:val="none"/>
            </w:rPr>
            <w:fldChar w:fldCharType="end"/>
          </w:r>
        </w:p>
        <w:p w14:paraId="5A072BFE">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szCs w:val="32"/>
              <w:u w:val="none"/>
            </w:rPr>
            <w:fldChar w:fldCharType="begin"/>
          </w:r>
          <w:r>
            <w:rPr>
              <w:rFonts w:hint="eastAsia" w:ascii="仿宋_GB2312" w:hAnsi="仿宋_GB2312" w:eastAsia="仿宋_GB2312" w:cs="仿宋_GB2312"/>
              <w:color w:val="auto"/>
              <w:szCs w:val="32"/>
              <w:u w:val="none"/>
            </w:rPr>
            <w:instrText xml:space="preserve"> HYPERLINK \l _Toc216267919 </w:instrText>
          </w:r>
          <w:r>
            <w:rPr>
              <w:rFonts w:hint="eastAsia" w:ascii="仿宋_GB2312" w:hAnsi="仿宋_GB2312" w:eastAsia="仿宋_GB2312" w:cs="仿宋_GB2312"/>
              <w:color w:val="auto"/>
              <w:szCs w:val="32"/>
              <w:u w:val="none"/>
            </w:rPr>
            <w:fldChar w:fldCharType="separate"/>
          </w:r>
          <w:r>
            <w:rPr>
              <w:rFonts w:hint="eastAsia" w:ascii="仿宋_GB2312" w:hAnsi="仿宋_GB2312" w:eastAsia="仿宋_GB2312" w:cs="仿宋_GB2312"/>
              <w:color w:val="auto"/>
              <w:u w:val="none"/>
              <w:lang w:val="en-US" w:eastAsia="zh-CN"/>
            </w:rPr>
            <w:t>第八章 公共数据开放</w:t>
          </w:r>
          <w:r>
            <w:rPr>
              <w:rFonts w:hint="eastAsia" w:ascii="仿宋_GB2312" w:hAnsi="仿宋_GB2312" w:eastAsia="仿宋_GB2312" w:cs="仿宋_GB2312"/>
              <w:color w:val="auto"/>
              <w:u w:val="none"/>
            </w:rPr>
            <w:tab/>
          </w:r>
          <w:r>
            <w:rPr>
              <w:rFonts w:hint="eastAsia" w:ascii="仿宋_GB2312" w:hAnsi="仿宋_GB2312" w:eastAsia="仿宋_GB2312" w:cs="仿宋_GB2312"/>
              <w:color w:val="auto"/>
              <w:u w:val="none"/>
            </w:rPr>
            <w:fldChar w:fldCharType="begin"/>
          </w:r>
          <w:r>
            <w:rPr>
              <w:rFonts w:hint="eastAsia" w:ascii="仿宋_GB2312" w:hAnsi="仿宋_GB2312" w:eastAsia="仿宋_GB2312" w:cs="仿宋_GB2312"/>
              <w:color w:val="auto"/>
              <w:u w:val="none"/>
            </w:rPr>
            <w:instrText xml:space="preserve"> PAGEREF _Toc216267919 \h </w:instrText>
          </w:r>
          <w:r>
            <w:rPr>
              <w:rFonts w:hint="eastAsia" w:ascii="仿宋_GB2312" w:hAnsi="仿宋_GB2312" w:eastAsia="仿宋_GB2312" w:cs="仿宋_GB2312"/>
              <w:color w:val="auto"/>
              <w:u w:val="none"/>
            </w:rPr>
            <w:fldChar w:fldCharType="separate"/>
          </w:r>
          <w:r>
            <w:rPr>
              <w:rFonts w:hint="eastAsia" w:ascii="仿宋_GB2312" w:hAnsi="仿宋_GB2312" w:eastAsia="仿宋_GB2312" w:cs="仿宋_GB2312"/>
              <w:color w:val="auto"/>
              <w:u w:val="none"/>
            </w:rPr>
            <w:t>12</w:t>
          </w:r>
          <w:r>
            <w:rPr>
              <w:rFonts w:hint="eastAsia" w:ascii="仿宋_GB2312" w:hAnsi="仿宋_GB2312" w:eastAsia="仿宋_GB2312" w:cs="仿宋_GB2312"/>
              <w:color w:val="auto"/>
              <w:u w:val="none"/>
            </w:rPr>
            <w:fldChar w:fldCharType="end"/>
          </w:r>
          <w:r>
            <w:rPr>
              <w:rFonts w:hint="eastAsia" w:ascii="仿宋_GB2312" w:hAnsi="仿宋_GB2312" w:eastAsia="仿宋_GB2312" w:cs="仿宋_GB2312"/>
              <w:color w:val="auto"/>
              <w:szCs w:val="32"/>
              <w:u w:val="none"/>
            </w:rPr>
            <w:fldChar w:fldCharType="end"/>
          </w:r>
        </w:p>
        <w:p w14:paraId="2FAF630A">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szCs w:val="32"/>
              <w:u w:val="none"/>
            </w:rPr>
            <w:fldChar w:fldCharType="begin"/>
          </w:r>
          <w:r>
            <w:rPr>
              <w:rFonts w:hint="eastAsia" w:ascii="仿宋_GB2312" w:hAnsi="仿宋_GB2312" w:eastAsia="仿宋_GB2312" w:cs="仿宋_GB2312"/>
              <w:color w:val="auto"/>
              <w:szCs w:val="32"/>
              <w:u w:val="none"/>
            </w:rPr>
            <w:instrText xml:space="preserve"> HYPERLINK \l _Toc593041590 </w:instrText>
          </w:r>
          <w:r>
            <w:rPr>
              <w:rFonts w:hint="eastAsia" w:ascii="仿宋_GB2312" w:hAnsi="仿宋_GB2312" w:eastAsia="仿宋_GB2312" w:cs="仿宋_GB2312"/>
              <w:color w:val="auto"/>
              <w:szCs w:val="32"/>
              <w:u w:val="none"/>
            </w:rPr>
            <w:fldChar w:fldCharType="separate"/>
          </w:r>
          <w:r>
            <w:rPr>
              <w:rFonts w:hint="eastAsia" w:ascii="仿宋_GB2312" w:hAnsi="仿宋_GB2312" w:eastAsia="仿宋_GB2312" w:cs="仿宋_GB2312"/>
              <w:color w:val="auto"/>
              <w:u w:val="none"/>
              <w:lang w:val="en-US" w:eastAsia="zh-CN"/>
            </w:rPr>
            <w:t>第九章 公共数据资源授权运营</w:t>
          </w:r>
          <w:r>
            <w:rPr>
              <w:rFonts w:hint="eastAsia" w:ascii="仿宋_GB2312" w:hAnsi="仿宋_GB2312" w:eastAsia="仿宋_GB2312" w:cs="仿宋_GB2312"/>
              <w:color w:val="auto"/>
              <w:u w:val="none"/>
            </w:rPr>
            <w:tab/>
          </w:r>
          <w:r>
            <w:rPr>
              <w:rFonts w:hint="eastAsia" w:ascii="仿宋_GB2312" w:hAnsi="仿宋_GB2312" w:eastAsia="仿宋_GB2312" w:cs="仿宋_GB2312"/>
              <w:color w:val="auto"/>
              <w:u w:val="none"/>
            </w:rPr>
            <w:fldChar w:fldCharType="begin"/>
          </w:r>
          <w:r>
            <w:rPr>
              <w:rFonts w:hint="eastAsia" w:ascii="仿宋_GB2312" w:hAnsi="仿宋_GB2312" w:eastAsia="仿宋_GB2312" w:cs="仿宋_GB2312"/>
              <w:color w:val="auto"/>
              <w:u w:val="none"/>
            </w:rPr>
            <w:instrText xml:space="preserve"> PAGEREF _Toc593041590 \h </w:instrText>
          </w:r>
          <w:r>
            <w:rPr>
              <w:rFonts w:hint="eastAsia" w:ascii="仿宋_GB2312" w:hAnsi="仿宋_GB2312" w:eastAsia="仿宋_GB2312" w:cs="仿宋_GB2312"/>
              <w:color w:val="auto"/>
              <w:u w:val="none"/>
            </w:rPr>
            <w:fldChar w:fldCharType="separate"/>
          </w:r>
          <w:r>
            <w:rPr>
              <w:rFonts w:hint="eastAsia" w:ascii="仿宋_GB2312" w:hAnsi="仿宋_GB2312" w:eastAsia="仿宋_GB2312" w:cs="仿宋_GB2312"/>
              <w:color w:val="auto"/>
              <w:u w:val="none"/>
            </w:rPr>
            <w:t>14</w:t>
          </w:r>
          <w:r>
            <w:rPr>
              <w:rFonts w:hint="eastAsia" w:ascii="仿宋_GB2312" w:hAnsi="仿宋_GB2312" w:eastAsia="仿宋_GB2312" w:cs="仿宋_GB2312"/>
              <w:color w:val="auto"/>
              <w:u w:val="none"/>
            </w:rPr>
            <w:fldChar w:fldCharType="end"/>
          </w:r>
          <w:r>
            <w:rPr>
              <w:rFonts w:hint="eastAsia" w:ascii="仿宋_GB2312" w:hAnsi="仿宋_GB2312" w:eastAsia="仿宋_GB2312" w:cs="仿宋_GB2312"/>
              <w:color w:val="auto"/>
              <w:szCs w:val="32"/>
              <w:u w:val="none"/>
            </w:rPr>
            <w:fldChar w:fldCharType="end"/>
          </w:r>
        </w:p>
        <w:p w14:paraId="443772EC">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szCs w:val="32"/>
              <w:u w:val="none"/>
            </w:rPr>
            <w:fldChar w:fldCharType="begin"/>
          </w:r>
          <w:r>
            <w:rPr>
              <w:rFonts w:hint="eastAsia" w:ascii="仿宋_GB2312" w:hAnsi="仿宋_GB2312" w:eastAsia="仿宋_GB2312" w:cs="仿宋_GB2312"/>
              <w:color w:val="auto"/>
              <w:szCs w:val="32"/>
              <w:u w:val="none"/>
            </w:rPr>
            <w:instrText xml:space="preserve"> HYPERLINK \l _Toc710919130 </w:instrText>
          </w:r>
          <w:r>
            <w:rPr>
              <w:rFonts w:hint="eastAsia" w:ascii="仿宋_GB2312" w:hAnsi="仿宋_GB2312" w:eastAsia="仿宋_GB2312" w:cs="仿宋_GB2312"/>
              <w:color w:val="auto"/>
              <w:szCs w:val="32"/>
              <w:u w:val="none"/>
            </w:rPr>
            <w:fldChar w:fldCharType="separate"/>
          </w:r>
          <w:r>
            <w:rPr>
              <w:rFonts w:hint="eastAsia" w:ascii="仿宋_GB2312" w:hAnsi="仿宋_GB2312" w:eastAsia="仿宋_GB2312" w:cs="仿宋_GB2312"/>
              <w:color w:val="auto"/>
              <w:u w:val="none"/>
              <w:lang w:val="en-US" w:eastAsia="zh-CN"/>
            </w:rPr>
            <w:t>第十章 公共数据安全</w:t>
          </w:r>
          <w:r>
            <w:rPr>
              <w:rFonts w:hint="eastAsia" w:ascii="仿宋_GB2312" w:hAnsi="仿宋_GB2312" w:eastAsia="仿宋_GB2312" w:cs="仿宋_GB2312"/>
              <w:color w:val="auto"/>
              <w:u w:val="none"/>
            </w:rPr>
            <w:tab/>
          </w:r>
          <w:r>
            <w:rPr>
              <w:rFonts w:hint="eastAsia" w:ascii="仿宋_GB2312" w:hAnsi="仿宋_GB2312" w:eastAsia="仿宋_GB2312" w:cs="仿宋_GB2312"/>
              <w:color w:val="auto"/>
              <w:u w:val="none"/>
            </w:rPr>
            <w:fldChar w:fldCharType="begin"/>
          </w:r>
          <w:r>
            <w:rPr>
              <w:rFonts w:hint="eastAsia" w:ascii="仿宋_GB2312" w:hAnsi="仿宋_GB2312" w:eastAsia="仿宋_GB2312" w:cs="仿宋_GB2312"/>
              <w:color w:val="auto"/>
              <w:u w:val="none"/>
            </w:rPr>
            <w:instrText xml:space="preserve"> PAGEREF _Toc710919130 \h </w:instrText>
          </w:r>
          <w:r>
            <w:rPr>
              <w:rFonts w:hint="eastAsia" w:ascii="仿宋_GB2312" w:hAnsi="仿宋_GB2312" w:eastAsia="仿宋_GB2312" w:cs="仿宋_GB2312"/>
              <w:color w:val="auto"/>
              <w:u w:val="none"/>
            </w:rPr>
            <w:fldChar w:fldCharType="separate"/>
          </w:r>
          <w:r>
            <w:rPr>
              <w:rFonts w:hint="eastAsia" w:ascii="仿宋_GB2312" w:hAnsi="仿宋_GB2312" w:eastAsia="仿宋_GB2312" w:cs="仿宋_GB2312"/>
              <w:color w:val="auto"/>
              <w:u w:val="none"/>
            </w:rPr>
            <w:t>17</w:t>
          </w:r>
          <w:r>
            <w:rPr>
              <w:rFonts w:hint="eastAsia" w:ascii="仿宋_GB2312" w:hAnsi="仿宋_GB2312" w:eastAsia="仿宋_GB2312" w:cs="仿宋_GB2312"/>
              <w:color w:val="auto"/>
              <w:u w:val="none"/>
            </w:rPr>
            <w:fldChar w:fldCharType="end"/>
          </w:r>
          <w:r>
            <w:rPr>
              <w:rFonts w:hint="eastAsia" w:ascii="仿宋_GB2312" w:hAnsi="仿宋_GB2312" w:eastAsia="仿宋_GB2312" w:cs="仿宋_GB2312"/>
              <w:color w:val="auto"/>
              <w:szCs w:val="32"/>
              <w:u w:val="none"/>
            </w:rPr>
            <w:fldChar w:fldCharType="end"/>
          </w:r>
        </w:p>
        <w:p w14:paraId="617405C1">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szCs w:val="32"/>
              <w:u w:val="none"/>
            </w:rPr>
            <w:fldChar w:fldCharType="begin"/>
          </w:r>
          <w:r>
            <w:rPr>
              <w:rFonts w:hint="eastAsia" w:ascii="仿宋_GB2312" w:hAnsi="仿宋_GB2312" w:eastAsia="仿宋_GB2312" w:cs="仿宋_GB2312"/>
              <w:color w:val="auto"/>
              <w:szCs w:val="32"/>
              <w:u w:val="none"/>
            </w:rPr>
            <w:instrText xml:space="preserve"> HYPERLINK \l _Toc1689632983 </w:instrText>
          </w:r>
          <w:r>
            <w:rPr>
              <w:rFonts w:hint="eastAsia" w:ascii="仿宋_GB2312" w:hAnsi="仿宋_GB2312" w:eastAsia="仿宋_GB2312" w:cs="仿宋_GB2312"/>
              <w:color w:val="auto"/>
              <w:szCs w:val="32"/>
              <w:u w:val="none"/>
            </w:rPr>
            <w:fldChar w:fldCharType="separate"/>
          </w:r>
          <w:r>
            <w:rPr>
              <w:rFonts w:hint="eastAsia" w:ascii="仿宋_GB2312" w:hAnsi="仿宋_GB2312" w:eastAsia="仿宋_GB2312" w:cs="仿宋_GB2312"/>
              <w:color w:val="auto"/>
              <w:u w:val="none"/>
              <w:lang w:val="en-US" w:eastAsia="zh-CN"/>
            </w:rPr>
            <w:t>第十一章 监督管理</w:t>
          </w:r>
          <w:r>
            <w:rPr>
              <w:rFonts w:hint="eastAsia" w:ascii="仿宋_GB2312" w:hAnsi="仿宋_GB2312" w:eastAsia="仿宋_GB2312" w:cs="仿宋_GB2312"/>
              <w:color w:val="auto"/>
              <w:u w:val="none"/>
            </w:rPr>
            <w:tab/>
          </w:r>
          <w:r>
            <w:rPr>
              <w:rFonts w:hint="eastAsia" w:ascii="仿宋_GB2312" w:hAnsi="仿宋_GB2312" w:eastAsia="仿宋_GB2312" w:cs="仿宋_GB2312"/>
              <w:color w:val="auto"/>
              <w:u w:val="none"/>
            </w:rPr>
            <w:fldChar w:fldCharType="begin"/>
          </w:r>
          <w:r>
            <w:rPr>
              <w:rFonts w:hint="eastAsia" w:ascii="仿宋_GB2312" w:hAnsi="仿宋_GB2312" w:eastAsia="仿宋_GB2312" w:cs="仿宋_GB2312"/>
              <w:color w:val="auto"/>
              <w:u w:val="none"/>
            </w:rPr>
            <w:instrText xml:space="preserve"> PAGEREF _Toc1689632983 \h </w:instrText>
          </w:r>
          <w:r>
            <w:rPr>
              <w:rFonts w:hint="eastAsia" w:ascii="仿宋_GB2312" w:hAnsi="仿宋_GB2312" w:eastAsia="仿宋_GB2312" w:cs="仿宋_GB2312"/>
              <w:color w:val="auto"/>
              <w:u w:val="none"/>
            </w:rPr>
            <w:fldChar w:fldCharType="separate"/>
          </w:r>
          <w:r>
            <w:rPr>
              <w:rFonts w:hint="eastAsia" w:ascii="仿宋_GB2312" w:hAnsi="仿宋_GB2312" w:eastAsia="仿宋_GB2312" w:cs="仿宋_GB2312"/>
              <w:color w:val="auto"/>
              <w:u w:val="none"/>
            </w:rPr>
            <w:t>19</w:t>
          </w:r>
          <w:r>
            <w:rPr>
              <w:rFonts w:hint="eastAsia" w:ascii="仿宋_GB2312" w:hAnsi="仿宋_GB2312" w:eastAsia="仿宋_GB2312" w:cs="仿宋_GB2312"/>
              <w:color w:val="auto"/>
              <w:u w:val="none"/>
            </w:rPr>
            <w:fldChar w:fldCharType="end"/>
          </w:r>
          <w:r>
            <w:rPr>
              <w:rFonts w:hint="eastAsia" w:ascii="仿宋_GB2312" w:hAnsi="仿宋_GB2312" w:eastAsia="仿宋_GB2312" w:cs="仿宋_GB2312"/>
              <w:color w:val="auto"/>
              <w:szCs w:val="32"/>
              <w:u w:val="none"/>
            </w:rPr>
            <w:fldChar w:fldCharType="end"/>
          </w:r>
        </w:p>
        <w:p w14:paraId="1D0D0F98">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color w:val="auto"/>
              <w:u w:val="none"/>
            </w:rPr>
          </w:pPr>
          <w:r>
            <w:rPr>
              <w:rFonts w:hint="eastAsia" w:ascii="仿宋_GB2312" w:hAnsi="仿宋_GB2312" w:eastAsia="仿宋_GB2312" w:cs="仿宋_GB2312"/>
              <w:color w:val="auto"/>
              <w:szCs w:val="32"/>
              <w:u w:val="none"/>
            </w:rPr>
            <w:fldChar w:fldCharType="begin"/>
          </w:r>
          <w:r>
            <w:rPr>
              <w:rFonts w:hint="eastAsia" w:ascii="仿宋_GB2312" w:hAnsi="仿宋_GB2312" w:eastAsia="仿宋_GB2312" w:cs="仿宋_GB2312"/>
              <w:color w:val="auto"/>
              <w:szCs w:val="32"/>
              <w:u w:val="none"/>
            </w:rPr>
            <w:instrText xml:space="preserve"> HYPERLINK \l _Toc1381344994 </w:instrText>
          </w:r>
          <w:r>
            <w:rPr>
              <w:rFonts w:hint="eastAsia" w:ascii="仿宋_GB2312" w:hAnsi="仿宋_GB2312" w:eastAsia="仿宋_GB2312" w:cs="仿宋_GB2312"/>
              <w:color w:val="auto"/>
              <w:szCs w:val="32"/>
              <w:u w:val="none"/>
            </w:rPr>
            <w:fldChar w:fldCharType="separate"/>
          </w:r>
          <w:r>
            <w:rPr>
              <w:rFonts w:hint="eastAsia" w:ascii="仿宋_GB2312" w:hAnsi="仿宋_GB2312" w:eastAsia="仿宋_GB2312" w:cs="仿宋_GB2312"/>
              <w:color w:val="auto"/>
              <w:u w:val="none"/>
              <w:lang w:val="en-US" w:eastAsia="zh-CN"/>
            </w:rPr>
            <w:t>第十二章 附 则</w:t>
          </w:r>
          <w:r>
            <w:rPr>
              <w:rFonts w:hint="eastAsia" w:ascii="仿宋_GB2312" w:hAnsi="仿宋_GB2312" w:eastAsia="仿宋_GB2312" w:cs="仿宋_GB2312"/>
              <w:color w:val="auto"/>
              <w:u w:val="none"/>
            </w:rPr>
            <w:tab/>
          </w:r>
          <w:r>
            <w:rPr>
              <w:rFonts w:hint="eastAsia" w:ascii="仿宋_GB2312" w:hAnsi="仿宋_GB2312" w:eastAsia="仿宋_GB2312" w:cs="仿宋_GB2312"/>
              <w:color w:val="auto"/>
              <w:u w:val="none"/>
            </w:rPr>
            <w:fldChar w:fldCharType="begin"/>
          </w:r>
          <w:r>
            <w:rPr>
              <w:rFonts w:hint="eastAsia" w:ascii="仿宋_GB2312" w:hAnsi="仿宋_GB2312" w:eastAsia="仿宋_GB2312" w:cs="仿宋_GB2312"/>
              <w:color w:val="auto"/>
              <w:u w:val="none"/>
            </w:rPr>
            <w:instrText xml:space="preserve"> PAGEREF _Toc1381344994 \h </w:instrText>
          </w:r>
          <w:r>
            <w:rPr>
              <w:rFonts w:hint="eastAsia" w:ascii="仿宋_GB2312" w:hAnsi="仿宋_GB2312" w:eastAsia="仿宋_GB2312" w:cs="仿宋_GB2312"/>
              <w:color w:val="auto"/>
              <w:u w:val="none"/>
            </w:rPr>
            <w:fldChar w:fldCharType="separate"/>
          </w:r>
          <w:r>
            <w:rPr>
              <w:rFonts w:hint="eastAsia" w:ascii="仿宋_GB2312" w:hAnsi="仿宋_GB2312" w:eastAsia="仿宋_GB2312" w:cs="仿宋_GB2312"/>
              <w:color w:val="auto"/>
              <w:u w:val="none"/>
            </w:rPr>
            <w:t>20</w:t>
          </w:r>
          <w:r>
            <w:rPr>
              <w:rFonts w:hint="eastAsia" w:ascii="仿宋_GB2312" w:hAnsi="仿宋_GB2312" w:eastAsia="仿宋_GB2312" w:cs="仿宋_GB2312"/>
              <w:color w:val="auto"/>
              <w:u w:val="none"/>
            </w:rPr>
            <w:fldChar w:fldCharType="end"/>
          </w:r>
          <w:r>
            <w:rPr>
              <w:rFonts w:hint="eastAsia" w:ascii="仿宋_GB2312" w:hAnsi="仿宋_GB2312" w:eastAsia="仿宋_GB2312" w:cs="仿宋_GB2312"/>
              <w:color w:val="auto"/>
              <w:szCs w:val="32"/>
              <w:u w:val="none"/>
            </w:rPr>
            <w:fldChar w:fldCharType="end"/>
          </w:r>
        </w:p>
        <w:p w14:paraId="7C5912FB">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auto"/>
              <w:kern w:val="0"/>
              <w:sz w:val="24"/>
              <w:szCs w:val="32"/>
              <w:u w:val="none"/>
              <w:lang w:val="en-US" w:eastAsia="zh-CN" w:bidi="ar-SA"/>
            </w:rPr>
          </w:pPr>
          <w:r>
            <w:rPr>
              <w:rFonts w:hint="eastAsia" w:ascii="仿宋_GB2312" w:hAnsi="仿宋_GB2312" w:eastAsia="仿宋_GB2312" w:cs="仿宋_GB2312"/>
              <w:color w:val="auto"/>
              <w:szCs w:val="32"/>
              <w:u w:val="none"/>
            </w:rPr>
            <w:fldChar w:fldCharType="end"/>
          </w:r>
        </w:p>
      </w:sdtContent>
    </w:sdt>
    <w:p w14:paraId="2F648262">
      <w:pPr>
        <w:pStyle w:val="12"/>
        <w:pageBreakBefore w:val="0"/>
        <w:shd w:val="clear" w:color="auto" w:fill="FFFFFF"/>
        <w:wordWrap/>
        <w:overflowPunct/>
        <w:topLinePunct w:val="0"/>
        <w:bidi w:val="0"/>
        <w:spacing w:before="0" w:beforeAutospacing="0" w:after="0" w:afterAutospacing="0" w:line="560" w:lineRule="exact"/>
        <w:ind w:firstLine="480" w:firstLineChars="200"/>
        <w:jc w:val="both"/>
        <w:rPr>
          <w:rFonts w:hint="eastAsia" w:ascii="仿宋_GB2312" w:hAnsi="仿宋_GB2312" w:eastAsia="仿宋_GB2312" w:cs="仿宋_GB2312"/>
          <w:color w:val="auto"/>
          <w:kern w:val="0"/>
          <w:sz w:val="24"/>
          <w:szCs w:val="32"/>
          <w:u w:val="none"/>
          <w:lang w:val="en-US" w:eastAsia="zh-CN" w:bidi="ar-SA"/>
        </w:rPr>
      </w:pPr>
    </w:p>
    <w:p w14:paraId="43A9A1FD">
      <w:pPr>
        <w:pStyle w:val="12"/>
        <w:pageBreakBefore w:val="0"/>
        <w:shd w:val="clear" w:color="auto" w:fill="FFFFFF"/>
        <w:wordWrap/>
        <w:overflowPunct/>
        <w:topLinePunct w:val="0"/>
        <w:bidi w:val="0"/>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u w:val="none"/>
        </w:rPr>
      </w:pPr>
    </w:p>
    <w:p w14:paraId="11F1A8AC">
      <w:pPr>
        <w:pStyle w:val="12"/>
        <w:pageBreakBefore w:val="0"/>
        <w:shd w:val="clear" w:color="auto" w:fill="FFFFFF"/>
        <w:wordWrap/>
        <w:overflowPunct/>
        <w:topLinePunct w:val="0"/>
        <w:bidi w:val="0"/>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u w:val="none"/>
        </w:rPr>
      </w:pPr>
    </w:p>
    <w:p w14:paraId="20731674">
      <w:pPr>
        <w:pStyle w:val="12"/>
        <w:pageBreakBefore w:val="0"/>
        <w:shd w:val="clear" w:color="auto" w:fill="FFFFFF"/>
        <w:wordWrap/>
        <w:overflowPunct/>
        <w:topLinePunct w:val="0"/>
        <w:bidi w:val="0"/>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u w:val="none"/>
        </w:rPr>
        <w:sectPr>
          <w:headerReference r:id="rId4" w:type="first"/>
          <w:footerReference r:id="rId6" w:type="first"/>
          <w:headerReference r:id="rId3" w:type="even"/>
          <w:footerReference r:id="rId5" w:type="even"/>
          <w:pgSz w:w="11906" w:h="16838"/>
          <w:pgMar w:top="1440" w:right="1800" w:bottom="1440" w:left="1800" w:header="851" w:footer="992" w:gutter="0"/>
          <w:cols w:space="425" w:num="1"/>
          <w:docGrid w:type="lines" w:linePitch="312" w:charSpace="0"/>
        </w:sectPr>
      </w:pPr>
    </w:p>
    <w:p w14:paraId="55BB5C11">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outlineLvl w:val="0"/>
        <w:rPr>
          <w:rFonts w:hint="eastAsia" w:ascii="黑体" w:hAnsi="黑体" w:eastAsia="黑体" w:cs="黑体"/>
          <w:snapToGrid/>
          <w:color w:val="auto"/>
          <w:kern w:val="2"/>
          <w:sz w:val="32"/>
          <w:szCs w:val="32"/>
          <w:u w:val="none"/>
          <w:lang w:val="en-US" w:eastAsia="zh-CN"/>
        </w:rPr>
      </w:pPr>
      <w:bookmarkStart w:id="5" w:name="_Toc11997"/>
      <w:bookmarkStart w:id="6" w:name="_Toc23910"/>
      <w:bookmarkStart w:id="7" w:name="_Toc42659269"/>
      <w:bookmarkStart w:id="8" w:name="_Toc8464"/>
      <w:bookmarkStart w:id="9" w:name="_Toc17483"/>
      <w:bookmarkStart w:id="10" w:name="_Toc28501"/>
      <w:bookmarkStart w:id="11" w:name="_Toc10156"/>
      <w:bookmarkStart w:id="12" w:name="_Toc24065"/>
      <w:bookmarkStart w:id="13" w:name="_Toc17191"/>
      <w:bookmarkStart w:id="14" w:name="_Toc175768553"/>
      <w:bookmarkStart w:id="15" w:name="_Toc27130"/>
      <w:bookmarkStart w:id="16" w:name="_Toc8546"/>
      <w:r>
        <w:rPr>
          <w:rFonts w:hint="eastAsia" w:ascii="黑体" w:hAnsi="黑体" w:eastAsia="黑体" w:cs="黑体"/>
          <w:snapToGrid/>
          <w:color w:val="auto"/>
          <w:kern w:val="2"/>
          <w:sz w:val="32"/>
          <w:szCs w:val="32"/>
          <w:u w:val="none"/>
          <w:lang w:val="en-US" w:eastAsia="zh-CN"/>
        </w:rPr>
        <w:t>总则</w:t>
      </w:r>
      <w:bookmarkEnd w:id="5"/>
      <w:bookmarkEnd w:id="6"/>
      <w:bookmarkEnd w:id="7"/>
      <w:bookmarkEnd w:id="8"/>
      <w:bookmarkEnd w:id="9"/>
      <w:bookmarkEnd w:id="10"/>
      <w:bookmarkEnd w:id="11"/>
      <w:bookmarkEnd w:id="12"/>
      <w:bookmarkEnd w:id="13"/>
      <w:bookmarkEnd w:id="14"/>
      <w:bookmarkEnd w:id="15"/>
      <w:bookmarkEnd w:id="16"/>
    </w:p>
    <w:p w14:paraId="366B9518">
      <w:pPr>
        <w:pStyle w:val="2"/>
        <w:pageBreakBefore w:val="0"/>
        <w:numPr>
          <w:ilvl w:val="0"/>
          <w:numId w:val="0"/>
        </w:numPr>
        <w:wordWrap/>
        <w:overflowPunct/>
        <w:topLinePunct w:val="0"/>
        <w:bidi w:val="0"/>
        <w:spacing w:before="0" w:beforeLines="0" w:after="0" w:afterLines="0" w:line="560" w:lineRule="exact"/>
        <w:jc w:val="both"/>
        <w:outlineLvl w:val="9"/>
        <w:rPr>
          <w:rFonts w:hint="eastAsia"/>
          <w:color w:val="auto"/>
          <w:u w:val="none"/>
          <w:lang w:val="en-US" w:eastAsia="zh-CN"/>
        </w:rPr>
      </w:pPr>
    </w:p>
    <w:p w14:paraId="21AAD909">
      <w:pPr>
        <w:pageBreakBefore w:val="0"/>
        <w:numPr>
          <w:ilvl w:val="0"/>
          <w:numId w:val="2"/>
        </w:numPr>
        <w:wordWrap/>
        <w:overflowPunct/>
        <w:topLinePunct w:val="0"/>
        <w:bidi w:val="0"/>
        <w:spacing w:line="560" w:lineRule="exact"/>
        <w:ind w:firstLine="640" w:firstLineChars="200"/>
        <w:rPr>
          <w:color w:val="auto"/>
          <w:u w:val="none"/>
        </w:rPr>
      </w:pPr>
      <w:r>
        <w:rPr>
          <w:rFonts w:hint="eastAsia" w:cs="Times New Roman"/>
          <w:color w:val="auto"/>
          <w:u w:val="none"/>
          <w:lang w:val="en-US" w:eastAsia="zh-CN"/>
        </w:rPr>
        <w:t xml:space="preserve"> </w:t>
      </w:r>
      <w:r>
        <w:rPr>
          <w:rFonts w:hint="eastAsia" w:cs="Times New Roman"/>
          <w:color w:val="auto"/>
          <w:u w:val="none"/>
        </w:rPr>
        <w:t xml:space="preserve"> </w:t>
      </w:r>
      <w:r>
        <w:rPr>
          <w:rFonts w:cs="Times New Roman"/>
          <w:color w:val="auto"/>
          <w:u w:val="none"/>
        </w:rPr>
        <w:t>为了规范和促进本</w:t>
      </w:r>
      <w:r>
        <w:rPr>
          <w:rFonts w:hint="eastAsia" w:cs="Times New Roman"/>
          <w:color w:val="auto"/>
          <w:u w:val="none"/>
          <w:lang w:eastAsia="zh-CN"/>
        </w:rPr>
        <w:t>市</w:t>
      </w:r>
      <w:r>
        <w:rPr>
          <w:rFonts w:cs="Times New Roman"/>
          <w:color w:val="auto"/>
          <w:u w:val="none"/>
        </w:rPr>
        <w:t>公共数据</w:t>
      </w:r>
      <w:r>
        <w:rPr>
          <w:rFonts w:hint="eastAsia"/>
          <w:color w:val="auto"/>
          <w:u w:val="none"/>
          <w:lang w:val="en-US" w:eastAsia="zh-CN"/>
        </w:rPr>
        <w:t>共享、开放和应用</w:t>
      </w:r>
      <w:r>
        <w:rPr>
          <w:rFonts w:cs="Times New Roman"/>
          <w:color w:val="auto"/>
          <w:u w:val="none"/>
        </w:rPr>
        <w:t>，释放公共数据价值，保障公共数据安全，提升政府治理能力和公共服务水平，推动数字经济高质量发展，根据《中华人民共和国数据安全法》《中华人民共和国个人信息保护法》</w:t>
      </w:r>
      <w:r>
        <w:rPr>
          <w:rFonts w:hint="eastAsia" w:cs="Times New Roman"/>
          <w:color w:val="auto"/>
          <w:u w:val="none"/>
          <w:lang w:eastAsia="zh-CN"/>
        </w:rPr>
        <w:t>《</w:t>
      </w:r>
      <w:r>
        <w:rPr>
          <w:rFonts w:hint="eastAsia" w:cs="Times New Roman"/>
          <w:color w:val="auto"/>
          <w:u w:val="none"/>
          <w:lang w:val="en-US" w:eastAsia="zh-CN"/>
        </w:rPr>
        <w:t>政务数据共享条例</w:t>
      </w:r>
      <w:r>
        <w:rPr>
          <w:rFonts w:hint="eastAsia" w:cs="Times New Roman"/>
          <w:color w:val="auto"/>
          <w:u w:val="none"/>
          <w:lang w:eastAsia="zh-CN"/>
        </w:rPr>
        <w:t>》</w:t>
      </w:r>
      <w:r>
        <w:rPr>
          <w:rFonts w:cs="Times New Roman"/>
          <w:color w:val="auto"/>
          <w:u w:val="none"/>
        </w:rPr>
        <w:t>《</w:t>
      </w:r>
      <w:r>
        <w:rPr>
          <w:rFonts w:hint="eastAsia" w:cs="Times New Roman"/>
          <w:color w:val="auto"/>
          <w:u w:val="none"/>
        </w:rPr>
        <w:t>陕西省大数据条例</w:t>
      </w:r>
      <w:r>
        <w:rPr>
          <w:rFonts w:cs="Times New Roman"/>
          <w:color w:val="auto"/>
          <w:u w:val="none"/>
        </w:rPr>
        <w:t>》</w:t>
      </w:r>
      <w:r>
        <w:rPr>
          <w:rFonts w:hint="eastAsia" w:cs="Times New Roman"/>
          <w:color w:val="auto"/>
          <w:u w:val="none"/>
          <w:lang w:val="en-US" w:eastAsia="zh-CN"/>
        </w:rPr>
        <w:t>等</w:t>
      </w:r>
      <w:r>
        <w:rPr>
          <w:rFonts w:cs="Times New Roman"/>
          <w:color w:val="auto"/>
          <w:u w:val="none"/>
        </w:rPr>
        <w:t>有关法律法规</w:t>
      </w:r>
      <w:r>
        <w:rPr>
          <w:rFonts w:hint="eastAsia" w:cs="Times New Roman"/>
          <w:color w:val="auto"/>
          <w:u w:val="none"/>
          <w:lang w:val="en-US" w:eastAsia="zh-CN"/>
        </w:rPr>
        <w:t>规定</w:t>
      </w:r>
      <w:r>
        <w:rPr>
          <w:rFonts w:cs="Times New Roman"/>
          <w:color w:val="auto"/>
          <w:u w:val="none"/>
        </w:rPr>
        <w:t>，结合</w:t>
      </w:r>
      <w:r>
        <w:rPr>
          <w:rFonts w:hint="eastAsia" w:cs="Times New Roman"/>
          <w:color w:val="auto"/>
          <w:u w:val="none"/>
          <w:lang w:eastAsia="zh-CN"/>
        </w:rPr>
        <w:t>本市</w:t>
      </w:r>
      <w:r>
        <w:rPr>
          <w:rFonts w:cs="Times New Roman"/>
          <w:color w:val="auto"/>
          <w:u w:val="none"/>
        </w:rPr>
        <w:t>实际，制定本办法。</w:t>
      </w:r>
    </w:p>
    <w:p w14:paraId="00BD43CD">
      <w:pPr>
        <w:pageBreakBefore w:val="0"/>
        <w:numPr>
          <w:ilvl w:val="0"/>
          <w:numId w:val="2"/>
        </w:numPr>
        <w:wordWrap/>
        <w:overflowPunct/>
        <w:topLinePunct w:val="0"/>
        <w:bidi w:val="0"/>
        <w:spacing w:line="560" w:lineRule="exact"/>
        <w:ind w:firstLine="640" w:firstLineChars="200"/>
        <w:rPr>
          <w:rFonts w:hint="eastAsia" w:cs="Times New Roman"/>
          <w:color w:val="auto"/>
          <w:u w:val="none"/>
        </w:rPr>
      </w:pPr>
      <w:r>
        <w:rPr>
          <w:rFonts w:hint="eastAsia" w:cs="Times New Roman"/>
          <w:color w:val="auto"/>
          <w:u w:val="none"/>
        </w:rPr>
        <w:t xml:space="preserve">  </w:t>
      </w:r>
      <w:r>
        <w:rPr>
          <w:rFonts w:hint="eastAsia" w:cs="Times New Roman"/>
          <w:color w:val="auto"/>
          <w:u w:val="none"/>
          <w:lang w:eastAsia="zh-CN"/>
        </w:rPr>
        <w:t>本市</w:t>
      </w:r>
      <w:r>
        <w:rPr>
          <w:rFonts w:hint="eastAsia" w:cs="Times New Roman"/>
          <w:color w:val="auto"/>
          <w:u w:val="none"/>
        </w:rPr>
        <w:t>行政区域内实施的公共数据</w:t>
      </w:r>
      <w:r>
        <w:rPr>
          <w:rFonts w:hint="eastAsia" w:cs="Times New Roman"/>
          <w:color w:val="auto"/>
          <w:u w:val="none"/>
          <w:lang w:val="en-US" w:eastAsia="zh-CN"/>
        </w:rPr>
        <w:t>收集、目录管理</w:t>
      </w:r>
      <w:r>
        <w:rPr>
          <w:rFonts w:hint="eastAsia" w:cs="Times New Roman"/>
          <w:color w:val="auto"/>
          <w:u w:val="none"/>
        </w:rPr>
        <w:t>、</w:t>
      </w:r>
      <w:r>
        <w:rPr>
          <w:rFonts w:hint="eastAsia" w:cs="Times New Roman"/>
          <w:color w:val="auto"/>
          <w:u w:val="none"/>
          <w:lang w:eastAsia="zh-CN"/>
        </w:rPr>
        <w:t>归集、登记、治理、</w:t>
      </w:r>
      <w:r>
        <w:rPr>
          <w:rFonts w:hint="eastAsia" w:cs="Times New Roman"/>
          <w:color w:val="auto"/>
          <w:u w:val="none"/>
        </w:rPr>
        <w:t>共享、开放、授权运营、安全监管等行为或活动，适用本办法。</w:t>
      </w:r>
    </w:p>
    <w:p w14:paraId="0A717C9F">
      <w:pPr>
        <w:pageBreakBefore w:val="0"/>
        <w:numPr>
          <w:ilvl w:val="0"/>
          <w:numId w:val="2"/>
        </w:numPr>
        <w:wordWrap/>
        <w:overflowPunct/>
        <w:topLinePunct w:val="0"/>
        <w:bidi w:val="0"/>
        <w:spacing w:line="560" w:lineRule="exact"/>
        <w:ind w:firstLine="640" w:firstLineChars="200"/>
        <w:rPr>
          <w:rFonts w:hint="eastAsia"/>
          <w:color w:val="auto"/>
          <w:u w:val="none"/>
          <w:lang w:eastAsia="zh-CN"/>
        </w:rPr>
      </w:pPr>
      <w:r>
        <w:rPr>
          <w:rFonts w:hint="eastAsia"/>
          <w:color w:val="auto"/>
          <w:u w:val="none"/>
          <w:lang w:val="en-US" w:eastAsia="zh-CN"/>
        </w:rPr>
        <w:t xml:space="preserve">  </w:t>
      </w:r>
      <w:r>
        <w:rPr>
          <w:rFonts w:hint="eastAsia" w:cs="Times New Roman"/>
          <w:color w:val="auto"/>
          <w:u w:val="none"/>
        </w:rPr>
        <w:t>本办法所称公共数据，</w:t>
      </w:r>
      <w:r>
        <w:rPr>
          <w:rFonts w:hint="eastAsia" w:ascii="仿宋_GB2312" w:hAnsi="仿宋_GB2312" w:eastAsia="仿宋_GB2312" w:cs="仿宋_GB2312"/>
          <w:color w:val="auto"/>
          <w:sz w:val="32"/>
          <w:szCs w:val="32"/>
          <w:u w:val="none"/>
        </w:rPr>
        <w:t>是指本市</w:t>
      </w:r>
      <w:r>
        <w:rPr>
          <w:rFonts w:hint="eastAsia" w:ascii="仿宋_GB2312" w:hAnsi="仿宋_GB2312" w:eastAsia="仿宋_GB2312" w:cs="仿宋_GB2312"/>
          <w:color w:val="auto"/>
          <w:sz w:val="32"/>
          <w:szCs w:val="32"/>
          <w:u w:val="none"/>
          <w:lang w:eastAsia="zh-CN"/>
        </w:rPr>
        <w:t>各级党</w:t>
      </w:r>
      <w:r>
        <w:rPr>
          <w:rFonts w:hint="eastAsia" w:ascii="仿宋_GB2312" w:hAnsi="仿宋_GB2312" w:eastAsia="仿宋_GB2312" w:cs="仿宋_GB2312"/>
          <w:color w:val="auto"/>
          <w:sz w:val="32"/>
          <w:szCs w:val="32"/>
          <w:u w:val="none"/>
        </w:rPr>
        <w:t>政机</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关、</w:t>
      </w:r>
      <w:r>
        <w:rPr>
          <w:rFonts w:hint="eastAsia" w:ascii="仿宋_GB2312" w:hAnsi="仿宋_GB2312" w:eastAsia="仿宋_GB2312" w:cs="仿宋_GB2312"/>
          <w:color w:val="auto"/>
          <w:sz w:val="32"/>
          <w:szCs w:val="32"/>
          <w:u w:val="none"/>
          <w:lang w:eastAsia="zh-CN"/>
        </w:rPr>
        <w:t>企</w:t>
      </w:r>
      <w:r>
        <w:rPr>
          <w:rFonts w:hint="eastAsia" w:ascii="仿宋_GB2312" w:hAnsi="仿宋_GB2312" w:eastAsia="仿宋_GB2312" w:cs="仿宋_GB2312"/>
          <w:color w:val="auto"/>
          <w:sz w:val="32"/>
          <w:szCs w:val="32"/>
          <w:u w:val="none"/>
        </w:rPr>
        <w:t>事业单位，以及供水、供电、供气、</w:t>
      </w:r>
      <w:r>
        <w:rPr>
          <w:rFonts w:hint="eastAsia" w:ascii="仿宋_GB2312" w:hAnsi="仿宋_GB2312" w:eastAsia="仿宋_GB2312" w:cs="仿宋_GB2312"/>
          <w:color w:val="auto"/>
          <w:sz w:val="32"/>
          <w:szCs w:val="32"/>
          <w:u w:val="none"/>
          <w:lang w:eastAsia="zh-CN"/>
        </w:rPr>
        <w:t>医疗、教育、</w:t>
      </w:r>
      <w:r>
        <w:rPr>
          <w:rFonts w:hint="eastAsia" w:ascii="仿宋_GB2312" w:hAnsi="仿宋_GB2312" w:eastAsia="仿宋_GB2312" w:cs="仿宋_GB2312"/>
          <w:color w:val="auto"/>
          <w:sz w:val="32"/>
          <w:szCs w:val="32"/>
          <w:u w:val="none"/>
        </w:rPr>
        <w:t>公共交通等</w:t>
      </w:r>
      <w:r>
        <w:rPr>
          <w:rFonts w:hint="eastAsia" w:ascii="仿宋_GB2312" w:hAnsi="仿宋_GB2312" w:eastAsia="仿宋_GB2312" w:cs="仿宋_GB2312"/>
          <w:color w:val="auto"/>
          <w:sz w:val="32"/>
          <w:szCs w:val="32"/>
          <w:u w:val="none"/>
          <w:lang w:eastAsia="zh-CN"/>
        </w:rPr>
        <w:t>公共企业</w:t>
      </w:r>
      <w:r>
        <w:rPr>
          <w:rFonts w:hint="eastAsia" w:ascii="仿宋_GB2312" w:hAnsi="仿宋_GB2312" w:cs="仿宋_GB2312"/>
          <w:color w:val="auto"/>
          <w:sz w:val="32"/>
          <w:szCs w:val="32"/>
          <w:u w:val="none"/>
          <w:lang w:eastAsia="zh-CN"/>
        </w:rPr>
        <w:t>（以下统称公共管理和服务机构）</w:t>
      </w:r>
      <w:r>
        <w:rPr>
          <w:rFonts w:hint="eastAsia" w:ascii="仿宋_GB2312" w:hAnsi="仿宋_GB2312" w:eastAsia="仿宋_GB2312" w:cs="仿宋_GB2312"/>
          <w:color w:val="auto"/>
          <w:sz w:val="32"/>
          <w:szCs w:val="32"/>
          <w:u w:val="none"/>
          <w:lang w:eastAsia="zh-CN"/>
        </w:rPr>
        <w:t>，在</w:t>
      </w:r>
      <w:r>
        <w:rPr>
          <w:rFonts w:hint="eastAsia" w:ascii="仿宋_GB2312" w:hAnsi="仿宋_GB2312" w:eastAsia="仿宋_GB2312" w:cs="仿宋_GB2312"/>
          <w:color w:val="auto"/>
          <w:sz w:val="32"/>
          <w:szCs w:val="32"/>
          <w:u w:val="none"/>
          <w:lang w:val="en-US" w:eastAsia="zh-CN"/>
        </w:rPr>
        <w:t>依法履职或提供公共服务过程中产生的具有利用价值的数据集合。</w:t>
      </w:r>
    </w:p>
    <w:p w14:paraId="0458E49B">
      <w:pPr>
        <w:pageBreakBefore w:val="0"/>
        <w:wordWrap/>
        <w:overflowPunct/>
        <w:topLinePunct w:val="0"/>
        <w:bidi w:val="0"/>
        <w:spacing w:line="560" w:lineRule="exact"/>
        <w:ind w:firstLine="640" w:firstLineChars="200"/>
        <w:rPr>
          <w:rFonts w:cs="Times New Roman"/>
          <w:color w:val="auto"/>
          <w:u w:val="none"/>
        </w:rPr>
      </w:pPr>
      <w:r>
        <w:rPr>
          <w:rFonts w:cs="Times New Roman"/>
          <w:color w:val="auto"/>
          <w:u w:val="none"/>
        </w:rPr>
        <w:t>涉及国家秘密，或者法律法规对公共数据管理另有规定的，按照相关规定执行。</w:t>
      </w:r>
    </w:p>
    <w:p w14:paraId="0C5036EC">
      <w:pPr>
        <w:pageBreakBefore w:val="0"/>
        <w:numPr>
          <w:ilvl w:val="0"/>
          <w:numId w:val="2"/>
        </w:numPr>
        <w:wordWrap/>
        <w:overflowPunct/>
        <w:topLinePunct w:val="0"/>
        <w:bidi w:val="0"/>
        <w:spacing w:line="560" w:lineRule="exact"/>
        <w:ind w:firstLine="640" w:firstLineChars="200"/>
        <w:rPr>
          <w:rFonts w:hint="eastAsia" w:ascii="Times New Roman" w:hAnsi="Times New Roman" w:eastAsia="仿宋_GB2312" w:cs="Times New Roman"/>
          <w:i w:val="0"/>
          <w:iCs w:val="0"/>
          <w:caps w:val="0"/>
          <w:color w:val="auto"/>
          <w:spacing w:val="0"/>
          <w:sz w:val="32"/>
          <w:szCs w:val="22"/>
          <w:u w:val="none"/>
          <w:shd w:val="clear"/>
        </w:rPr>
      </w:pPr>
      <w:r>
        <w:rPr>
          <w:rFonts w:hint="eastAsia" w:cs="Times New Roman"/>
          <w:color w:val="auto"/>
          <w:u w:val="none"/>
          <w:lang w:val="en-US" w:eastAsia="zh-CN"/>
        </w:rPr>
        <w:t xml:space="preserve">  </w:t>
      </w:r>
      <w:r>
        <w:rPr>
          <w:rFonts w:hint="eastAsia" w:ascii="Times New Roman" w:hAnsi="Times New Roman" w:eastAsia="仿宋_GB2312" w:cs="Times New Roman"/>
          <w:i w:val="0"/>
          <w:iCs w:val="0"/>
          <w:caps w:val="0"/>
          <w:color w:val="auto"/>
          <w:spacing w:val="0"/>
          <w:sz w:val="32"/>
          <w:szCs w:val="22"/>
          <w:u w:val="none"/>
          <w:shd w:val="clear"/>
        </w:rPr>
        <w:t>公共数据管理应当坚持中国共产党的领导，遵循统筹规划、依法有序、分类分级、按需共享、有序开放、合规利用、安全可控的原则</w:t>
      </w:r>
      <w:r>
        <w:rPr>
          <w:rFonts w:hint="eastAsia" w:ascii="Times New Roman" w:hAnsi="Times New Roman" w:eastAsia="仿宋_GB2312" w:cs="Times New Roman"/>
          <w:i w:val="0"/>
          <w:iCs w:val="0"/>
          <w:caps w:val="0"/>
          <w:color w:val="auto"/>
          <w:spacing w:val="0"/>
          <w:sz w:val="32"/>
          <w:szCs w:val="22"/>
          <w:u w:val="none"/>
          <w:shd w:val="clear"/>
          <w:lang w:eastAsia="zh-CN"/>
        </w:rPr>
        <w:t>。</w:t>
      </w:r>
    </w:p>
    <w:p w14:paraId="2954AD08">
      <w:pPr>
        <w:pageBreakBefore w:val="0"/>
        <w:numPr>
          <w:ilvl w:val="0"/>
          <w:numId w:val="2"/>
        </w:numPr>
        <w:wordWrap/>
        <w:overflowPunct/>
        <w:topLinePunct w:val="0"/>
        <w:bidi w:val="0"/>
        <w:spacing w:line="560" w:lineRule="exact"/>
        <w:ind w:firstLine="640" w:firstLineChars="200"/>
        <w:rPr>
          <w:rFonts w:cs="Times New Roman"/>
          <w:color w:val="auto"/>
          <w:u w:val="none"/>
        </w:rPr>
      </w:pPr>
      <w:r>
        <w:rPr>
          <w:rFonts w:hint="eastAsia" w:cs="Times New Roman"/>
          <w:color w:val="auto"/>
          <w:u w:val="none"/>
          <w:lang w:val="en-US" w:eastAsia="zh-CN"/>
        </w:rPr>
        <w:t xml:space="preserve">  </w:t>
      </w:r>
      <w:r>
        <w:rPr>
          <w:rFonts w:hint="eastAsia" w:ascii="Times New Roman" w:hAnsi="Times New Roman" w:eastAsia="仿宋_GB2312" w:cs="Times New Roman"/>
          <w:i w:val="0"/>
          <w:iCs w:val="0"/>
          <w:caps w:val="0"/>
          <w:color w:val="auto"/>
          <w:spacing w:val="0"/>
          <w:sz w:val="32"/>
          <w:szCs w:val="22"/>
          <w:u w:val="none"/>
          <w:shd w:val="clear"/>
        </w:rPr>
        <w:t>县级以上人民政府统一领导本行政区域公共数据管理工作，确定本级数据管理部门</w:t>
      </w:r>
      <w:r>
        <w:rPr>
          <w:rFonts w:hint="eastAsia" w:ascii="Times New Roman" w:hAnsi="Times New Roman" w:eastAsia="仿宋_GB2312" w:cs="Times New Roman"/>
          <w:i w:val="0"/>
          <w:iCs w:val="0"/>
          <w:caps w:val="0"/>
          <w:color w:val="auto"/>
          <w:spacing w:val="0"/>
          <w:sz w:val="32"/>
          <w:szCs w:val="22"/>
          <w:u w:val="none"/>
          <w:shd w:val="clear"/>
          <w:lang w:eastAsia="zh-CN"/>
        </w:rPr>
        <w:t>，</w:t>
      </w:r>
      <w:r>
        <w:rPr>
          <w:rFonts w:hint="eastAsia" w:ascii="Times New Roman" w:hAnsi="Times New Roman" w:eastAsia="仿宋_GB2312" w:cs="Times New Roman"/>
          <w:i w:val="0"/>
          <w:iCs w:val="0"/>
          <w:caps w:val="0"/>
          <w:color w:val="auto"/>
          <w:spacing w:val="0"/>
          <w:sz w:val="32"/>
          <w:szCs w:val="22"/>
          <w:u w:val="none"/>
          <w:shd w:val="clear"/>
        </w:rPr>
        <w:t>建立健全工作协调机制，统筹解决公共数据管理重大问题，落实数据安全责任</w:t>
      </w:r>
      <w:r>
        <w:rPr>
          <w:rFonts w:hint="eastAsia" w:ascii="Times New Roman" w:hAnsi="Times New Roman" w:eastAsia="仿宋_GB2312" w:cs="Times New Roman"/>
          <w:i w:val="0"/>
          <w:iCs w:val="0"/>
          <w:caps w:val="0"/>
          <w:color w:val="auto"/>
          <w:spacing w:val="0"/>
          <w:sz w:val="32"/>
          <w:szCs w:val="22"/>
          <w:u w:val="none"/>
          <w:shd w:val="clear"/>
          <w:lang w:eastAsia="zh-CN"/>
        </w:rPr>
        <w:t>，</w:t>
      </w:r>
      <w:r>
        <w:rPr>
          <w:rFonts w:hint="eastAsia" w:ascii="Times New Roman" w:hAnsi="Times New Roman" w:eastAsia="仿宋_GB2312" w:cs="Times New Roman"/>
          <w:i w:val="0"/>
          <w:iCs w:val="0"/>
          <w:caps w:val="0"/>
          <w:color w:val="auto"/>
          <w:spacing w:val="0"/>
          <w:sz w:val="32"/>
          <w:szCs w:val="22"/>
          <w:u w:val="none"/>
          <w:shd w:val="clear"/>
          <w:lang w:val="en-US" w:eastAsia="zh-CN"/>
        </w:rPr>
        <w:t>将公共数据管理纳入国民经济和社会发展规划，所需经费由同级财政统筹解决</w:t>
      </w:r>
      <w:r>
        <w:rPr>
          <w:rFonts w:hint="eastAsia" w:ascii="Times New Roman" w:hAnsi="Times New Roman" w:eastAsia="仿宋_GB2312" w:cs="Times New Roman"/>
          <w:i w:val="0"/>
          <w:iCs w:val="0"/>
          <w:caps w:val="0"/>
          <w:color w:val="auto"/>
          <w:spacing w:val="0"/>
          <w:sz w:val="32"/>
          <w:szCs w:val="22"/>
          <w:u w:val="none"/>
          <w:shd w:val="clear"/>
        </w:rPr>
        <w:t>。</w:t>
      </w:r>
    </w:p>
    <w:p w14:paraId="0EFF2BB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u w:val="none"/>
          <w:lang w:val="en-US" w:eastAsia="zh-CN"/>
        </w:rPr>
      </w:pPr>
      <w:r>
        <w:rPr>
          <w:rFonts w:hint="eastAsia" w:cs="Times New Roman"/>
          <w:color w:val="auto"/>
          <w:u w:val="none"/>
          <w:lang w:val="en-US" w:eastAsia="zh-CN"/>
        </w:rPr>
        <w:t xml:space="preserve"> 市</w:t>
      </w:r>
      <w:r>
        <w:rPr>
          <w:rFonts w:hint="eastAsia" w:ascii="Times New Roman" w:hAnsi="Times New Roman" w:eastAsia="仿宋_GB2312" w:cs="Times New Roman"/>
          <w:i w:val="0"/>
          <w:iCs w:val="0"/>
          <w:caps w:val="0"/>
          <w:color w:val="auto"/>
          <w:spacing w:val="0"/>
          <w:sz w:val="32"/>
          <w:szCs w:val="22"/>
          <w:u w:val="none"/>
          <w:shd w:val="clear"/>
          <w:lang w:val="en-US" w:eastAsia="zh-CN"/>
        </w:rPr>
        <w:t>数据局作为市数据管理部门，</w:t>
      </w:r>
      <w:r>
        <w:rPr>
          <w:rFonts w:hint="eastAsia" w:ascii="Times New Roman" w:hAnsi="Times New Roman" w:eastAsia="仿宋_GB2312" w:cs="Times New Roman"/>
          <w:i w:val="0"/>
          <w:iCs w:val="0"/>
          <w:caps w:val="0"/>
          <w:color w:val="auto"/>
          <w:spacing w:val="0"/>
          <w:sz w:val="32"/>
          <w:szCs w:val="22"/>
          <w:u w:val="none"/>
          <w:shd w:val="clear"/>
        </w:rPr>
        <w:t>负责组织、指导、协调、监督</w:t>
      </w:r>
      <w:r>
        <w:rPr>
          <w:rFonts w:hint="eastAsia" w:ascii="Times New Roman" w:hAnsi="Times New Roman" w:eastAsia="仿宋_GB2312" w:cs="Times New Roman"/>
          <w:i w:val="0"/>
          <w:iCs w:val="0"/>
          <w:caps w:val="0"/>
          <w:color w:val="auto"/>
          <w:spacing w:val="0"/>
          <w:sz w:val="32"/>
          <w:szCs w:val="22"/>
          <w:u w:val="none"/>
          <w:shd w:val="clear"/>
          <w:lang w:eastAsia="zh-CN"/>
        </w:rPr>
        <w:t>本行政区域内</w:t>
      </w:r>
      <w:r>
        <w:rPr>
          <w:rFonts w:hint="eastAsia" w:ascii="Times New Roman" w:hAnsi="Times New Roman" w:eastAsia="仿宋_GB2312" w:cs="Times New Roman"/>
          <w:i w:val="0"/>
          <w:iCs w:val="0"/>
          <w:caps w:val="0"/>
          <w:color w:val="auto"/>
          <w:spacing w:val="0"/>
          <w:sz w:val="32"/>
          <w:szCs w:val="22"/>
          <w:u w:val="none"/>
          <w:shd w:val="clear"/>
        </w:rPr>
        <w:t>公共数据管理工作</w:t>
      </w:r>
      <w:r>
        <w:rPr>
          <w:rFonts w:hint="eastAsia" w:ascii="Times New Roman" w:hAnsi="Times New Roman" w:eastAsia="仿宋_GB2312" w:cs="Times New Roman"/>
          <w:i w:val="0"/>
          <w:iCs w:val="0"/>
          <w:caps w:val="0"/>
          <w:color w:val="auto"/>
          <w:spacing w:val="0"/>
          <w:sz w:val="32"/>
          <w:szCs w:val="22"/>
          <w:u w:val="none"/>
          <w:shd w:val="clear"/>
          <w:lang w:eastAsia="zh-CN"/>
        </w:rPr>
        <w:t>，</w:t>
      </w:r>
      <w:r>
        <w:rPr>
          <w:rFonts w:hint="eastAsia" w:ascii="仿宋_GB2312" w:hAnsi="仿宋_GB2312" w:eastAsia="仿宋_GB2312" w:cs="仿宋_GB2312"/>
          <w:color w:val="auto"/>
          <w:sz w:val="32"/>
          <w:highlight w:val="none"/>
          <w:u w:val="none"/>
          <w:lang w:val="en-US" w:eastAsia="zh-CN"/>
        </w:rPr>
        <w:t>具体履行以下职责：</w:t>
      </w:r>
    </w:p>
    <w:p w14:paraId="5DEF426B">
      <w:pPr>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u w:val="none"/>
          <w:lang w:val="en-US" w:eastAsia="zh-CN"/>
        </w:rPr>
      </w:pPr>
      <w:r>
        <w:rPr>
          <w:rFonts w:hint="eastAsia" w:ascii="仿宋_GB2312" w:hAnsi="仿宋_GB2312" w:eastAsia="仿宋_GB2312" w:cs="仿宋_GB2312"/>
          <w:color w:val="auto"/>
          <w:sz w:val="32"/>
          <w:highlight w:val="none"/>
          <w:u w:val="none"/>
          <w:lang w:val="en-US" w:eastAsia="zh-CN"/>
        </w:rPr>
        <w:t>组织制定公共数据管理的制度规范及技术标准；</w:t>
      </w:r>
    </w:p>
    <w:p w14:paraId="58F81804">
      <w:pPr>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u w:val="none"/>
          <w:lang w:val="en-US" w:eastAsia="zh-CN"/>
        </w:rPr>
      </w:pPr>
      <w:r>
        <w:rPr>
          <w:rFonts w:hint="eastAsia" w:ascii="仿宋_GB2312" w:hAnsi="仿宋_GB2312" w:eastAsia="仿宋_GB2312" w:cs="仿宋_GB2312"/>
          <w:color w:val="auto"/>
          <w:sz w:val="32"/>
          <w:highlight w:val="none"/>
          <w:u w:val="none"/>
          <w:lang w:val="en-US" w:eastAsia="zh-CN"/>
        </w:rPr>
        <w:t>组织制定总体规划和工作计划，会同</w:t>
      </w:r>
      <w:r>
        <w:rPr>
          <w:rFonts w:hint="eastAsia" w:ascii="仿宋_GB2312" w:hAnsi="仿宋_GB2312" w:cs="仿宋_GB2312"/>
          <w:color w:val="auto"/>
          <w:sz w:val="32"/>
          <w:highlight w:val="none"/>
          <w:u w:val="none"/>
          <w:lang w:val="en-US" w:eastAsia="zh-CN"/>
        </w:rPr>
        <w:t>公共管理和服务机构</w:t>
      </w:r>
      <w:r>
        <w:rPr>
          <w:rFonts w:hint="eastAsia" w:ascii="仿宋_GB2312" w:hAnsi="仿宋_GB2312" w:eastAsia="仿宋_GB2312" w:cs="仿宋_GB2312"/>
          <w:color w:val="auto"/>
          <w:sz w:val="32"/>
          <w:highlight w:val="none"/>
          <w:u w:val="none"/>
          <w:lang w:val="en-US" w:eastAsia="zh-CN"/>
        </w:rPr>
        <w:t>研究公共数据</w:t>
      </w:r>
      <w:r>
        <w:rPr>
          <w:rFonts w:hint="eastAsia" w:ascii="仿宋_GB2312" w:hAnsi="仿宋_GB2312" w:cs="仿宋_GB2312"/>
          <w:color w:val="auto"/>
          <w:sz w:val="32"/>
          <w:highlight w:val="none"/>
          <w:u w:val="none"/>
          <w:lang w:val="en-US" w:eastAsia="zh-CN"/>
        </w:rPr>
        <w:t>管理</w:t>
      </w:r>
      <w:r>
        <w:rPr>
          <w:rFonts w:hint="eastAsia" w:ascii="仿宋_GB2312" w:hAnsi="仿宋_GB2312" w:eastAsia="仿宋_GB2312" w:cs="仿宋_GB2312"/>
          <w:color w:val="auto"/>
          <w:sz w:val="32"/>
          <w:highlight w:val="none"/>
          <w:u w:val="none"/>
          <w:lang w:val="en-US" w:eastAsia="zh-CN"/>
        </w:rPr>
        <w:t>中的重大事项和重要工作；</w:t>
      </w:r>
    </w:p>
    <w:p w14:paraId="0BF12CF2">
      <w:pPr>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u w:val="none"/>
          <w:lang w:val="en-US" w:eastAsia="zh-CN"/>
        </w:rPr>
      </w:pPr>
      <w:r>
        <w:rPr>
          <w:rFonts w:hint="eastAsia" w:ascii="仿宋_GB2312" w:hAnsi="仿宋_GB2312" w:eastAsia="仿宋_GB2312" w:cs="仿宋_GB2312"/>
          <w:color w:val="auto"/>
          <w:sz w:val="32"/>
          <w:highlight w:val="none"/>
          <w:u w:val="none"/>
          <w:lang w:val="en-US" w:eastAsia="zh-CN"/>
        </w:rPr>
        <w:t>建立健全公共数据</w:t>
      </w:r>
      <w:r>
        <w:rPr>
          <w:rFonts w:hint="eastAsia" w:ascii="仿宋_GB2312" w:hAnsi="仿宋_GB2312" w:cs="仿宋_GB2312"/>
          <w:color w:val="auto"/>
          <w:sz w:val="32"/>
          <w:highlight w:val="none"/>
          <w:u w:val="none"/>
          <w:lang w:val="en-US" w:eastAsia="zh-CN"/>
        </w:rPr>
        <w:t>管理</w:t>
      </w:r>
      <w:r>
        <w:rPr>
          <w:rFonts w:hint="eastAsia" w:ascii="仿宋_GB2312" w:hAnsi="仿宋_GB2312" w:eastAsia="仿宋_GB2312" w:cs="仿宋_GB2312"/>
          <w:color w:val="auto"/>
          <w:sz w:val="32"/>
          <w:highlight w:val="none"/>
          <w:u w:val="none"/>
          <w:lang w:val="en-US" w:eastAsia="zh-CN"/>
        </w:rPr>
        <w:t>争议解决处理机制，对管理争议进行协调处理；</w:t>
      </w:r>
    </w:p>
    <w:p w14:paraId="517AECC2">
      <w:pPr>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u w:val="none"/>
          <w:lang w:val="en-US" w:eastAsia="zh-CN"/>
        </w:rPr>
      </w:pPr>
      <w:r>
        <w:rPr>
          <w:rFonts w:hint="eastAsia" w:ascii="仿宋_GB2312" w:hAnsi="仿宋_GB2312" w:cs="仿宋_GB2312"/>
          <w:color w:val="auto"/>
          <w:sz w:val="32"/>
          <w:highlight w:val="none"/>
          <w:u w:val="none"/>
          <w:lang w:val="en-US" w:eastAsia="zh-CN"/>
        </w:rPr>
        <w:t>制定</w:t>
      </w:r>
      <w:r>
        <w:rPr>
          <w:rFonts w:hint="eastAsia" w:ascii="仿宋_GB2312" w:hAnsi="仿宋_GB2312" w:eastAsia="仿宋_GB2312" w:cs="仿宋_GB2312"/>
          <w:color w:val="auto"/>
          <w:sz w:val="32"/>
          <w:u w:val="none"/>
          <w:lang w:val="en-US" w:eastAsia="zh-CN"/>
        </w:rPr>
        <w:t>公共数据目录编制标准规范，组织编制本行政区域内的公共数据目录</w:t>
      </w:r>
      <w:r>
        <w:rPr>
          <w:rFonts w:hint="eastAsia" w:ascii="仿宋_GB2312" w:hAnsi="仿宋_GB2312" w:cs="仿宋_GB2312"/>
          <w:color w:val="auto"/>
          <w:sz w:val="32"/>
          <w:u w:val="none"/>
          <w:lang w:val="en-US" w:eastAsia="zh-CN"/>
        </w:rPr>
        <w:t>；</w:t>
      </w:r>
    </w:p>
    <w:p w14:paraId="598E4833">
      <w:pPr>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u w:val="none"/>
          <w:lang w:val="en-US" w:eastAsia="zh-CN"/>
        </w:rPr>
      </w:pPr>
      <w:r>
        <w:rPr>
          <w:rFonts w:hint="eastAsia" w:ascii="仿宋_GB2312" w:hAnsi="仿宋_GB2312" w:eastAsia="仿宋_GB2312" w:cs="仿宋_GB2312"/>
          <w:color w:val="auto"/>
          <w:sz w:val="32"/>
          <w:highlight w:val="none"/>
          <w:u w:val="none"/>
          <w:lang w:val="en-US" w:eastAsia="zh-CN"/>
        </w:rPr>
        <w:t>建设、管理、维护全市统一的公共数据平台；组织、指导</w:t>
      </w:r>
      <w:r>
        <w:rPr>
          <w:rFonts w:hint="eastAsia" w:ascii="仿宋_GB2312" w:hAnsi="仿宋_GB2312" w:cs="仿宋_GB2312"/>
          <w:color w:val="auto"/>
          <w:sz w:val="32"/>
          <w:highlight w:val="none"/>
          <w:u w:val="none"/>
          <w:lang w:val="en-US" w:eastAsia="zh-CN"/>
        </w:rPr>
        <w:t>公共管理和服务机构</w:t>
      </w:r>
      <w:r>
        <w:rPr>
          <w:rFonts w:hint="eastAsia" w:ascii="仿宋_GB2312" w:hAnsi="仿宋_GB2312" w:eastAsia="仿宋_GB2312" w:cs="仿宋_GB2312"/>
          <w:color w:val="auto"/>
          <w:sz w:val="32"/>
          <w:highlight w:val="none"/>
          <w:u w:val="none"/>
          <w:lang w:val="en-US" w:eastAsia="zh-CN"/>
        </w:rPr>
        <w:t>进行公共数据</w:t>
      </w:r>
      <w:r>
        <w:rPr>
          <w:rFonts w:hint="eastAsia" w:ascii="仿宋_GB2312" w:hAnsi="仿宋_GB2312" w:cs="仿宋_GB2312"/>
          <w:color w:val="auto"/>
          <w:sz w:val="32"/>
          <w:highlight w:val="none"/>
          <w:u w:val="none"/>
          <w:lang w:val="en-US" w:eastAsia="zh-CN"/>
        </w:rPr>
        <w:t>收集与归集、登记、共享、开放、授权运营、开发利用</w:t>
      </w:r>
      <w:r>
        <w:rPr>
          <w:rFonts w:hint="eastAsia" w:ascii="仿宋_GB2312" w:hAnsi="仿宋_GB2312" w:eastAsia="仿宋_GB2312" w:cs="仿宋_GB2312"/>
          <w:color w:val="auto"/>
          <w:sz w:val="32"/>
          <w:highlight w:val="none"/>
          <w:u w:val="none"/>
          <w:lang w:val="en-US" w:eastAsia="zh-CN"/>
        </w:rPr>
        <w:t>等公共数据处理活动及相关安全管理工作；</w:t>
      </w:r>
    </w:p>
    <w:p w14:paraId="60A4419D">
      <w:pPr>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u w:val="none"/>
          <w:lang w:val="en-US" w:eastAsia="zh-CN"/>
        </w:rPr>
      </w:pPr>
      <w:r>
        <w:rPr>
          <w:rFonts w:hint="eastAsia" w:ascii="仿宋_GB2312" w:hAnsi="仿宋_GB2312" w:cs="仿宋_GB2312"/>
          <w:color w:val="auto"/>
          <w:sz w:val="32"/>
          <w:highlight w:val="none"/>
          <w:u w:val="none"/>
          <w:lang w:val="en-US" w:eastAsia="zh-CN"/>
        </w:rPr>
        <w:t>牵头</w:t>
      </w:r>
      <w:r>
        <w:rPr>
          <w:rFonts w:hint="eastAsia" w:ascii="仿宋_GB2312" w:hAnsi="仿宋_GB2312" w:eastAsia="仿宋_GB2312" w:cs="仿宋_GB2312"/>
          <w:color w:val="auto"/>
          <w:sz w:val="32"/>
          <w:highlight w:val="none"/>
          <w:u w:val="none"/>
          <w:lang w:val="en-US" w:eastAsia="zh-CN"/>
        </w:rPr>
        <w:t>制定</w:t>
      </w:r>
      <w:r>
        <w:rPr>
          <w:rFonts w:hint="eastAsia" w:ascii="仿宋_GB2312" w:hAnsi="仿宋_GB2312" w:cs="仿宋_GB2312"/>
          <w:color w:val="auto"/>
          <w:sz w:val="32"/>
          <w:highlight w:val="none"/>
          <w:u w:val="none"/>
          <w:lang w:val="en-US" w:eastAsia="zh-CN"/>
        </w:rPr>
        <w:t>全市</w:t>
      </w:r>
      <w:r>
        <w:rPr>
          <w:rFonts w:hint="eastAsia" w:ascii="仿宋_GB2312" w:hAnsi="仿宋_GB2312" w:eastAsia="仿宋_GB2312" w:cs="仿宋_GB2312"/>
          <w:color w:val="auto"/>
          <w:sz w:val="32"/>
          <w:highlight w:val="none"/>
          <w:u w:val="none"/>
          <w:lang w:val="en-US" w:eastAsia="zh-CN"/>
        </w:rPr>
        <w:t>公共数据治理</w:t>
      </w:r>
      <w:r>
        <w:rPr>
          <w:rFonts w:hint="eastAsia" w:ascii="仿宋_GB2312" w:hAnsi="仿宋_GB2312" w:cs="仿宋_GB2312"/>
          <w:color w:val="auto"/>
          <w:sz w:val="32"/>
          <w:highlight w:val="none"/>
          <w:u w:val="none"/>
          <w:lang w:val="en-US" w:eastAsia="zh-CN"/>
        </w:rPr>
        <w:t>规范；</w:t>
      </w:r>
    </w:p>
    <w:p w14:paraId="6204338F">
      <w:pPr>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u w:val="none"/>
          <w:lang w:val="en-US" w:eastAsia="zh-CN"/>
        </w:rPr>
      </w:pPr>
      <w:r>
        <w:rPr>
          <w:rFonts w:hint="eastAsia" w:ascii="仿宋_GB2312" w:hAnsi="仿宋_GB2312" w:eastAsia="仿宋_GB2312" w:cs="仿宋_GB2312"/>
          <w:color w:val="auto"/>
          <w:sz w:val="32"/>
          <w:highlight w:val="none"/>
          <w:u w:val="none"/>
          <w:lang w:val="en-US" w:eastAsia="zh-CN"/>
        </w:rPr>
        <w:t>总结、推广公共数据管理的典型案例和经验做法；</w:t>
      </w:r>
    </w:p>
    <w:p w14:paraId="58B29771">
      <w:pPr>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u w:val="none"/>
          <w:lang w:val="en-US" w:eastAsia="zh-CN"/>
        </w:rPr>
      </w:pPr>
      <w:r>
        <w:rPr>
          <w:rFonts w:hint="eastAsia" w:ascii="仿宋_GB2312" w:hAnsi="仿宋_GB2312" w:cs="仿宋_GB2312"/>
          <w:color w:val="auto"/>
          <w:sz w:val="32"/>
          <w:highlight w:val="none"/>
          <w:u w:val="none"/>
          <w:lang w:val="en-US" w:eastAsia="zh-CN"/>
        </w:rPr>
        <w:t>监督检查、</w:t>
      </w:r>
      <w:r>
        <w:rPr>
          <w:rFonts w:hint="eastAsia" w:ascii="仿宋_GB2312" w:hAnsi="仿宋_GB2312" w:eastAsia="仿宋_GB2312" w:cs="仿宋_GB2312"/>
          <w:color w:val="auto"/>
          <w:sz w:val="32"/>
          <w:highlight w:val="none"/>
          <w:u w:val="none"/>
          <w:lang w:val="en-US" w:eastAsia="zh-CN"/>
        </w:rPr>
        <w:t>评价全市公共数据管理工作。</w:t>
      </w:r>
    </w:p>
    <w:p w14:paraId="6DC11ABD">
      <w:pPr>
        <w:pageBreakBefore w:val="0"/>
        <w:wordWrap/>
        <w:overflowPunct/>
        <w:topLinePunct w:val="0"/>
        <w:bidi w:val="0"/>
        <w:spacing w:line="560" w:lineRule="exact"/>
        <w:ind w:firstLine="640" w:firstLineChars="200"/>
        <w:rPr>
          <w:rFonts w:hint="eastAsia" w:eastAsia="仿宋_GB2312" w:cs="Times New Roman"/>
          <w:color w:val="auto"/>
          <w:u w:val="none"/>
          <w:lang w:eastAsia="zh-CN"/>
        </w:rPr>
      </w:pPr>
      <w:r>
        <w:rPr>
          <w:rFonts w:hint="eastAsia" w:ascii="Times New Roman" w:hAnsi="Times New Roman" w:eastAsia="仿宋_GB2312" w:cs="Times New Roman"/>
          <w:i w:val="0"/>
          <w:iCs w:val="0"/>
          <w:caps w:val="0"/>
          <w:color w:val="auto"/>
          <w:spacing w:val="0"/>
          <w:sz w:val="32"/>
          <w:szCs w:val="22"/>
          <w:u w:val="none"/>
          <w:shd w:val="clear"/>
        </w:rPr>
        <w:t>县</w:t>
      </w:r>
      <w:r>
        <w:rPr>
          <w:rFonts w:hint="eastAsia" w:cs="Times New Roman"/>
          <w:i w:val="0"/>
          <w:iCs w:val="0"/>
          <w:caps w:val="0"/>
          <w:color w:val="auto"/>
          <w:spacing w:val="0"/>
          <w:sz w:val="32"/>
          <w:szCs w:val="22"/>
          <w:u w:val="none"/>
          <w:shd w:val="clear"/>
          <w:lang w:eastAsia="zh-CN"/>
        </w:rPr>
        <w:t>（市、区）数据管理部门</w:t>
      </w:r>
      <w:r>
        <w:rPr>
          <w:rFonts w:hint="eastAsia" w:ascii="Times New Roman" w:hAnsi="Times New Roman" w:eastAsia="仿宋_GB2312" w:cs="Times New Roman"/>
          <w:i w:val="0"/>
          <w:iCs w:val="0"/>
          <w:caps w:val="0"/>
          <w:color w:val="auto"/>
          <w:spacing w:val="0"/>
          <w:sz w:val="32"/>
          <w:szCs w:val="22"/>
          <w:u w:val="none"/>
          <w:shd w:val="clear"/>
        </w:rPr>
        <w:t>统筹辖区公共数据资源管理</w:t>
      </w:r>
      <w:r>
        <w:rPr>
          <w:rFonts w:hint="eastAsia" w:cs="Times New Roman"/>
          <w:i w:val="0"/>
          <w:iCs w:val="0"/>
          <w:caps w:val="0"/>
          <w:color w:val="auto"/>
          <w:spacing w:val="0"/>
          <w:sz w:val="32"/>
          <w:szCs w:val="22"/>
          <w:u w:val="none"/>
          <w:shd w:val="clear"/>
          <w:lang w:eastAsia="zh-CN"/>
        </w:rPr>
        <w:t>，</w:t>
      </w:r>
      <w:r>
        <w:rPr>
          <w:rFonts w:hint="eastAsia" w:ascii="Times New Roman" w:hAnsi="Times New Roman" w:eastAsia="仿宋_GB2312" w:cs="Times New Roman"/>
          <w:i w:val="0"/>
          <w:iCs w:val="0"/>
          <w:caps w:val="0"/>
          <w:color w:val="auto"/>
          <w:spacing w:val="0"/>
          <w:sz w:val="32"/>
          <w:szCs w:val="22"/>
          <w:u w:val="none"/>
          <w:shd w:val="clear"/>
        </w:rPr>
        <w:t>指导监督</w:t>
      </w:r>
      <w:r>
        <w:rPr>
          <w:rFonts w:hint="eastAsia" w:cs="Times New Roman"/>
          <w:color w:val="auto"/>
          <w:u w:val="none"/>
          <w:lang w:eastAsia="zh-CN"/>
        </w:rPr>
        <w:t>公共管理和服务机构</w:t>
      </w:r>
      <w:r>
        <w:rPr>
          <w:rFonts w:hint="eastAsia" w:ascii="Times New Roman" w:hAnsi="Times New Roman" w:eastAsia="仿宋_GB2312" w:cs="Times New Roman"/>
          <w:i w:val="0"/>
          <w:iCs w:val="0"/>
          <w:caps w:val="0"/>
          <w:color w:val="auto"/>
          <w:spacing w:val="0"/>
          <w:sz w:val="32"/>
          <w:szCs w:val="22"/>
          <w:u w:val="none"/>
          <w:shd w:val="clear"/>
        </w:rPr>
        <w:t>落实数据管理要求；组织编制并动态维护</w:t>
      </w:r>
      <w:r>
        <w:rPr>
          <w:rFonts w:hint="eastAsia" w:cs="Times New Roman"/>
          <w:i w:val="0"/>
          <w:iCs w:val="0"/>
          <w:caps w:val="0"/>
          <w:color w:val="auto"/>
          <w:spacing w:val="0"/>
          <w:sz w:val="32"/>
          <w:szCs w:val="22"/>
          <w:u w:val="none"/>
          <w:shd w:val="clear"/>
          <w:lang w:eastAsia="zh-CN"/>
        </w:rPr>
        <w:t>公共数据目录</w:t>
      </w:r>
      <w:r>
        <w:rPr>
          <w:rFonts w:hint="eastAsia" w:ascii="Times New Roman" w:hAnsi="Times New Roman" w:eastAsia="仿宋_GB2312" w:cs="Times New Roman"/>
          <w:i w:val="0"/>
          <w:iCs w:val="0"/>
          <w:caps w:val="0"/>
          <w:color w:val="auto"/>
          <w:spacing w:val="0"/>
          <w:sz w:val="32"/>
          <w:szCs w:val="22"/>
          <w:u w:val="none"/>
          <w:shd w:val="clear"/>
        </w:rPr>
        <w:t>，建立清单管理机制；对</w:t>
      </w:r>
      <w:r>
        <w:rPr>
          <w:rFonts w:hint="eastAsia" w:cs="Times New Roman"/>
          <w:color w:val="auto"/>
          <w:u w:val="none"/>
          <w:lang w:eastAsia="zh-CN"/>
        </w:rPr>
        <w:t>公共管理和服务机构</w:t>
      </w:r>
      <w:r>
        <w:rPr>
          <w:rFonts w:hint="eastAsia" w:ascii="Times New Roman" w:hAnsi="Times New Roman" w:eastAsia="仿宋_GB2312" w:cs="Times New Roman"/>
          <w:i w:val="0"/>
          <w:iCs w:val="0"/>
          <w:caps w:val="0"/>
          <w:color w:val="auto"/>
          <w:spacing w:val="0"/>
          <w:sz w:val="32"/>
          <w:szCs w:val="22"/>
          <w:u w:val="none"/>
          <w:shd w:val="clear"/>
        </w:rPr>
        <w:t>数据管理工作实施监督评估</w:t>
      </w:r>
      <w:r>
        <w:rPr>
          <w:rFonts w:hint="eastAsia" w:cs="Times New Roman"/>
          <w:i w:val="0"/>
          <w:iCs w:val="0"/>
          <w:caps w:val="0"/>
          <w:color w:val="auto"/>
          <w:spacing w:val="0"/>
          <w:sz w:val="32"/>
          <w:szCs w:val="22"/>
          <w:u w:val="none"/>
          <w:shd w:val="clear"/>
          <w:lang w:eastAsia="zh-CN"/>
        </w:rPr>
        <w:t>。</w:t>
      </w:r>
    </w:p>
    <w:p w14:paraId="4DCBE09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u w:val="none"/>
          <w:lang w:val="en-US" w:eastAsia="zh-CN"/>
        </w:rPr>
      </w:pPr>
      <w:r>
        <w:rPr>
          <w:rFonts w:hint="eastAsia" w:ascii="仿宋_GB2312" w:hAnsi="仿宋_GB2312" w:cs="仿宋_GB2312"/>
          <w:color w:val="auto"/>
          <w:sz w:val="32"/>
          <w:u w:val="none"/>
          <w:lang w:val="en-US" w:eastAsia="zh-CN"/>
        </w:rPr>
        <w:t>公共管理和服务机构</w:t>
      </w:r>
      <w:r>
        <w:rPr>
          <w:rFonts w:hint="eastAsia" w:ascii="仿宋_GB2312" w:hAnsi="仿宋_GB2312" w:eastAsia="仿宋_GB2312" w:cs="仿宋_GB2312"/>
          <w:color w:val="auto"/>
          <w:sz w:val="32"/>
          <w:u w:val="none"/>
          <w:lang w:val="en-US" w:eastAsia="zh-CN"/>
        </w:rPr>
        <w:t>作为公共数据提供单位和</w:t>
      </w:r>
      <w:r>
        <w:rPr>
          <w:rFonts w:hint="eastAsia" w:ascii="仿宋_GB2312" w:hAnsi="仿宋_GB2312" w:cs="仿宋_GB2312"/>
          <w:color w:val="auto"/>
          <w:sz w:val="32"/>
          <w:u w:val="none"/>
          <w:lang w:val="en-US" w:eastAsia="zh-CN"/>
        </w:rPr>
        <w:t>需求</w:t>
      </w:r>
      <w:r>
        <w:rPr>
          <w:rFonts w:hint="eastAsia" w:ascii="仿宋_GB2312" w:hAnsi="仿宋_GB2312" w:eastAsia="仿宋_GB2312" w:cs="仿宋_GB2312"/>
          <w:color w:val="auto"/>
          <w:sz w:val="32"/>
          <w:u w:val="none"/>
          <w:lang w:val="en-US" w:eastAsia="zh-CN"/>
        </w:rPr>
        <w:t>单位，具体履行以下职责：</w:t>
      </w:r>
    </w:p>
    <w:p w14:paraId="237E9052">
      <w:pPr>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u w:val="none"/>
          <w:lang w:val="en-US" w:eastAsia="zh-CN"/>
        </w:rPr>
      </w:pPr>
      <w:r>
        <w:rPr>
          <w:rFonts w:hint="eastAsia" w:ascii="仿宋_GB2312" w:hAnsi="仿宋_GB2312" w:eastAsia="仿宋_GB2312" w:cs="仿宋_GB2312"/>
          <w:color w:val="auto"/>
          <w:sz w:val="32"/>
          <w:highlight w:val="none"/>
          <w:u w:val="none"/>
          <w:lang w:val="en-US" w:eastAsia="zh-CN"/>
        </w:rPr>
        <w:t>编制、更新和维护本单位公共数据目录；</w:t>
      </w:r>
    </w:p>
    <w:p w14:paraId="47B83F99">
      <w:pPr>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u w:val="none"/>
          <w:lang w:val="en-US" w:eastAsia="zh-CN"/>
        </w:rPr>
      </w:pPr>
      <w:r>
        <w:rPr>
          <w:rFonts w:hint="eastAsia" w:ascii="仿宋_GB2312" w:hAnsi="仿宋_GB2312" w:eastAsia="仿宋_GB2312" w:cs="仿宋_GB2312"/>
          <w:color w:val="auto"/>
          <w:sz w:val="32"/>
          <w:highlight w:val="none"/>
          <w:u w:val="none"/>
          <w:lang w:val="en-US" w:eastAsia="zh-CN"/>
        </w:rPr>
        <w:t>依照</w:t>
      </w:r>
      <w:r>
        <w:rPr>
          <w:rFonts w:hint="eastAsia" w:ascii="仿宋_GB2312" w:hAnsi="仿宋_GB2312" w:cs="仿宋_GB2312"/>
          <w:color w:val="auto"/>
          <w:sz w:val="32"/>
          <w:highlight w:val="none"/>
          <w:u w:val="none"/>
          <w:lang w:val="en-US" w:eastAsia="zh-CN"/>
        </w:rPr>
        <w:t>公共数据治理规范</w:t>
      </w:r>
      <w:r>
        <w:rPr>
          <w:rFonts w:hint="eastAsia" w:ascii="仿宋_GB2312" w:hAnsi="仿宋_GB2312" w:eastAsia="仿宋_GB2312" w:cs="仿宋_GB2312"/>
          <w:color w:val="auto"/>
          <w:sz w:val="32"/>
          <w:highlight w:val="none"/>
          <w:u w:val="none"/>
          <w:lang w:val="en-US" w:eastAsia="zh-CN"/>
        </w:rPr>
        <w:t>开展治理工作，及时整改问题数据，提升数据质量；</w:t>
      </w:r>
    </w:p>
    <w:p w14:paraId="03A65C4E">
      <w:pPr>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u w:val="none"/>
          <w:lang w:val="en-US" w:eastAsia="zh-CN"/>
        </w:rPr>
      </w:pPr>
      <w:r>
        <w:rPr>
          <w:rFonts w:hint="eastAsia" w:ascii="仿宋_GB2312" w:hAnsi="仿宋_GB2312" w:eastAsia="仿宋_GB2312" w:cs="仿宋_GB2312"/>
          <w:color w:val="auto"/>
          <w:kern w:val="2"/>
          <w:sz w:val="32"/>
          <w:szCs w:val="24"/>
          <w:highlight w:val="none"/>
          <w:u w:val="none"/>
          <w:lang w:val="en-US" w:eastAsia="zh-CN" w:bidi="ar-SA"/>
        </w:rPr>
        <w:t>答复、</w:t>
      </w:r>
      <w:r>
        <w:rPr>
          <w:rFonts w:hint="eastAsia" w:ascii="仿宋_GB2312" w:hAnsi="仿宋_GB2312" w:eastAsia="仿宋_GB2312" w:cs="仿宋_GB2312"/>
          <w:color w:val="auto"/>
          <w:sz w:val="32"/>
          <w:highlight w:val="none"/>
          <w:u w:val="none"/>
          <w:lang w:val="en-US" w:eastAsia="zh-CN"/>
        </w:rPr>
        <w:t>处理涉及本单位的公共数据异议；</w:t>
      </w:r>
    </w:p>
    <w:p w14:paraId="3470D635">
      <w:pPr>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highlight w:val="none"/>
          <w:u w:val="none"/>
          <w:lang w:val="en-US" w:eastAsia="zh-CN"/>
        </w:rPr>
      </w:pPr>
      <w:r>
        <w:rPr>
          <w:rFonts w:hint="eastAsia" w:ascii="仿宋_GB2312" w:hAnsi="仿宋_GB2312" w:eastAsia="仿宋_GB2312" w:cs="仿宋_GB2312"/>
          <w:color w:val="auto"/>
          <w:sz w:val="32"/>
          <w:highlight w:val="none"/>
          <w:u w:val="none"/>
          <w:lang w:val="en-US" w:eastAsia="zh-CN"/>
        </w:rPr>
        <w:t>做好本单位公共数据安全管理工作；</w:t>
      </w:r>
    </w:p>
    <w:p w14:paraId="5E411940">
      <w:pPr>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cs="Times New Roman"/>
          <w:color w:val="auto"/>
          <w:u w:val="none"/>
        </w:rPr>
      </w:pPr>
      <w:r>
        <w:rPr>
          <w:rFonts w:hint="eastAsia" w:ascii="仿宋_GB2312" w:hAnsi="仿宋_GB2312" w:eastAsia="仿宋_GB2312" w:cs="仿宋_GB2312"/>
          <w:color w:val="auto"/>
          <w:sz w:val="32"/>
          <w:highlight w:val="none"/>
          <w:u w:val="none"/>
          <w:lang w:val="en-US" w:eastAsia="zh-CN"/>
        </w:rPr>
        <w:t>其他与公共数据有关的工作职责。</w:t>
      </w:r>
    </w:p>
    <w:p w14:paraId="7740780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u w:val="none"/>
          <w:lang w:val="en-US" w:eastAsia="zh-CN"/>
        </w:rPr>
      </w:pPr>
      <w:r>
        <w:rPr>
          <w:rFonts w:hint="eastAsia" w:cs="Times New Roman"/>
          <w:color w:val="auto"/>
          <w:u w:val="none"/>
        </w:rPr>
        <w:t>网信、公安、国安、保密等部门按照各自职责，做好公共数据安全监督管理工作。</w:t>
      </w:r>
    </w:p>
    <w:p w14:paraId="420E8F00">
      <w:pPr>
        <w:pageBreakBefore w:val="0"/>
        <w:numPr>
          <w:ilvl w:val="0"/>
          <w:numId w:val="2"/>
        </w:numPr>
        <w:wordWrap/>
        <w:overflowPunct/>
        <w:topLinePunct w:val="0"/>
        <w:bidi w:val="0"/>
        <w:spacing w:line="560" w:lineRule="exact"/>
        <w:ind w:firstLine="640" w:firstLineChars="200"/>
        <w:rPr>
          <w:rFonts w:cs="Times New Roman"/>
          <w:color w:val="auto"/>
          <w:u w:val="none"/>
        </w:rPr>
      </w:pPr>
      <w:r>
        <w:rPr>
          <w:rFonts w:hint="eastAsia" w:ascii="仿宋_GB2312" w:hAnsi="仿宋_GB2312" w:cs="仿宋_GB2312"/>
          <w:color w:val="auto"/>
          <w:sz w:val="32"/>
          <w:u w:val="none"/>
          <w:lang w:val="en-US" w:eastAsia="zh-CN"/>
        </w:rPr>
        <w:t xml:space="preserve"> 市</w:t>
      </w:r>
      <w:r>
        <w:rPr>
          <w:rFonts w:hint="eastAsia" w:cs="Times New Roman"/>
          <w:color w:val="auto"/>
          <w:u w:val="none"/>
          <w:lang w:val="en-US" w:eastAsia="zh-CN"/>
        </w:rPr>
        <w:t>公共数据平台由市一体化智能化政务数据中枢平台升级建立，</w:t>
      </w:r>
      <w:r>
        <w:rPr>
          <w:rFonts w:hint="eastAsia" w:ascii="仿宋_GB2312" w:hAnsi="仿宋_GB2312" w:eastAsia="仿宋_GB2312" w:cs="仿宋_GB2312"/>
          <w:color w:val="auto"/>
          <w:sz w:val="32"/>
          <w:highlight w:val="none"/>
          <w:u w:val="none"/>
          <w:lang w:val="en-US" w:eastAsia="zh-CN"/>
        </w:rPr>
        <w:t>支</w:t>
      </w:r>
      <w:r>
        <w:rPr>
          <w:rFonts w:hint="eastAsia" w:ascii="仿宋_GB2312" w:hAnsi="仿宋_GB2312" w:eastAsia="仿宋_GB2312" w:cs="仿宋_GB2312"/>
          <w:color w:val="auto"/>
          <w:sz w:val="32"/>
          <w:u w:val="none"/>
          <w:lang w:val="en-US" w:eastAsia="zh-CN"/>
        </w:rPr>
        <w:t>撑各级各部门开展公共数据编目、治理、共享、</w:t>
      </w:r>
      <w:r>
        <w:rPr>
          <w:rFonts w:hint="eastAsia" w:ascii="仿宋_GB2312" w:hAnsi="仿宋_GB2312" w:cs="仿宋_GB2312"/>
          <w:color w:val="auto"/>
          <w:sz w:val="32"/>
          <w:u w:val="none"/>
          <w:lang w:val="en-US" w:eastAsia="zh-CN"/>
        </w:rPr>
        <w:t>开放等</w:t>
      </w:r>
      <w:r>
        <w:rPr>
          <w:rFonts w:hint="eastAsia" w:ascii="仿宋_GB2312" w:hAnsi="仿宋_GB2312" w:eastAsia="仿宋_GB2312" w:cs="仿宋_GB2312"/>
          <w:color w:val="auto"/>
          <w:sz w:val="32"/>
          <w:u w:val="none"/>
          <w:lang w:val="en-US" w:eastAsia="zh-CN"/>
        </w:rPr>
        <w:t>，实现公共数据全过程精细化管理。</w:t>
      </w:r>
      <w:r>
        <w:rPr>
          <w:rFonts w:hint="eastAsia" w:ascii="Times New Roman" w:hAnsi="Times New Roman" w:eastAsia="仿宋_GB2312" w:cs="Times New Roman"/>
          <w:i w:val="0"/>
          <w:iCs w:val="0"/>
          <w:caps w:val="0"/>
          <w:color w:val="auto"/>
          <w:spacing w:val="0"/>
          <w:sz w:val="32"/>
          <w:szCs w:val="22"/>
          <w:u w:val="none"/>
          <w:shd w:val="clear"/>
        </w:rPr>
        <w:t>县</w:t>
      </w:r>
      <w:r>
        <w:rPr>
          <w:rFonts w:hint="eastAsia" w:cs="Times New Roman"/>
          <w:i w:val="0"/>
          <w:iCs w:val="0"/>
          <w:caps w:val="0"/>
          <w:color w:val="auto"/>
          <w:spacing w:val="0"/>
          <w:sz w:val="32"/>
          <w:szCs w:val="22"/>
          <w:u w:val="none"/>
          <w:shd w:val="clear"/>
          <w:lang w:eastAsia="zh-CN"/>
        </w:rPr>
        <w:t>（市、区）</w:t>
      </w:r>
      <w:r>
        <w:rPr>
          <w:rFonts w:hint="eastAsia" w:ascii="仿宋_GB2312" w:hAnsi="仿宋_GB2312" w:cs="仿宋_GB2312"/>
          <w:color w:val="auto"/>
          <w:sz w:val="32"/>
          <w:u w:val="none"/>
          <w:lang w:val="en-US" w:eastAsia="zh-CN"/>
        </w:rPr>
        <w:t>数据管理部门</w:t>
      </w:r>
      <w:r>
        <w:rPr>
          <w:rFonts w:hint="eastAsia" w:ascii="仿宋_GB2312" w:hAnsi="仿宋_GB2312" w:eastAsia="仿宋_GB2312" w:cs="仿宋_GB2312"/>
          <w:color w:val="auto"/>
          <w:sz w:val="32"/>
          <w:u w:val="none"/>
          <w:lang w:val="en-US" w:eastAsia="zh-CN"/>
        </w:rPr>
        <w:t>以及市</w:t>
      </w:r>
      <w:r>
        <w:rPr>
          <w:rFonts w:hint="eastAsia" w:ascii="仿宋_GB2312" w:hAnsi="仿宋_GB2312" w:cs="仿宋_GB2312"/>
          <w:color w:val="auto"/>
          <w:sz w:val="32"/>
          <w:u w:val="none"/>
          <w:lang w:val="en-US" w:eastAsia="zh-CN"/>
        </w:rPr>
        <w:t>公共管理和服务机构</w:t>
      </w:r>
      <w:r>
        <w:rPr>
          <w:rFonts w:hint="eastAsia" w:ascii="仿宋_GB2312" w:hAnsi="仿宋_GB2312" w:eastAsia="仿宋_GB2312" w:cs="仿宋_GB2312"/>
          <w:color w:val="auto"/>
          <w:sz w:val="32"/>
          <w:u w:val="none"/>
          <w:lang w:val="en-US" w:eastAsia="zh-CN"/>
        </w:rPr>
        <w:t>均依托市公共数据平台开展公共数据管理工作，原则上不再新建本级或本领域数据平台，已建设的，应对接到市公共数据平台并纳入统一管理。</w:t>
      </w:r>
      <w:r>
        <w:rPr>
          <w:rFonts w:hint="eastAsia" w:ascii="仿宋_GB2312" w:hAnsi="仿宋_GB2312" w:eastAsia="仿宋_GB2312" w:cs="仿宋_GB2312"/>
          <w:color w:val="auto"/>
          <w:sz w:val="32"/>
          <w:highlight w:val="none"/>
          <w:u w:val="none"/>
          <w:lang w:val="en-US" w:eastAsia="zh-CN"/>
        </w:rPr>
        <w:t>在市公共数据平台外进行数据交换共享，造成数据泄露等问题的，应当承担相应法律责任。</w:t>
      </w:r>
    </w:p>
    <w:p w14:paraId="1C0705FC">
      <w:pPr>
        <w:pageBreakBefore w:val="0"/>
        <w:wordWrap/>
        <w:overflowPunct/>
        <w:topLinePunct w:val="0"/>
        <w:bidi w:val="0"/>
        <w:spacing w:line="560" w:lineRule="exact"/>
        <w:ind w:firstLine="640" w:firstLineChars="200"/>
        <w:rPr>
          <w:rFonts w:hint="eastAsia" w:cs="Times New Roman"/>
          <w:color w:val="auto"/>
          <w:u w:val="none"/>
        </w:rPr>
      </w:pPr>
    </w:p>
    <w:p w14:paraId="6EADD4C2">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outlineLvl w:val="0"/>
        <w:rPr>
          <w:rFonts w:hint="eastAsia" w:ascii="黑体" w:hAnsi="黑体" w:eastAsia="黑体" w:cs="黑体"/>
          <w:snapToGrid/>
          <w:color w:val="auto"/>
          <w:kern w:val="2"/>
          <w:sz w:val="32"/>
          <w:szCs w:val="32"/>
          <w:u w:val="none"/>
          <w:lang w:val="en-US" w:eastAsia="zh-CN"/>
        </w:rPr>
      </w:pPr>
      <w:bookmarkStart w:id="17" w:name="_Toc175768554"/>
      <w:bookmarkStart w:id="18" w:name="_Toc22458"/>
      <w:bookmarkStart w:id="19" w:name="_Toc21314"/>
      <w:bookmarkStart w:id="20" w:name="_Toc4509"/>
      <w:bookmarkStart w:id="21" w:name="_Toc27569"/>
      <w:bookmarkStart w:id="22" w:name="_Toc3694"/>
      <w:bookmarkStart w:id="23" w:name="_Toc1214096938"/>
      <w:bookmarkStart w:id="24" w:name="_Toc931"/>
      <w:bookmarkStart w:id="25" w:name="_Toc6647"/>
      <w:bookmarkStart w:id="26" w:name="_Toc2874"/>
      <w:bookmarkStart w:id="27" w:name="_Toc10556"/>
      <w:bookmarkStart w:id="28" w:name="_Toc13217"/>
      <w:r>
        <w:rPr>
          <w:rFonts w:hint="eastAsia" w:ascii="黑体" w:hAnsi="黑体" w:eastAsia="黑体" w:cs="黑体"/>
          <w:snapToGrid/>
          <w:color w:val="auto"/>
          <w:kern w:val="2"/>
          <w:sz w:val="32"/>
          <w:szCs w:val="32"/>
          <w:u w:val="none"/>
          <w:lang w:val="en-US" w:eastAsia="zh-CN"/>
        </w:rPr>
        <w:t>公共数据收集</w:t>
      </w:r>
      <w:bookmarkEnd w:id="17"/>
      <w:bookmarkEnd w:id="18"/>
      <w:bookmarkEnd w:id="19"/>
      <w:bookmarkEnd w:id="20"/>
      <w:bookmarkEnd w:id="21"/>
      <w:bookmarkEnd w:id="22"/>
      <w:bookmarkEnd w:id="23"/>
      <w:bookmarkEnd w:id="24"/>
      <w:bookmarkEnd w:id="25"/>
      <w:bookmarkEnd w:id="26"/>
      <w:bookmarkEnd w:id="27"/>
      <w:bookmarkEnd w:id="28"/>
    </w:p>
    <w:p w14:paraId="2DA23C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snapToGrid/>
          <w:color w:val="auto"/>
          <w:kern w:val="2"/>
          <w:sz w:val="32"/>
          <w:szCs w:val="32"/>
          <w:u w:val="none"/>
          <w:lang w:val="en-US" w:eastAsia="zh-CN"/>
        </w:rPr>
      </w:pPr>
    </w:p>
    <w:p w14:paraId="4206BBE0">
      <w:pPr>
        <w:pageBreakBefore w:val="0"/>
        <w:numPr>
          <w:ilvl w:val="0"/>
          <w:numId w:val="2"/>
        </w:numPr>
        <w:wordWrap/>
        <w:overflowPunct/>
        <w:topLinePunct w:val="0"/>
        <w:bidi w:val="0"/>
        <w:spacing w:line="560" w:lineRule="exact"/>
        <w:ind w:firstLine="640" w:firstLineChars="200"/>
        <w:rPr>
          <w:rFonts w:cs="Times New Roman"/>
          <w:color w:val="auto"/>
          <w:u w:val="none"/>
        </w:rPr>
      </w:pPr>
      <w:r>
        <w:rPr>
          <w:rFonts w:hint="eastAsia" w:cs="Times New Roman"/>
          <w:color w:val="auto"/>
          <w:u w:val="none"/>
        </w:rPr>
        <w:t xml:space="preserve">  公共数据</w:t>
      </w:r>
      <w:r>
        <w:rPr>
          <w:rFonts w:hint="eastAsia" w:cs="Times New Roman"/>
          <w:color w:val="auto"/>
          <w:u w:val="none"/>
          <w:lang w:val="en-US" w:eastAsia="zh-CN"/>
        </w:rPr>
        <w:t>收集</w:t>
      </w:r>
      <w:r>
        <w:rPr>
          <w:rFonts w:hint="eastAsia" w:cs="Times New Roman"/>
          <w:color w:val="auto"/>
          <w:u w:val="none"/>
        </w:rPr>
        <w:t>遵循</w:t>
      </w:r>
      <w:r>
        <w:rPr>
          <w:rFonts w:cs="Times New Roman"/>
          <w:color w:val="auto"/>
          <w:u w:val="none"/>
        </w:rPr>
        <w:t>合法、正当</w:t>
      </w:r>
      <w:r>
        <w:rPr>
          <w:rFonts w:hint="eastAsia" w:cs="Times New Roman"/>
          <w:color w:val="auto"/>
          <w:u w:val="none"/>
        </w:rPr>
        <w:t>、</w:t>
      </w:r>
      <w:r>
        <w:rPr>
          <w:rFonts w:cs="Times New Roman"/>
          <w:color w:val="auto"/>
          <w:u w:val="none"/>
        </w:rPr>
        <w:t>必要原则，</w:t>
      </w:r>
      <w:r>
        <w:rPr>
          <w:rFonts w:hint="eastAsia" w:cs="Times New Roman"/>
          <w:color w:val="auto"/>
          <w:u w:val="none"/>
        </w:rPr>
        <w:t>按</w:t>
      </w:r>
      <w:r>
        <w:rPr>
          <w:rFonts w:cs="Times New Roman"/>
          <w:color w:val="auto"/>
          <w:u w:val="none"/>
        </w:rPr>
        <w:t>照法定的权限、程序和标准规范</w:t>
      </w:r>
      <w:r>
        <w:rPr>
          <w:rFonts w:hint="eastAsia" w:cs="Times New Roman"/>
          <w:color w:val="auto"/>
          <w:u w:val="none"/>
          <w:lang w:val="en-US" w:eastAsia="zh-CN"/>
        </w:rPr>
        <w:t>收</w:t>
      </w:r>
      <w:r>
        <w:rPr>
          <w:rFonts w:cs="Times New Roman"/>
          <w:color w:val="auto"/>
          <w:u w:val="none"/>
        </w:rPr>
        <w:t>集，不得超出履行法定职责所必需的范围和限度。</w:t>
      </w:r>
      <w:r>
        <w:rPr>
          <w:rFonts w:hint="eastAsia" w:ascii="仿宋_GB2312" w:hAnsi="仿宋_GB2312" w:eastAsia="仿宋_GB2312" w:cs="仿宋_GB2312"/>
          <w:color w:val="auto"/>
          <w:sz w:val="32"/>
          <w:highlight w:val="none"/>
          <w:u w:val="none"/>
          <w:lang w:val="en-US" w:eastAsia="zh-CN"/>
        </w:rPr>
        <w:t>公共数据收集涉及个人信息的，应当限于实现业务目的的最小范围，不得过度收集。</w:t>
      </w:r>
      <w:r>
        <w:rPr>
          <w:rFonts w:hint="eastAsia" w:cs="Times New Roman"/>
          <w:color w:val="auto"/>
          <w:u w:val="none"/>
        </w:rPr>
        <w:t>可以通过共享获取的，不得重复</w:t>
      </w:r>
      <w:r>
        <w:rPr>
          <w:rFonts w:hint="eastAsia" w:cs="Times New Roman"/>
          <w:color w:val="auto"/>
          <w:u w:val="none"/>
          <w:lang w:val="en-US" w:eastAsia="zh-CN"/>
        </w:rPr>
        <w:t>收</w:t>
      </w:r>
      <w:r>
        <w:rPr>
          <w:rFonts w:hint="eastAsia" w:cs="Times New Roman"/>
          <w:color w:val="auto"/>
          <w:u w:val="none"/>
        </w:rPr>
        <w:t>集</w:t>
      </w:r>
      <w:r>
        <w:rPr>
          <w:rFonts w:cs="Times New Roman"/>
          <w:color w:val="auto"/>
          <w:u w:val="none"/>
        </w:rPr>
        <w:t>。</w:t>
      </w:r>
      <w:r>
        <w:rPr>
          <w:rFonts w:hint="eastAsia"/>
          <w:color w:val="auto"/>
          <w:u w:val="none"/>
        </w:rPr>
        <w:t>不得强制要求提供与履职无关的身份验证信息或其他敏感数据</w:t>
      </w:r>
      <w:r>
        <w:rPr>
          <w:rFonts w:hint="eastAsia"/>
          <w:color w:val="auto"/>
          <w:u w:val="none"/>
          <w:lang w:eastAsia="zh-CN"/>
        </w:rPr>
        <w:t>。</w:t>
      </w:r>
    </w:p>
    <w:p w14:paraId="7CA0BEEB">
      <w:pPr>
        <w:pageBreakBefore w:val="0"/>
        <w:wordWrap/>
        <w:overflowPunct/>
        <w:topLinePunct w:val="0"/>
        <w:bidi w:val="0"/>
        <w:spacing w:line="560" w:lineRule="exact"/>
        <w:ind w:firstLine="640" w:firstLineChars="200"/>
        <w:rPr>
          <w:rFonts w:hint="eastAsia" w:cs="Times New Roman"/>
          <w:color w:val="auto"/>
          <w:u w:val="none"/>
        </w:rPr>
      </w:pPr>
      <w:r>
        <w:rPr>
          <w:rFonts w:hint="eastAsia" w:ascii="仿宋_GB2312" w:hAnsi="仿宋_GB2312" w:eastAsia="仿宋_GB2312" w:cs="仿宋_GB2312"/>
          <w:color w:val="auto"/>
          <w:sz w:val="32"/>
          <w:highlight w:val="none"/>
          <w:u w:val="none"/>
          <w:lang w:val="en-US" w:eastAsia="zh-CN"/>
        </w:rPr>
        <w:t>公共数据收集工作涉及多个</w:t>
      </w:r>
      <w:r>
        <w:rPr>
          <w:rFonts w:hint="eastAsia" w:cs="Times New Roman"/>
          <w:color w:val="auto"/>
          <w:highlight w:val="none"/>
          <w:u w:val="none"/>
          <w:lang w:val="en-US" w:eastAsia="zh-CN"/>
        </w:rPr>
        <w:t>公共管理和服务机构</w:t>
      </w:r>
      <w:r>
        <w:rPr>
          <w:rFonts w:hint="eastAsia" w:ascii="仿宋_GB2312" w:hAnsi="仿宋_GB2312" w:eastAsia="仿宋_GB2312" w:cs="仿宋_GB2312"/>
          <w:color w:val="auto"/>
          <w:sz w:val="32"/>
          <w:highlight w:val="none"/>
          <w:u w:val="none"/>
          <w:lang w:val="en-US" w:eastAsia="zh-CN"/>
        </w:rPr>
        <w:t>的，</w:t>
      </w:r>
      <w:r>
        <w:rPr>
          <w:rFonts w:hint="eastAsia" w:ascii="仿宋_GB2312" w:hAnsi="仿宋_GB2312" w:cs="仿宋_GB2312"/>
          <w:color w:val="auto"/>
          <w:sz w:val="32"/>
          <w:highlight w:val="none"/>
          <w:u w:val="none"/>
          <w:lang w:val="en-US" w:eastAsia="zh-CN"/>
        </w:rPr>
        <w:t>数据管理部门</w:t>
      </w:r>
      <w:r>
        <w:rPr>
          <w:rFonts w:hint="eastAsia" w:ascii="仿宋_GB2312" w:hAnsi="仿宋_GB2312" w:eastAsia="仿宋_GB2312" w:cs="仿宋_GB2312"/>
          <w:color w:val="auto"/>
          <w:sz w:val="32"/>
          <w:highlight w:val="none"/>
          <w:u w:val="none"/>
          <w:lang w:val="en-US" w:eastAsia="zh-CN"/>
        </w:rPr>
        <w:t>应当明确牵头收集的</w:t>
      </w:r>
      <w:r>
        <w:rPr>
          <w:rFonts w:hint="eastAsia" w:cs="Times New Roman"/>
          <w:color w:val="auto"/>
          <w:highlight w:val="none"/>
          <w:u w:val="none"/>
          <w:lang w:val="en-US" w:eastAsia="zh-CN"/>
        </w:rPr>
        <w:t>公共管理和服务机构</w:t>
      </w:r>
      <w:r>
        <w:rPr>
          <w:rFonts w:hint="eastAsia" w:ascii="仿宋_GB2312" w:hAnsi="仿宋_GB2312" w:eastAsia="仿宋_GB2312" w:cs="仿宋_GB2312"/>
          <w:color w:val="auto"/>
          <w:sz w:val="32"/>
          <w:highlight w:val="none"/>
          <w:u w:val="none"/>
          <w:lang w:val="en-US" w:eastAsia="zh-CN"/>
        </w:rPr>
        <w:t>并将其作为数源单位。数源单位应当加强与其他有关</w:t>
      </w:r>
      <w:r>
        <w:rPr>
          <w:rFonts w:hint="eastAsia" w:cs="Times New Roman"/>
          <w:color w:val="auto"/>
          <w:highlight w:val="none"/>
          <w:u w:val="none"/>
          <w:lang w:val="en-US" w:eastAsia="zh-CN"/>
        </w:rPr>
        <w:t>公共管理和服务机构</w:t>
      </w:r>
      <w:r>
        <w:rPr>
          <w:rFonts w:hint="eastAsia" w:ascii="仿宋_GB2312" w:hAnsi="仿宋_GB2312" w:eastAsia="仿宋_GB2312" w:cs="仿宋_GB2312"/>
          <w:color w:val="auto"/>
          <w:sz w:val="32"/>
          <w:highlight w:val="none"/>
          <w:u w:val="none"/>
          <w:lang w:val="en-US" w:eastAsia="zh-CN"/>
        </w:rPr>
        <w:t>的协同配合、信息沟通，及时完善更新公共数据，并统一提供公共数据共享服务。</w:t>
      </w:r>
    </w:p>
    <w:p w14:paraId="4CBA4623">
      <w:pPr>
        <w:pageBreakBefore w:val="0"/>
        <w:numPr>
          <w:ilvl w:val="0"/>
          <w:numId w:val="2"/>
        </w:numPr>
        <w:wordWrap/>
        <w:overflowPunct/>
        <w:topLinePunct w:val="0"/>
        <w:bidi w:val="0"/>
        <w:spacing w:line="560" w:lineRule="exact"/>
        <w:ind w:leftChars="0" w:firstLine="640" w:firstLineChars="200"/>
        <w:rPr>
          <w:rFonts w:hint="eastAsia" w:cs="Times New Roman"/>
          <w:color w:val="auto"/>
          <w:highlight w:val="none"/>
          <w:u w:val="none"/>
          <w:lang w:val="en-US" w:eastAsia="zh-CN"/>
        </w:rPr>
      </w:pPr>
      <w:r>
        <w:rPr>
          <w:rFonts w:hint="eastAsia"/>
          <w:color w:val="auto"/>
          <w:u w:val="none"/>
          <w:lang w:val="en-US" w:eastAsia="zh-CN"/>
        </w:rPr>
        <w:t xml:space="preserve">  </w:t>
      </w:r>
      <w:r>
        <w:rPr>
          <w:rFonts w:hint="eastAsia" w:cs="Times New Roman"/>
          <w:color w:val="auto"/>
          <w:highlight w:val="none"/>
          <w:u w:val="none"/>
          <w:lang w:val="en-US" w:eastAsia="zh-CN"/>
        </w:rPr>
        <w:t>公共管理和服务机构收集公共数据应当以下列号码或者代码作为必要标识：</w:t>
      </w:r>
    </w:p>
    <w:p w14:paraId="369AEA08">
      <w:pPr>
        <w:pageBreakBefore w:val="0"/>
        <w:numPr>
          <w:ilvl w:val="-1"/>
          <w:numId w:val="0"/>
        </w:numPr>
        <w:wordWrap/>
        <w:overflowPunct/>
        <w:topLinePunct w:val="0"/>
        <w:bidi w:val="0"/>
        <w:spacing w:line="560" w:lineRule="exact"/>
        <w:ind w:leftChars="200" w:firstLine="0" w:firstLineChars="0"/>
        <w:rPr>
          <w:rFonts w:hint="eastAsia" w:cs="Times New Roman"/>
          <w:color w:val="auto"/>
          <w:highlight w:val="none"/>
          <w:u w:val="none"/>
          <w:lang w:val="en-US" w:eastAsia="zh-CN"/>
        </w:rPr>
      </w:pPr>
      <w:r>
        <w:rPr>
          <w:rFonts w:hint="eastAsia" w:cs="Times New Roman"/>
          <w:color w:val="auto"/>
          <w:highlight w:val="none"/>
          <w:u w:val="none"/>
          <w:lang w:val="en-US" w:eastAsia="zh-CN"/>
        </w:rPr>
        <w:t>（一）公民身份号码或者个人其他有效身份证件号码；</w:t>
      </w:r>
    </w:p>
    <w:p w14:paraId="0105FEDC">
      <w:pPr>
        <w:pageBreakBefore w:val="0"/>
        <w:numPr>
          <w:ilvl w:val="-1"/>
          <w:numId w:val="0"/>
        </w:numPr>
        <w:wordWrap/>
        <w:overflowPunct/>
        <w:topLinePunct w:val="0"/>
        <w:bidi w:val="0"/>
        <w:spacing w:line="560" w:lineRule="exact"/>
        <w:ind w:leftChars="200" w:firstLine="0" w:firstLineChars="0"/>
        <w:rPr>
          <w:rFonts w:hint="eastAsia" w:cs="Times New Roman"/>
          <w:color w:val="auto"/>
          <w:highlight w:val="none"/>
          <w:u w:val="none"/>
          <w:lang w:val="en-US" w:eastAsia="zh-CN"/>
        </w:rPr>
      </w:pPr>
      <w:r>
        <w:rPr>
          <w:rFonts w:hint="eastAsia" w:cs="Times New Roman"/>
          <w:color w:val="auto"/>
          <w:highlight w:val="none"/>
          <w:u w:val="none"/>
          <w:lang w:val="en-US" w:eastAsia="zh-CN"/>
        </w:rPr>
        <w:t>（二）法人、非法人组织统一社会信用代码；</w:t>
      </w:r>
    </w:p>
    <w:p w14:paraId="63451E80">
      <w:pPr>
        <w:pageBreakBefore w:val="0"/>
        <w:numPr>
          <w:ilvl w:val="-1"/>
          <w:numId w:val="0"/>
        </w:numPr>
        <w:wordWrap/>
        <w:overflowPunct/>
        <w:topLinePunct w:val="0"/>
        <w:bidi w:val="0"/>
        <w:spacing w:line="560" w:lineRule="exact"/>
        <w:ind w:leftChars="200" w:firstLine="0" w:firstLineChars="0"/>
        <w:rPr>
          <w:rFonts w:hint="eastAsia" w:cs="Times New Roman"/>
          <w:color w:val="auto"/>
          <w:highlight w:val="none"/>
          <w:u w:val="none"/>
          <w:lang w:val="en-US" w:eastAsia="zh-CN"/>
        </w:rPr>
      </w:pPr>
      <w:r>
        <w:rPr>
          <w:rFonts w:hint="eastAsia" w:cs="Times New Roman"/>
          <w:color w:val="auto"/>
          <w:highlight w:val="none"/>
          <w:u w:val="none"/>
          <w:lang w:val="en-US" w:eastAsia="zh-CN"/>
        </w:rPr>
        <w:t>（三）国家及上级相关数据标准确定的其他标识。</w:t>
      </w:r>
    </w:p>
    <w:p w14:paraId="15D35D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snapToGrid/>
          <w:color w:val="auto"/>
          <w:kern w:val="2"/>
          <w:sz w:val="32"/>
          <w:szCs w:val="32"/>
          <w:u w:val="none"/>
          <w:lang w:val="en-US" w:eastAsia="zh-CN"/>
        </w:rPr>
      </w:pPr>
      <w:r>
        <w:rPr>
          <w:rFonts w:hint="eastAsia" w:cs="Times New Roman"/>
          <w:color w:val="auto"/>
          <w:highlight w:val="none"/>
          <w:u w:val="none"/>
          <w:lang w:val="en-US" w:eastAsia="zh-CN"/>
        </w:rPr>
        <w:t>公共管理和服务机构应当按照国家、省和市有关规定，对收集、管理的公共数据进行分类分级管理。</w:t>
      </w:r>
    </w:p>
    <w:p w14:paraId="56B0002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napToGrid/>
          <w:color w:val="auto"/>
          <w:kern w:val="2"/>
          <w:sz w:val="32"/>
          <w:szCs w:val="32"/>
          <w:u w:val="none"/>
          <w:lang w:val="en-US" w:eastAsia="zh-CN"/>
        </w:rPr>
      </w:pPr>
    </w:p>
    <w:p w14:paraId="688468FB">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outlineLvl w:val="0"/>
        <w:rPr>
          <w:rFonts w:hint="eastAsia" w:ascii="黑体" w:hAnsi="黑体" w:eastAsia="黑体" w:cs="黑体"/>
          <w:snapToGrid/>
          <w:color w:val="auto"/>
          <w:kern w:val="2"/>
          <w:sz w:val="32"/>
          <w:szCs w:val="32"/>
          <w:u w:val="none"/>
          <w:lang w:val="en-US" w:eastAsia="zh-CN"/>
        </w:rPr>
      </w:pPr>
      <w:bookmarkStart w:id="29" w:name="_Toc1260730690"/>
      <w:r>
        <w:rPr>
          <w:rFonts w:hint="eastAsia" w:ascii="Arial" w:hAnsi="Arial" w:eastAsia="黑体" w:cs="Times New Roman"/>
          <w:color w:val="auto"/>
          <w:kern w:val="2"/>
          <w:sz w:val="32"/>
          <w:szCs w:val="24"/>
          <w:u w:val="none"/>
          <w:lang w:val="en-US" w:eastAsia="zh-CN" w:bidi="ar-SA"/>
        </w:rPr>
        <w:t>公共数据目录管理</w:t>
      </w:r>
      <w:bookmarkEnd w:id="29"/>
    </w:p>
    <w:p w14:paraId="5EE945F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both"/>
        <w:textAlignment w:val="auto"/>
        <w:rPr>
          <w:rFonts w:hint="eastAsia" w:ascii="黑体" w:hAnsi="黑体" w:eastAsia="黑体" w:cs="黑体"/>
          <w:snapToGrid/>
          <w:color w:val="auto"/>
          <w:kern w:val="2"/>
          <w:sz w:val="32"/>
          <w:szCs w:val="32"/>
          <w:u w:val="none"/>
          <w:lang w:val="en-US" w:eastAsia="zh-CN"/>
        </w:rPr>
      </w:pPr>
    </w:p>
    <w:p w14:paraId="2257C597">
      <w:pPr>
        <w:pageBreakBefore w:val="0"/>
        <w:numPr>
          <w:ilvl w:val="0"/>
          <w:numId w:val="2"/>
        </w:numPr>
        <w:wordWrap/>
        <w:overflowPunct/>
        <w:topLinePunct w:val="0"/>
        <w:bidi w:val="0"/>
        <w:spacing w:line="560" w:lineRule="exact"/>
        <w:ind w:leftChars="0" w:firstLine="640" w:firstLineChars="200"/>
        <w:rPr>
          <w:rFonts w:hint="eastAsia" w:cs="Times New Roman"/>
          <w:color w:val="auto"/>
          <w:highlight w:val="none"/>
          <w:u w:val="none"/>
          <w:lang w:val="en-US" w:eastAsia="zh-CN"/>
        </w:rPr>
      </w:pPr>
      <w:r>
        <w:rPr>
          <w:rFonts w:hint="eastAsia" w:cs="Times New Roman"/>
          <w:color w:val="auto"/>
          <w:highlight w:val="none"/>
          <w:u w:val="none"/>
          <w:lang w:val="en-US" w:eastAsia="zh-CN"/>
        </w:rPr>
        <w:t xml:space="preserve">  </w:t>
      </w:r>
      <w:r>
        <w:rPr>
          <w:rFonts w:hint="eastAsia" w:ascii="仿宋_GB2312" w:hAnsi="仿宋_GB2312" w:eastAsia="仿宋_GB2312" w:cs="仿宋_GB2312"/>
          <w:color w:val="auto"/>
          <w:sz w:val="32"/>
          <w:u w:val="none"/>
          <w:lang w:val="en-US" w:eastAsia="zh-CN"/>
        </w:rPr>
        <w:t>公共数据按照“应编尽编、全量编目、及时更新、动态管理”的原则实行统一目录管理。</w:t>
      </w:r>
      <w:r>
        <w:rPr>
          <w:rFonts w:hint="eastAsia" w:cs="Times New Roman"/>
          <w:color w:val="auto"/>
          <w:highlight w:val="none"/>
          <w:u w:val="none"/>
          <w:lang w:val="en-US" w:eastAsia="zh-CN"/>
        </w:rPr>
        <w:t>公共数据目录应当明确数据目录名称、数据项、提供单位、数据格式、数据更新频率、</w:t>
      </w:r>
      <w:r>
        <w:rPr>
          <w:rFonts w:hint="eastAsia" w:cs="Times New Roman"/>
          <w:i w:val="0"/>
          <w:iCs w:val="0"/>
          <w:caps w:val="0"/>
          <w:color w:val="auto"/>
          <w:spacing w:val="0"/>
          <w:sz w:val="32"/>
          <w:szCs w:val="32"/>
          <w:u w:val="none"/>
          <w:shd w:val="clear"/>
          <w:lang w:val="en-US" w:eastAsia="zh-CN"/>
        </w:rPr>
        <w:t>开</w:t>
      </w:r>
      <w:r>
        <w:rPr>
          <w:rFonts w:hint="eastAsia" w:ascii="Times New Roman" w:hAnsi="Times New Roman" w:eastAsia="仿宋_GB2312" w:cs="Times New Roman"/>
          <w:i w:val="0"/>
          <w:iCs w:val="0"/>
          <w:caps w:val="0"/>
          <w:color w:val="auto"/>
          <w:spacing w:val="0"/>
          <w:sz w:val="32"/>
          <w:szCs w:val="32"/>
          <w:u w:val="none"/>
          <w:shd w:val="clear"/>
        </w:rPr>
        <w:t>放属性、开放方式</w:t>
      </w:r>
      <w:r>
        <w:rPr>
          <w:rFonts w:hint="eastAsia" w:cs="Times New Roman"/>
          <w:i w:val="0"/>
          <w:iCs w:val="0"/>
          <w:caps w:val="0"/>
          <w:color w:val="auto"/>
          <w:spacing w:val="0"/>
          <w:sz w:val="32"/>
          <w:szCs w:val="32"/>
          <w:u w:val="none"/>
          <w:shd w:val="clear"/>
          <w:lang w:eastAsia="zh-CN"/>
        </w:rPr>
        <w:t>、</w:t>
      </w:r>
      <w:r>
        <w:rPr>
          <w:rFonts w:hint="eastAsia" w:cs="Times New Roman"/>
          <w:color w:val="auto"/>
          <w:highlight w:val="none"/>
          <w:u w:val="none"/>
          <w:lang w:val="en-US" w:eastAsia="zh-CN"/>
        </w:rPr>
        <w:t>使用条件、数据分类分级等信息。</w:t>
      </w:r>
    </w:p>
    <w:p w14:paraId="19DF1984">
      <w:pPr>
        <w:pageBreakBefore w:val="0"/>
        <w:numPr>
          <w:ilvl w:val="0"/>
          <w:numId w:val="2"/>
        </w:numPr>
        <w:wordWrap/>
        <w:overflowPunct/>
        <w:topLinePunct w:val="0"/>
        <w:bidi w:val="0"/>
        <w:spacing w:line="560" w:lineRule="exact"/>
        <w:ind w:leftChars="0" w:firstLine="640" w:firstLineChars="200"/>
        <w:rPr>
          <w:rFonts w:hint="eastAsia" w:cs="Times New Roman"/>
          <w:color w:val="auto"/>
          <w:highlight w:val="none"/>
          <w:u w:val="none"/>
          <w:lang w:val="en-US" w:eastAsia="zh-CN"/>
        </w:rPr>
      </w:pPr>
      <w:r>
        <w:rPr>
          <w:rFonts w:hint="eastAsia" w:cs="Times New Roman"/>
          <w:color w:val="auto"/>
          <w:highlight w:val="none"/>
          <w:u w:val="none"/>
          <w:lang w:val="en-US" w:eastAsia="zh-CN"/>
        </w:rPr>
        <w:t xml:space="preserve">  公共管理和服务机构</w:t>
      </w:r>
      <w:r>
        <w:rPr>
          <w:rFonts w:hint="eastAsia" w:cs="Times New Roman"/>
          <w:color w:val="auto"/>
          <w:u w:val="none"/>
          <w:lang w:val="en-US" w:eastAsia="zh-CN"/>
        </w:rPr>
        <w:t>应当按照规范，将履职过程中产生的公共数据按照“一数一源”全量编入本机构公共数据目录</w:t>
      </w:r>
      <w:r>
        <w:rPr>
          <w:rFonts w:hint="eastAsia" w:cs="Times New Roman"/>
          <w:color w:val="auto"/>
          <w:highlight w:val="none"/>
          <w:u w:val="none"/>
          <w:lang w:val="en-US" w:eastAsia="zh-CN"/>
        </w:rPr>
        <w:t>，并通过市公共数据平台报同级数据管理部门审核。对于跨部门重复产生的数据项，由市数据局会同相关职能部门协商确定主体单位，并纳入目录备注说明。</w:t>
      </w:r>
    </w:p>
    <w:p w14:paraId="7E0BAB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s="Times New Roman"/>
          <w:color w:val="auto"/>
          <w:highlight w:val="none"/>
          <w:u w:val="none"/>
          <w:lang w:val="en-US" w:eastAsia="zh-CN"/>
        </w:rPr>
      </w:pPr>
      <w:r>
        <w:rPr>
          <w:rFonts w:hint="eastAsia" w:cs="Times New Roman"/>
          <w:color w:val="auto"/>
          <w:highlight w:val="none"/>
          <w:u w:val="none"/>
          <w:lang w:val="en-US" w:eastAsia="zh-CN"/>
        </w:rPr>
        <w:t>市数据局应当对公共管理和服务机构编制的公共数据目录进行审核、汇总，并编制本级人民政府公共数据目录，通过省公共数据平台发布。</w:t>
      </w:r>
    </w:p>
    <w:p w14:paraId="4FAB9C18">
      <w:pPr>
        <w:pageBreakBefore w:val="0"/>
        <w:numPr>
          <w:ilvl w:val="0"/>
          <w:numId w:val="2"/>
        </w:numPr>
        <w:wordWrap/>
        <w:overflowPunct/>
        <w:topLinePunct w:val="0"/>
        <w:bidi w:val="0"/>
        <w:spacing w:line="560" w:lineRule="exact"/>
        <w:ind w:leftChars="0" w:firstLine="620" w:firstLineChars="200"/>
        <w:rPr>
          <w:rFonts w:hint="eastAsia" w:ascii="仿宋_GB2312" w:hAnsi="仿宋_GB2312" w:eastAsia="仿宋_GB2312" w:cs="仿宋_GB2312"/>
          <w:color w:val="auto"/>
          <w:sz w:val="32"/>
          <w:szCs w:val="32"/>
          <w:u w:val="none"/>
        </w:rPr>
      </w:pPr>
      <w:r>
        <w:rPr>
          <w:rFonts w:hint="eastAsia" w:ascii="仿宋_GB2312" w:hAnsi="Calibri" w:cs="仿宋_GB2312"/>
          <w:i w:val="0"/>
          <w:iCs w:val="0"/>
          <w:caps w:val="0"/>
          <w:color w:val="auto"/>
          <w:spacing w:val="0"/>
          <w:sz w:val="31"/>
          <w:szCs w:val="31"/>
          <w:u w:val="none"/>
          <w:shd w:val="clear" w:fill="FFFFFF"/>
          <w:lang w:val="en-US" w:eastAsia="zh-CN"/>
        </w:rPr>
        <w:t xml:space="preserve">  </w:t>
      </w:r>
      <w:r>
        <w:rPr>
          <w:rFonts w:hint="eastAsia" w:ascii="仿宋_GB2312" w:hAnsi="仿宋_GB2312" w:cs="仿宋_GB2312"/>
          <w:i w:val="0"/>
          <w:iCs w:val="0"/>
          <w:caps w:val="0"/>
          <w:color w:val="auto"/>
          <w:spacing w:val="0"/>
          <w:sz w:val="32"/>
          <w:szCs w:val="32"/>
          <w:u w:val="none"/>
          <w:shd w:val="clear"/>
          <w:lang w:val="en-US" w:eastAsia="zh-CN"/>
        </w:rPr>
        <w:t>公共数据目录</w:t>
      </w:r>
      <w:r>
        <w:rPr>
          <w:rFonts w:hint="eastAsia" w:ascii="仿宋_GB2312" w:hAnsi="仿宋_GB2312" w:eastAsia="仿宋_GB2312" w:cs="仿宋_GB2312"/>
          <w:i w:val="0"/>
          <w:iCs w:val="0"/>
          <w:caps w:val="0"/>
          <w:color w:val="auto"/>
          <w:spacing w:val="0"/>
          <w:sz w:val="32"/>
          <w:szCs w:val="32"/>
          <w:u w:val="none"/>
          <w:shd w:val="clear"/>
          <w:lang w:val="en-US" w:eastAsia="zh-CN"/>
        </w:rPr>
        <w:t>应</w:t>
      </w:r>
      <w:r>
        <w:rPr>
          <w:rFonts w:hint="eastAsia" w:ascii="仿宋_GB2312" w:hAnsi="仿宋_GB2312" w:eastAsia="仿宋_GB2312" w:cs="仿宋_GB2312"/>
          <w:i w:val="0"/>
          <w:iCs w:val="0"/>
          <w:caps w:val="0"/>
          <w:color w:val="auto"/>
          <w:spacing w:val="0"/>
          <w:sz w:val="32"/>
          <w:szCs w:val="32"/>
          <w:u w:val="none"/>
          <w:shd w:val="clear"/>
        </w:rPr>
        <w:t>实行动态更新</w:t>
      </w:r>
      <w:r>
        <w:rPr>
          <w:rFonts w:hint="eastAsia" w:ascii="仿宋_GB2312" w:hAnsi="仿宋_GB2312" w:eastAsia="仿宋_GB2312" w:cs="仿宋_GB2312"/>
          <w:i w:val="0"/>
          <w:iCs w:val="0"/>
          <w:caps w:val="0"/>
          <w:color w:val="auto"/>
          <w:spacing w:val="0"/>
          <w:sz w:val="32"/>
          <w:szCs w:val="32"/>
          <w:u w:val="none"/>
          <w:shd w:val="clear"/>
          <w:lang w:val="en-US" w:eastAsia="zh-CN"/>
        </w:rPr>
        <w:t>机制</w:t>
      </w:r>
      <w:r>
        <w:rPr>
          <w:rFonts w:hint="eastAsia" w:ascii="仿宋_GB2312" w:hAnsi="仿宋_GB2312" w:eastAsia="仿宋_GB2312" w:cs="仿宋_GB2312"/>
          <w:i w:val="0"/>
          <w:iCs w:val="0"/>
          <w:caps w:val="0"/>
          <w:color w:val="auto"/>
          <w:spacing w:val="0"/>
          <w:sz w:val="32"/>
          <w:szCs w:val="32"/>
          <w:u w:val="none"/>
          <w:shd w:val="clear"/>
          <w:lang w:eastAsia="zh-CN"/>
        </w:rPr>
        <w:t>。</w:t>
      </w:r>
      <w:r>
        <w:rPr>
          <w:rFonts w:hint="eastAsia" w:ascii="仿宋_GB2312" w:hAnsi="仿宋_GB2312" w:eastAsia="仿宋_GB2312" w:cs="仿宋_GB2312"/>
          <w:i w:val="0"/>
          <w:iCs w:val="0"/>
          <w:caps w:val="0"/>
          <w:color w:val="auto"/>
          <w:spacing w:val="0"/>
          <w:sz w:val="32"/>
          <w:szCs w:val="32"/>
          <w:u w:val="none"/>
          <w:shd w:val="clear"/>
          <w:lang w:val="en-US" w:eastAsia="zh-CN"/>
        </w:rPr>
        <w:t>因</w:t>
      </w:r>
      <w:r>
        <w:rPr>
          <w:rFonts w:hint="eastAsia" w:ascii="仿宋_GB2312" w:hAnsi="仿宋_GB2312" w:eastAsia="仿宋_GB2312" w:cs="仿宋_GB2312"/>
          <w:i w:val="0"/>
          <w:iCs w:val="0"/>
          <w:caps w:val="0"/>
          <w:color w:val="auto"/>
          <w:spacing w:val="0"/>
          <w:sz w:val="32"/>
          <w:szCs w:val="32"/>
          <w:u w:val="none"/>
          <w:shd w:val="clear"/>
        </w:rPr>
        <w:t>法律、法规</w:t>
      </w:r>
      <w:r>
        <w:rPr>
          <w:rFonts w:hint="eastAsia" w:ascii="仿宋_GB2312" w:hAnsi="仿宋_GB2312" w:eastAsia="仿宋_GB2312" w:cs="仿宋_GB2312"/>
          <w:i w:val="0"/>
          <w:iCs w:val="0"/>
          <w:caps w:val="0"/>
          <w:color w:val="auto"/>
          <w:spacing w:val="0"/>
          <w:sz w:val="32"/>
          <w:szCs w:val="32"/>
          <w:u w:val="none"/>
          <w:shd w:val="clear"/>
          <w:lang w:val="en-US" w:eastAsia="zh-CN"/>
        </w:rPr>
        <w:t>或法定职能</w:t>
      </w:r>
      <w:r>
        <w:rPr>
          <w:rFonts w:hint="eastAsia" w:ascii="仿宋_GB2312" w:hAnsi="仿宋_GB2312" w:eastAsia="仿宋_GB2312" w:cs="仿宋_GB2312"/>
          <w:i w:val="0"/>
          <w:iCs w:val="0"/>
          <w:caps w:val="0"/>
          <w:color w:val="auto"/>
          <w:spacing w:val="0"/>
          <w:sz w:val="32"/>
          <w:szCs w:val="32"/>
          <w:u w:val="none"/>
          <w:shd w:val="clear"/>
        </w:rPr>
        <w:t>变化导致</w:t>
      </w:r>
      <w:r>
        <w:rPr>
          <w:rFonts w:hint="eastAsia" w:ascii="仿宋_GB2312" w:hAnsi="仿宋_GB2312" w:cs="仿宋_GB2312"/>
          <w:i w:val="0"/>
          <w:iCs w:val="0"/>
          <w:caps w:val="0"/>
          <w:color w:val="auto"/>
          <w:spacing w:val="0"/>
          <w:sz w:val="32"/>
          <w:szCs w:val="32"/>
          <w:u w:val="none"/>
          <w:shd w:val="clear"/>
          <w:lang w:val="en-US" w:eastAsia="zh-CN"/>
        </w:rPr>
        <w:t>公共数据目录</w:t>
      </w:r>
      <w:r>
        <w:rPr>
          <w:rFonts w:hint="eastAsia" w:ascii="仿宋_GB2312" w:hAnsi="仿宋_GB2312" w:eastAsia="仿宋_GB2312" w:cs="仿宋_GB2312"/>
          <w:i w:val="0"/>
          <w:iCs w:val="0"/>
          <w:caps w:val="0"/>
          <w:color w:val="auto"/>
          <w:spacing w:val="0"/>
          <w:sz w:val="32"/>
          <w:szCs w:val="32"/>
          <w:u w:val="none"/>
          <w:shd w:val="clear"/>
        </w:rPr>
        <w:t>需要更新的，</w:t>
      </w:r>
      <w:r>
        <w:rPr>
          <w:rFonts w:hint="eastAsia" w:cs="Times New Roman"/>
          <w:color w:val="auto"/>
          <w:highlight w:val="none"/>
          <w:u w:val="none"/>
          <w:lang w:val="en-US" w:eastAsia="zh-CN"/>
        </w:rPr>
        <w:t>公共管理和服务机构</w:t>
      </w:r>
      <w:r>
        <w:rPr>
          <w:rFonts w:hint="eastAsia" w:ascii="仿宋_GB2312" w:hAnsi="仿宋_GB2312" w:eastAsia="仿宋_GB2312" w:cs="仿宋_GB2312"/>
          <w:i w:val="0"/>
          <w:iCs w:val="0"/>
          <w:caps w:val="0"/>
          <w:color w:val="auto"/>
          <w:spacing w:val="0"/>
          <w:sz w:val="32"/>
          <w:szCs w:val="32"/>
          <w:u w:val="none"/>
          <w:shd w:val="clear"/>
        </w:rPr>
        <w:t>应当自调整、变化发生之日起10个工作日内</w:t>
      </w:r>
      <w:r>
        <w:rPr>
          <w:rFonts w:hint="eastAsia" w:ascii="仿宋_GB2312" w:hAnsi="仿宋_GB2312" w:eastAsia="仿宋_GB2312" w:cs="仿宋_GB2312"/>
          <w:i w:val="0"/>
          <w:iCs w:val="0"/>
          <w:caps w:val="0"/>
          <w:color w:val="auto"/>
          <w:spacing w:val="0"/>
          <w:sz w:val="32"/>
          <w:szCs w:val="32"/>
          <w:u w:val="none"/>
          <w:shd w:val="clear"/>
          <w:lang w:val="en-US" w:eastAsia="zh-CN"/>
        </w:rPr>
        <w:t>更新本机构公共</w:t>
      </w:r>
      <w:r>
        <w:rPr>
          <w:rFonts w:hint="eastAsia" w:ascii="仿宋_GB2312" w:hAnsi="仿宋_GB2312" w:eastAsia="仿宋_GB2312" w:cs="仿宋_GB2312"/>
          <w:i w:val="0"/>
          <w:iCs w:val="0"/>
          <w:caps w:val="0"/>
          <w:color w:val="auto"/>
          <w:spacing w:val="0"/>
          <w:sz w:val="32"/>
          <w:szCs w:val="32"/>
          <w:u w:val="none"/>
          <w:shd w:val="clear"/>
        </w:rPr>
        <w:t>数据目录，并报同级</w:t>
      </w:r>
      <w:r>
        <w:rPr>
          <w:rFonts w:hint="eastAsia" w:ascii="仿宋_GB2312" w:hAnsi="仿宋_GB2312" w:eastAsia="仿宋_GB2312" w:cs="仿宋_GB2312"/>
          <w:i w:val="0"/>
          <w:iCs w:val="0"/>
          <w:caps w:val="0"/>
          <w:color w:val="auto"/>
          <w:spacing w:val="0"/>
          <w:sz w:val="32"/>
          <w:szCs w:val="32"/>
          <w:u w:val="none"/>
          <w:shd w:val="clear"/>
          <w:lang w:val="en-US" w:eastAsia="zh-CN"/>
        </w:rPr>
        <w:t>数据管理</w:t>
      </w:r>
      <w:r>
        <w:rPr>
          <w:rFonts w:hint="eastAsia" w:ascii="仿宋_GB2312" w:hAnsi="仿宋_GB2312" w:eastAsia="仿宋_GB2312" w:cs="仿宋_GB2312"/>
          <w:i w:val="0"/>
          <w:iCs w:val="0"/>
          <w:caps w:val="0"/>
          <w:color w:val="auto"/>
          <w:spacing w:val="0"/>
          <w:sz w:val="32"/>
          <w:szCs w:val="32"/>
          <w:u w:val="none"/>
          <w:shd w:val="clear"/>
        </w:rPr>
        <w:t>部门审核。因特殊原因需要延长更新期限的，经同级</w:t>
      </w:r>
      <w:r>
        <w:rPr>
          <w:rFonts w:hint="eastAsia" w:ascii="仿宋_GB2312" w:hAnsi="仿宋_GB2312" w:eastAsia="仿宋_GB2312" w:cs="仿宋_GB2312"/>
          <w:i w:val="0"/>
          <w:iCs w:val="0"/>
          <w:caps w:val="0"/>
          <w:color w:val="auto"/>
          <w:spacing w:val="0"/>
          <w:sz w:val="32"/>
          <w:szCs w:val="32"/>
          <w:u w:val="none"/>
          <w:shd w:val="clear"/>
          <w:lang w:val="en-US" w:eastAsia="zh-CN"/>
        </w:rPr>
        <w:t>数据管理</w:t>
      </w:r>
      <w:r>
        <w:rPr>
          <w:rFonts w:hint="eastAsia" w:ascii="仿宋_GB2312" w:hAnsi="仿宋_GB2312" w:eastAsia="仿宋_GB2312" w:cs="仿宋_GB2312"/>
          <w:i w:val="0"/>
          <w:iCs w:val="0"/>
          <w:caps w:val="0"/>
          <w:color w:val="auto"/>
          <w:spacing w:val="0"/>
          <w:sz w:val="32"/>
          <w:szCs w:val="32"/>
          <w:u w:val="none"/>
          <w:shd w:val="clear"/>
        </w:rPr>
        <w:t>部门同意，可以延长5个工作日。</w:t>
      </w:r>
    </w:p>
    <w:p w14:paraId="2D37C4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shd w:val="clear"/>
        </w:rPr>
        <w:t>同级</w:t>
      </w:r>
      <w:r>
        <w:rPr>
          <w:rFonts w:hint="eastAsia" w:ascii="仿宋_GB2312" w:hAnsi="仿宋_GB2312" w:eastAsia="仿宋_GB2312" w:cs="仿宋_GB2312"/>
          <w:i w:val="0"/>
          <w:iCs w:val="0"/>
          <w:caps w:val="0"/>
          <w:color w:val="auto"/>
          <w:spacing w:val="0"/>
          <w:sz w:val="32"/>
          <w:szCs w:val="32"/>
          <w:u w:val="none"/>
          <w:shd w:val="clear"/>
          <w:lang w:val="en-US" w:eastAsia="zh-CN"/>
        </w:rPr>
        <w:t>数据管理</w:t>
      </w:r>
      <w:r>
        <w:rPr>
          <w:rFonts w:hint="eastAsia" w:ascii="仿宋_GB2312" w:hAnsi="仿宋_GB2312" w:eastAsia="仿宋_GB2312" w:cs="仿宋_GB2312"/>
          <w:i w:val="0"/>
          <w:iCs w:val="0"/>
          <w:caps w:val="0"/>
          <w:color w:val="auto"/>
          <w:spacing w:val="0"/>
          <w:sz w:val="32"/>
          <w:szCs w:val="32"/>
          <w:u w:val="none"/>
          <w:shd w:val="clear"/>
        </w:rPr>
        <w:t>部门</w:t>
      </w:r>
      <w:r>
        <w:rPr>
          <w:rFonts w:hint="eastAsia" w:ascii="仿宋_GB2312" w:hAnsi="仿宋_GB2312" w:eastAsia="仿宋_GB2312" w:cs="仿宋_GB2312"/>
          <w:color w:val="auto"/>
          <w:sz w:val="32"/>
          <w:szCs w:val="32"/>
          <w:u w:val="none"/>
          <w:lang w:val="en-US" w:eastAsia="zh-CN"/>
        </w:rPr>
        <w:t>应当自收到更新后的公共数据目录之日起2个工作日内完成审核并发布。</w:t>
      </w:r>
    </w:p>
    <w:p w14:paraId="6B823F1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both"/>
        <w:textAlignment w:val="auto"/>
        <w:rPr>
          <w:rFonts w:hint="eastAsia" w:ascii="黑体" w:hAnsi="黑体" w:eastAsia="黑体" w:cs="黑体"/>
          <w:snapToGrid/>
          <w:color w:val="auto"/>
          <w:kern w:val="2"/>
          <w:sz w:val="32"/>
          <w:szCs w:val="32"/>
          <w:u w:val="none"/>
          <w:lang w:val="en-US" w:eastAsia="zh-CN"/>
        </w:rPr>
      </w:pPr>
    </w:p>
    <w:p w14:paraId="473A19F3">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outlineLvl w:val="0"/>
        <w:rPr>
          <w:rFonts w:hint="eastAsia" w:ascii="黑体" w:hAnsi="黑体" w:eastAsia="黑体" w:cs="黑体"/>
          <w:snapToGrid/>
          <w:color w:val="auto"/>
          <w:kern w:val="2"/>
          <w:sz w:val="32"/>
          <w:szCs w:val="32"/>
          <w:u w:val="none"/>
          <w:lang w:val="en-US" w:eastAsia="zh-CN"/>
        </w:rPr>
      </w:pPr>
      <w:bookmarkStart w:id="30" w:name="_Toc2082359621"/>
      <w:r>
        <w:rPr>
          <w:rFonts w:hint="eastAsia" w:ascii="黑体" w:hAnsi="黑体" w:eastAsia="黑体" w:cs="黑体"/>
          <w:snapToGrid/>
          <w:color w:val="auto"/>
          <w:kern w:val="2"/>
          <w:sz w:val="32"/>
          <w:szCs w:val="32"/>
          <w:u w:val="none"/>
          <w:lang w:val="en-US" w:eastAsia="zh-CN"/>
        </w:rPr>
        <w:t>公共数据归集</w:t>
      </w:r>
      <w:bookmarkEnd w:id="30"/>
    </w:p>
    <w:p w14:paraId="4FDFEDA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both"/>
        <w:textAlignment w:val="auto"/>
        <w:outlineLvl w:val="0"/>
        <w:rPr>
          <w:rFonts w:hint="eastAsia" w:ascii="黑体" w:hAnsi="黑体" w:eastAsia="黑体" w:cs="黑体"/>
          <w:snapToGrid/>
          <w:color w:val="auto"/>
          <w:kern w:val="2"/>
          <w:sz w:val="32"/>
          <w:szCs w:val="32"/>
          <w:u w:val="none"/>
          <w:lang w:val="en-US" w:eastAsia="zh-CN"/>
        </w:rPr>
      </w:pPr>
    </w:p>
    <w:p w14:paraId="235F6E2F">
      <w:pPr>
        <w:pageBreakBefore w:val="0"/>
        <w:numPr>
          <w:ilvl w:val="0"/>
          <w:numId w:val="2"/>
        </w:numPr>
        <w:wordWrap/>
        <w:overflowPunct/>
        <w:topLinePunct w:val="0"/>
        <w:bidi w:val="0"/>
        <w:spacing w:line="560" w:lineRule="exact"/>
        <w:ind w:leftChars="0" w:firstLine="640" w:firstLineChars="200"/>
        <w:rPr>
          <w:rFonts w:hint="eastAsia" w:ascii="Times New Roman" w:hAnsi="Times New Roman" w:eastAsia="仿宋_GB2312" w:cs="Times New Roman"/>
          <w:i w:val="0"/>
          <w:iCs w:val="0"/>
          <w:caps w:val="0"/>
          <w:color w:val="auto"/>
          <w:spacing w:val="0"/>
          <w:sz w:val="32"/>
          <w:szCs w:val="22"/>
          <w:u w:val="none"/>
          <w:shd w:val="clear"/>
          <w:lang w:eastAsia="zh-CN"/>
        </w:rPr>
      </w:pPr>
      <w:r>
        <w:rPr>
          <w:rFonts w:hint="eastAsia" w:cs="Times New Roman"/>
          <w:color w:val="auto"/>
          <w:szCs w:val="32"/>
          <w:u w:val="none"/>
          <w:lang w:val="en-US" w:eastAsia="zh-CN"/>
        </w:rPr>
        <w:t xml:space="preserve">  </w:t>
      </w:r>
      <w:r>
        <w:rPr>
          <w:rFonts w:hint="eastAsia" w:ascii="仿宋_GB2312" w:hAnsi="仿宋_GB2312" w:eastAsia="仿宋_GB2312" w:cs="仿宋_GB2312"/>
          <w:color w:val="auto"/>
          <w:sz w:val="32"/>
          <w:highlight w:val="none"/>
          <w:u w:val="none"/>
          <w:lang w:val="en-US" w:eastAsia="zh-CN"/>
        </w:rPr>
        <w:t>公共数据按照“按需归集、应归尽归”的原则开展归集工作。纳入共享责任清单的公共数据需要全量归集。</w:t>
      </w:r>
    </w:p>
    <w:p w14:paraId="39CC817A">
      <w:pPr>
        <w:pageBreakBefore w:val="0"/>
        <w:numPr>
          <w:ilvl w:val="0"/>
          <w:numId w:val="2"/>
        </w:numPr>
        <w:wordWrap/>
        <w:overflowPunct/>
        <w:topLinePunct w:val="0"/>
        <w:bidi w:val="0"/>
        <w:spacing w:line="560" w:lineRule="exact"/>
        <w:ind w:leftChars="0" w:firstLine="640" w:firstLineChars="200"/>
        <w:rPr>
          <w:rFonts w:hint="eastAsia" w:ascii="Times New Roman" w:hAnsi="Times New Roman" w:eastAsia="仿宋_GB2312" w:cs="Times New Roman"/>
          <w:i w:val="0"/>
          <w:iCs w:val="0"/>
          <w:caps w:val="0"/>
          <w:color w:val="auto"/>
          <w:spacing w:val="0"/>
          <w:sz w:val="32"/>
          <w:szCs w:val="22"/>
          <w:u w:val="none"/>
          <w:shd w:val="clear"/>
          <w:lang w:eastAsia="zh-CN"/>
        </w:rPr>
      </w:pPr>
      <w:r>
        <w:rPr>
          <w:rFonts w:hint="eastAsia" w:cs="Times New Roman"/>
          <w:color w:val="auto"/>
          <w:u w:val="none"/>
          <w:lang w:val="en-US" w:eastAsia="zh-CN"/>
        </w:rPr>
        <w:t xml:space="preserve">  </w:t>
      </w:r>
      <w:r>
        <w:rPr>
          <w:rFonts w:hint="eastAsia" w:cs="Times New Roman"/>
          <w:color w:val="auto"/>
          <w:u w:val="none"/>
          <w:lang w:eastAsia="zh-CN"/>
        </w:rPr>
        <w:t>公共管理和服务机构</w:t>
      </w:r>
      <w:r>
        <w:rPr>
          <w:rFonts w:cs="Times New Roman"/>
          <w:color w:val="auto"/>
          <w:u w:val="none"/>
        </w:rPr>
        <w:t>应当完整、准确</w:t>
      </w:r>
      <w:r>
        <w:rPr>
          <w:rFonts w:hint="eastAsia" w:cs="Times New Roman"/>
          <w:color w:val="auto"/>
          <w:u w:val="none"/>
        </w:rPr>
        <w:t>、及时</w:t>
      </w:r>
      <w:r>
        <w:rPr>
          <w:rFonts w:cs="Times New Roman"/>
          <w:color w:val="auto"/>
          <w:u w:val="none"/>
        </w:rPr>
        <w:t>地将</w:t>
      </w:r>
      <w:r>
        <w:rPr>
          <w:rFonts w:cs="Times New Roman"/>
          <w:color w:val="auto"/>
          <w:highlight w:val="none"/>
          <w:u w:val="none"/>
        </w:rPr>
        <w:t>本机构公共</w:t>
      </w:r>
      <w:r>
        <w:rPr>
          <w:rFonts w:cs="Times New Roman"/>
          <w:color w:val="auto"/>
          <w:u w:val="none"/>
        </w:rPr>
        <w:t>数据目录中的公共数据</w:t>
      </w:r>
      <w:r>
        <w:rPr>
          <w:rFonts w:hint="eastAsia" w:cs="Times New Roman"/>
          <w:color w:val="auto"/>
          <w:u w:val="none"/>
        </w:rPr>
        <w:t>向</w:t>
      </w:r>
      <w:r>
        <w:rPr>
          <w:rFonts w:hint="eastAsia" w:cs="Times New Roman"/>
          <w:color w:val="auto"/>
          <w:u w:val="none"/>
          <w:lang w:val="en-US" w:eastAsia="zh-CN"/>
        </w:rPr>
        <w:t>市</w:t>
      </w:r>
      <w:r>
        <w:rPr>
          <w:rFonts w:hint="eastAsia" w:cs="Times New Roman"/>
          <w:color w:val="auto"/>
          <w:u w:val="none"/>
        </w:rPr>
        <w:t>公共数据平台</w:t>
      </w:r>
      <w:r>
        <w:rPr>
          <w:rFonts w:hint="eastAsia" w:cs="Times New Roman"/>
          <w:color w:val="auto"/>
          <w:u w:val="none"/>
          <w:lang w:eastAsia="zh-CN"/>
        </w:rPr>
        <w:t>归集</w:t>
      </w:r>
      <w:r>
        <w:rPr>
          <w:rFonts w:hint="eastAsia" w:cs="Times New Roman"/>
          <w:color w:val="auto"/>
          <w:u w:val="none"/>
        </w:rPr>
        <w:t>，并</w:t>
      </w:r>
      <w:r>
        <w:rPr>
          <w:rFonts w:cs="Times New Roman"/>
          <w:color w:val="auto"/>
          <w:u w:val="none"/>
        </w:rPr>
        <w:t>按照</w:t>
      </w:r>
      <w:r>
        <w:rPr>
          <w:rFonts w:hint="eastAsia" w:cs="Times New Roman"/>
          <w:color w:val="auto"/>
          <w:u w:val="none"/>
        </w:rPr>
        <w:t>要求</w:t>
      </w:r>
      <w:r>
        <w:rPr>
          <w:rFonts w:cs="Times New Roman"/>
          <w:color w:val="auto"/>
          <w:u w:val="none"/>
        </w:rPr>
        <w:t>对数据进行更新。</w:t>
      </w:r>
    </w:p>
    <w:p w14:paraId="0A882269">
      <w:pPr>
        <w:pageBreakBefore w:val="0"/>
        <w:numPr>
          <w:ilvl w:val="0"/>
          <w:numId w:val="2"/>
        </w:numPr>
        <w:wordWrap/>
        <w:overflowPunct/>
        <w:topLinePunct w:val="0"/>
        <w:bidi w:val="0"/>
        <w:spacing w:line="560" w:lineRule="exact"/>
        <w:ind w:leftChars="0" w:firstLine="640" w:firstLineChars="200"/>
        <w:rPr>
          <w:color w:val="auto"/>
          <w:sz w:val="32"/>
          <w:szCs w:val="32"/>
          <w:u w:val="none"/>
        </w:rPr>
      </w:pPr>
      <w:r>
        <w:rPr>
          <w:rFonts w:hint="eastAsia" w:cs="Times New Roman"/>
          <w:color w:val="auto"/>
          <w:szCs w:val="32"/>
          <w:u w:val="none"/>
          <w:lang w:val="en-US" w:eastAsia="zh-CN"/>
        </w:rPr>
        <w:t xml:space="preserve">  </w:t>
      </w:r>
      <w:r>
        <w:rPr>
          <w:rFonts w:hint="eastAsia" w:cs="Times New Roman"/>
          <w:color w:val="auto"/>
          <w:sz w:val="32"/>
          <w:szCs w:val="32"/>
          <w:highlight w:val="none"/>
          <w:u w:val="none"/>
          <w:lang w:val="en-US" w:eastAsia="zh-CN"/>
        </w:rPr>
        <w:t>市数据局</w:t>
      </w:r>
      <w:r>
        <w:rPr>
          <w:rFonts w:hint="eastAsia" w:cs="Times New Roman"/>
          <w:color w:val="auto"/>
          <w:sz w:val="32"/>
          <w:szCs w:val="32"/>
          <w:u w:val="none"/>
          <w:lang w:val="en-US" w:eastAsia="zh-CN"/>
        </w:rPr>
        <w:t>应当会同市级</w:t>
      </w:r>
      <w:r>
        <w:rPr>
          <w:rFonts w:hint="eastAsia" w:cs="Times New Roman"/>
          <w:color w:val="auto"/>
          <w:sz w:val="32"/>
          <w:szCs w:val="32"/>
          <w:u w:val="none"/>
          <w:lang w:eastAsia="zh-CN"/>
        </w:rPr>
        <w:t>公共管理和服务机构将本行政区域内</w:t>
      </w:r>
      <w:r>
        <w:rPr>
          <w:rFonts w:hint="eastAsia" w:eastAsia="仿宋_GB2312" w:cs="Times New Roman"/>
          <w:color w:val="auto"/>
          <w:sz w:val="32"/>
          <w:szCs w:val="32"/>
          <w:u w:val="none"/>
          <w:lang w:val="en-US" w:eastAsia="zh-CN"/>
        </w:rPr>
        <w:t>综合人口、综合法人、宏观经济、电子证照、自然资源和空间地理信息库等相关数据按需向</w:t>
      </w:r>
      <w:r>
        <w:rPr>
          <w:rFonts w:hint="eastAsia" w:cs="Times New Roman"/>
          <w:color w:val="auto"/>
          <w:sz w:val="32"/>
          <w:szCs w:val="32"/>
          <w:u w:val="none"/>
          <w:lang w:val="en-US" w:eastAsia="zh-CN"/>
        </w:rPr>
        <w:t>市</w:t>
      </w:r>
      <w:r>
        <w:rPr>
          <w:rFonts w:hint="eastAsia" w:eastAsia="仿宋_GB2312" w:cs="Times New Roman"/>
          <w:color w:val="auto"/>
          <w:sz w:val="32"/>
          <w:szCs w:val="32"/>
          <w:u w:val="none"/>
          <w:lang w:val="en-US" w:eastAsia="zh-CN"/>
        </w:rPr>
        <w:t>公共数据平台进行</w:t>
      </w:r>
      <w:r>
        <w:rPr>
          <w:rFonts w:hint="eastAsia" w:cs="Times New Roman"/>
          <w:color w:val="auto"/>
          <w:sz w:val="32"/>
          <w:szCs w:val="32"/>
          <w:u w:val="none"/>
          <w:lang w:val="en-US" w:eastAsia="zh-CN"/>
        </w:rPr>
        <w:t>归集</w:t>
      </w:r>
      <w:r>
        <w:rPr>
          <w:rFonts w:ascii="仿宋_GB2312" w:hAnsi="宋体" w:eastAsia="仿宋_GB2312" w:cs="仿宋_GB2312"/>
          <w:i w:val="0"/>
          <w:iCs w:val="0"/>
          <w:caps w:val="0"/>
          <w:color w:val="auto"/>
          <w:spacing w:val="0"/>
          <w:kern w:val="0"/>
          <w:sz w:val="32"/>
          <w:szCs w:val="32"/>
          <w:u w:val="none"/>
          <w:shd w:val="clear" w:fill="FFFFFF"/>
          <w:lang w:val="en-US" w:eastAsia="zh-CN" w:bidi="ar"/>
        </w:rPr>
        <w:t>；</w:t>
      </w:r>
      <w:r>
        <w:rPr>
          <w:rFonts w:hint="eastAsia" w:ascii="仿宋_GB2312" w:hAnsi="宋体" w:cs="仿宋_GB2312"/>
          <w:i w:val="0"/>
          <w:iCs w:val="0"/>
          <w:caps w:val="0"/>
          <w:color w:val="auto"/>
          <w:spacing w:val="0"/>
          <w:kern w:val="0"/>
          <w:sz w:val="32"/>
          <w:szCs w:val="32"/>
          <w:u w:val="none"/>
          <w:shd w:val="clear" w:fill="FFFFFF"/>
          <w:lang w:val="en-US" w:eastAsia="zh-CN" w:bidi="ar"/>
        </w:rPr>
        <w:t>市级</w:t>
      </w:r>
      <w:r>
        <w:rPr>
          <w:rFonts w:hint="eastAsia" w:cs="Times New Roman"/>
          <w:b w:val="0"/>
          <w:bCs w:val="0"/>
          <w:color w:val="auto"/>
          <w:sz w:val="32"/>
          <w:szCs w:val="32"/>
          <w:u w:val="none"/>
          <w:lang w:eastAsia="zh-CN"/>
        </w:rPr>
        <w:t>公共管理和服务机构负责</w:t>
      </w:r>
      <w:r>
        <w:rPr>
          <w:rFonts w:ascii="仿宋_GB2312" w:hAnsi="宋体" w:eastAsia="仿宋_GB2312" w:cs="仿宋_GB2312"/>
          <w:i w:val="0"/>
          <w:iCs w:val="0"/>
          <w:caps w:val="0"/>
          <w:color w:val="auto"/>
          <w:spacing w:val="0"/>
          <w:kern w:val="0"/>
          <w:sz w:val="32"/>
          <w:szCs w:val="32"/>
          <w:u w:val="none"/>
          <w:shd w:val="clear" w:fill="FFFFFF"/>
          <w:lang w:val="en-US" w:eastAsia="zh-CN" w:bidi="ar"/>
        </w:rPr>
        <w:t>推进政务服务、社会保障、医疗健康、生态环保、食品安全、应急管理、国资监管等主题数据库建设。</w:t>
      </w:r>
    </w:p>
    <w:p w14:paraId="785F6C9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both"/>
        <w:textAlignment w:val="auto"/>
        <w:outlineLvl w:val="0"/>
        <w:rPr>
          <w:rFonts w:hint="eastAsia" w:cs="Times New Roman"/>
          <w:color w:val="auto"/>
          <w:sz w:val="32"/>
          <w:szCs w:val="32"/>
          <w:u w:val="none"/>
        </w:rPr>
      </w:pPr>
      <w:bookmarkStart w:id="31" w:name="_Toc1625907785"/>
      <w:r>
        <w:rPr>
          <w:rFonts w:hint="eastAsia" w:cs="Times New Roman"/>
          <w:color w:val="auto"/>
          <w:sz w:val="32"/>
          <w:szCs w:val="32"/>
          <w:u w:val="none"/>
        </w:rPr>
        <w:t>除法律、法规另有规定的外，基础数据库涉及的公共数据，应当无条件</w:t>
      </w:r>
      <w:r>
        <w:rPr>
          <w:rFonts w:hint="eastAsia" w:cs="Times New Roman"/>
          <w:color w:val="auto"/>
          <w:sz w:val="32"/>
          <w:szCs w:val="32"/>
          <w:u w:val="none"/>
          <w:lang w:val="en-US" w:eastAsia="zh-CN"/>
        </w:rPr>
        <w:t>向市公共数据平台汇聚</w:t>
      </w:r>
      <w:r>
        <w:rPr>
          <w:rFonts w:hint="eastAsia" w:cs="Times New Roman"/>
          <w:color w:val="auto"/>
          <w:sz w:val="32"/>
          <w:szCs w:val="32"/>
          <w:u w:val="none"/>
        </w:rPr>
        <w:t>。</w:t>
      </w:r>
      <w:bookmarkEnd w:id="31"/>
    </w:p>
    <w:p w14:paraId="77AC4B3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both"/>
        <w:textAlignment w:val="auto"/>
        <w:outlineLvl w:val="0"/>
        <w:rPr>
          <w:rFonts w:hint="eastAsia" w:cs="Times New Roman"/>
          <w:color w:val="auto"/>
          <w:sz w:val="32"/>
          <w:szCs w:val="32"/>
          <w:u w:val="none"/>
          <w:lang w:val="en-US" w:eastAsia="zh-CN"/>
        </w:rPr>
      </w:pPr>
    </w:p>
    <w:p w14:paraId="6D07DEA5">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outlineLvl w:val="0"/>
        <w:rPr>
          <w:rFonts w:hint="eastAsia" w:ascii="黑体" w:hAnsi="黑体" w:eastAsia="黑体" w:cs="黑体"/>
          <w:snapToGrid/>
          <w:color w:val="auto"/>
          <w:kern w:val="2"/>
          <w:sz w:val="32"/>
          <w:szCs w:val="32"/>
          <w:u w:val="none"/>
          <w:lang w:val="en-US" w:eastAsia="zh-CN"/>
        </w:rPr>
      </w:pPr>
      <w:bookmarkStart w:id="32" w:name="_Toc1755542061"/>
      <w:r>
        <w:rPr>
          <w:rFonts w:hint="eastAsia" w:ascii="黑体" w:hAnsi="黑体" w:eastAsia="黑体" w:cs="黑体"/>
          <w:snapToGrid/>
          <w:color w:val="auto"/>
          <w:kern w:val="2"/>
          <w:sz w:val="32"/>
          <w:szCs w:val="32"/>
          <w:u w:val="none"/>
          <w:lang w:val="en-US" w:eastAsia="zh-CN"/>
        </w:rPr>
        <w:t>公共数据资源登记</w:t>
      </w:r>
      <w:bookmarkEnd w:id="32"/>
    </w:p>
    <w:p w14:paraId="62C0CC8D">
      <w:pPr>
        <w:pStyle w:val="2"/>
        <w:pageBreakBefore w:val="0"/>
        <w:numPr>
          <w:ilvl w:val="0"/>
          <w:numId w:val="0"/>
        </w:numPr>
        <w:wordWrap/>
        <w:overflowPunct/>
        <w:topLinePunct w:val="0"/>
        <w:bidi w:val="0"/>
        <w:spacing w:before="0" w:beforeLines="0" w:after="0" w:afterLines="0" w:line="560" w:lineRule="exact"/>
        <w:jc w:val="both"/>
        <w:outlineLvl w:val="9"/>
        <w:rPr>
          <w:rFonts w:hint="eastAsia"/>
          <w:color w:val="auto"/>
          <w:u w:val="none"/>
          <w:lang w:val="en-US" w:eastAsia="zh-CN"/>
        </w:rPr>
      </w:pPr>
    </w:p>
    <w:p w14:paraId="78DD91D9">
      <w:pPr>
        <w:pageBreakBefore w:val="0"/>
        <w:numPr>
          <w:ilvl w:val="0"/>
          <w:numId w:val="2"/>
        </w:numPr>
        <w:wordWrap/>
        <w:overflowPunct/>
        <w:topLinePunct w:val="0"/>
        <w:bidi w:val="0"/>
        <w:spacing w:line="560" w:lineRule="exact"/>
        <w:ind w:firstLine="640" w:firstLineChars="200"/>
        <w:rPr>
          <w:rFonts w:hint="eastAsia" w:eastAsia="仿宋_GB2312" w:cs="Times New Roman"/>
          <w:color w:val="auto"/>
          <w:u w:val="none"/>
          <w:lang w:val="en-US" w:eastAsia="zh-CN"/>
        </w:rPr>
      </w:pPr>
      <w:r>
        <w:rPr>
          <w:rFonts w:hint="eastAsia" w:ascii="仿宋_GB2312" w:hAnsi="仿宋_GB2312" w:cs="仿宋_GB2312"/>
          <w:color w:val="auto"/>
          <w:u w:val="none"/>
          <w:lang w:val="en-US" w:eastAsia="zh-CN"/>
        </w:rPr>
        <w:t xml:space="preserve">  公共数据资源登记工作应当遵循依法合规、公开透明、标准规范、安全高效的原则。  </w:t>
      </w:r>
    </w:p>
    <w:p w14:paraId="735BD649">
      <w:pPr>
        <w:pageBreakBefore w:val="0"/>
        <w:numPr>
          <w:ilvl w:val="0"/>
          <w:numId w:val="2"/>
        </w:numPr>
        <w:wordWrap/>
        <w:overflowPunct/>
        <w:topLinePunct w:val="0"/>
        <w:bidi w:val="0"/>
        <w:spacing w:line="560" w:lineRule="exact"/>
        <w:ind w:firstLine="640" w:firstLineChars="200"/>
        <w:rPr>
          <w:rFonts w:hint="eastAsia" w:eastAsia="仿宋_GB2312" w:cs="Times New Roman"/>
          <w:color w:val="auto"/>
          <w:u w:val="none"/>
          <w:lang w:val="en-US" w:eastAsia="zh-CN"/>
        </w:rPr>
      </w:pPr>
      <w:r>
        <w:rPr>
          <w:rFonts w:hint="eastAsia" w:ascii="仿宋_GB2312" w:hAnsi="仿宋_GB2312" w:cs="仿宋_GB2312"/>
          <w:color w:val="auto"/>
          <w:u w:val="none"/>
          <w:lang w:val="en-US" w:eastAsia="zh-CN"/>
        </w:rPr>
        <w:t xml:space="preserve">  </w:t>
      </w:r>
      <w:r>
        <w:rPr>
          <w:rFonts w:hint="eastAsia"/>
          <w:color w:val="auto"/>
          <w:u w:val="none"/>
        </w:rPr>
        <w:t>直接持有或管理公共数据资源的</w:t>
      </w:r>
      <w:r>
        <w:rPr>
          <w:rFonts w:hint="eastAsia" w:ascii="仿宋_GB2312" w:hAnsi="仿宋_GB2312" w:eastAsia="仿宋_GB2312" w:cs="仿宋_GB2312"/>
          <w:color w:val="auto"/>
          <w:sz w:val="32"/>
          <w:szCs w:val="32"/>
          <w:u w:val="none"/>
        </w:rPr>
        <w:t>党政机关和事业单位</w:t>
      </w:r>
      <w:r>
        <w:rPr>
          <w:rFonts w:hint="eastAsia"/>
          <w:color w:val="auto"/>
          <w:highlight w:val="none"/>
          <w:u w:val="none"/>
        </w:rPr>
        <w:t>，</w:t>
      </w:r>
      <w:r>
        <w:rPr>
          <w:rFonts w:hint="eastAsia"/>
          <w:color w:val="auto"/>
          <w:highlight w:val="none"/>
          <w:u w:val="none"/>
          <w:lang w:val="en-US" w:eastAsia="zh-CN"/>
        </w:rPr>
        <w:t>应</w:t>
      </w:r>
      <w:r>
        <w:rPr>
          <w:rFonts w:hint="eastAsia"/>
          <w:color w:val="auto"/>
          <w:highlight w:val="none"/>
          <w:u w:val="none"/>
        </w:rPr>
        <w:t>对纳入授权运营范围的公共数据</w:t>
      </w:r>
      <w:r>
        <w:rPr>
          <w:rFonts w:hint="eastAsia"/>
          <w:color w:val="auto"/>
          <w:u w:val="none"/>
        </w:rPr>
        <w:t>资源进行登记</w:t>
      </w:r>
      <w:r>
        <w:rPr>
          <w:rFonts w:hint="eastAsia" w:cs="Times New Roman"/>
          <w:color w:val="auto"/>
          <w:u w:val="none"/>
          <w:lang w:eastAsia="zh-CN"/>
        </w:rPr>
        <w:t>，鼓励对未纳入授权运营范围的公共数据资源进行登记，</w:t>
      </w:r>
      <w:r>
        <w:rPr>
          <w:rFonts w:hint="eastAsia" w:ascii="仿宋_GB2312" w:hAnsi="仿宋_GB2312" w:eastAsia="仿宋_GB2312" w:cs="仿宋_GB2312"/>
          <w:color w:val="auto"/>
          <w:sz w:val="32"/>
          <w:szCs w:val="32"/>
          <w:u w:val="none"/>
        </w:rPr>
        <w:t>包括但不限于已面向社会开放的政务数据等</w:t>
      </w:r>
      <w:r>
        <w:rPr>
          <w:rFonts w:hint="eastAsia" w:cs="Times New Roman"/>
          <w:color w:val="auto"/>
          <w:u w:val="none"/>
          <w:lang w:eastAsia="zh-CN"/>
        </w:rPr>
        <w:t>。</w:t>
      </w:r>
    </w:p>
    <w:p w14:paraId="2C51D216">
      <w:pPr>
        <w:pageBreakBefore w:val="0"/>
        <w:wordWrap/>
        <w:overflowPunct/>
        <w:topLinePunct w:val="0"/>
        <w:bidi w:val="0"/>
        <w:spacing w:line="560" w:lineRule="exact"/>
        <w:ind w:firstLine="640" w:firstLineChars="200"/>
        <w:rPr>
          <w:rFonts w:hint="default"/>
          <w:color w:val="auto"/>
          <w:u w:val="none"/>
          <w:lang w:val="en-US" w:eastAsia="zh-CN"/>
        </w:rPr>
      </w:pPr>
      <w:r>
        <w:rPr>
          <w:rFonts w:hint="default"/>
          <w:color w:val="auto"/>
          <w:u w:val="none"/>
          <w:lang w:val="en-US" w:eastAsia="zh-CN"/>
        </w:rPr>
        <w:t>经授权开展</w:t>
      </w:r>
      <w:r>
        <w:rPr>
          <w:rFonts w:hint="eastAsia"/>
          <w:color w:val="auto"/>
          <w:u w:val="none"/>
          <w:lang w:val="en-US" w:eastAsia="zh-CN"/>
        </w:rPr>
        <w:t>公共数据</w:t>
      </w:r>
      <w:r>
        <w:rPr>
          <w:rFonts w:hint="default"/>
          <w:color w:val="auto"/>
          <w:u w:val="none"/>
          <w:lang w:val="en-US" w:eastAsia="zh-CN"/>
        </w:rPr>
        <w:t>运营活动的</w:t>
      </w:r>
      <w:r>
        <w:rPr>
          <w:rFonts w:hint="eastAsia"/>
          <w:color w:val="auto"/>
          <w:u w:val="none"/>
          <w:lang w:val="en-US" w:eastAsia="zh-CN"/>
        </w:rPr>
        <w:t>单位应当</w:t>
      </w:r>
      <w:r>
        <w:rPr>
          <w:rFonts w:hint="default"/>
          <w:color w:val="auto"/>
          <w:u w:val="none"/>
          <w:lang w:val="en-US" w:eastAsia="zh-CN"/>
        </w:rPr>
        <w:t>对被授权的公共数据资源加工形成的</w:t>
      </w:r>
      <w:r>
        <w:rPr>
          <w:rFonts w:hint="eastAsia"/>
          <w:color w:val="auto"/>
          <w:u w:val="none"/>
          <w:lang w:val="en-US" w:eastAsia="zh-CN"/>
        </w:rPr>
        <w:t>公共数据产品和服务</w:t>
      </w:r>
      <w:r>
        <w:rPr>
          <w:rFonts w:hint="default"/>
          <w:color w:val="auto"/>
          <w:u w:val="none"/>
          <w:lang w:val="en-US" w:eastAsia="zh-CN"/>
        </w:rPr>
        <w:t>进行登记。供水、供气、供电、公共交通等公用企业</w:t>
      </w:r>
      <w:r>
        <w:rPr>
          <w:rFonts w:hint="eastAsia"/>
          <w:color w:val="auto"/>
          <w:u w:val="none"/>
          <w:lang w:val="en-US" w:eastAsia="zh-CN"/>
        </w:rPr>
        <w:t>应当</w:t>
      </w:r>
      <w:r>
        <w:rPr>
          <w:rFonts w:hint="default"/>
          <w:color w:val="auto"/>
          <w:u w:val="none"/>
          <w:lang w:val="en-US" w:eastAsia="zh-CN"/>
        </w:rPr>
        <w:t>对直接持有或管理的公共数据资源及形成的产品和服务进行登记。</w:t>
      </w:r>
    </w:p>
    <w:p w14:paraId="1B147EA8">
      <w:pPr>
        <w:pageBreakBefore w:val="0"/>
        <w:numPr>
          <w:ilvl w:val="0"/>
          <w:numId w:val="2"/>
        </w:numPr>
        <w:wordWrap/>
        <w:overflowPunct/>
        <w:topLinePunct w:val="0"/>
        <w:bidi w:val="0"/>
        <w:spacing w:line="560" w:lineRule="exact"/>
        <w:ind w:firstLine="640" w:firstLineChars="200"/>
        <w:rPr>
          <w:color w:val="auto"/>
          <w:sz w:val="32"/>
          <w:szCs w:val="32"/>
          <w:u w:val="none"/>
        </w:rPr>
      </w:pPr>
      <w:r>
        <w:rPr>
          <w:rFonts w:hint="eastAsia" w:ascii="仿宋_GB2312" w:hAnsi="仿宋_GB2312" w:cs="仿宋_GB2312"/>
          <w:color w:val="auto"/>
          <w:kern w:val="0"/>
          <w:sz w:val="32"/>
          <w:szCs w:val="32"/>
          <w:u w:val="none"/>
          <w:lang w:val="en-US" w:eastAsia="zh-CN" w:bidi="ar"/>
        </w:rPr>
        <w:t xml:space="preserve">  </w:t>
      </w:r>
      <w:r>
        <w:rPr>
          <w:rFonts w:ascii="仿宋_GB2312" w:hAnsi="仿宋_GB2312" w:eastAsia="仿宋_GB2312" w:cs="仿宋_GB2312"/>
          <w:color w:val="auto"/>
          <w:kern w:val="0"/>
          <w:sz w:val="32"/>
          <w:szCs w:val="32"/>
          <w:u w:val="none"/>
          <w:lang w:val="en-US" w:eastAsia="zh-CN" w:bidi="ar"/>
        </w:rPr>
        <w:t>市</w:t>
      </w:r>
      <w:r>
        <w:rPr>
          <w:rFonts w:hint="default" w:ascii="Times New Roman" w:hAnsi="Times New Roman" w:eastAsia="仿宋_GB2312" w:cstheme="minorBidi"/>
          <w:b w:val="0"/>
          <w:bCs w:val="0"/>
          <w:color w:val="auto"/>
          <w:sz w:val="32"/>
          <w:szCs w:val="32"/>
          <w:u w:val="none"/>
        </w:rPr>
        <w:t>数据</w:t>
      </w:r>
      <w:r>
        <w:rPr>
          <w:rFonts w:hint="eastAsia" w:cstheme="minorBidi"/>
          <w:b w:val="0"/>
          <w:bCs w:val="0"/>
          <w:color w:val="auto"/>
          <w:sz w:val="32"/>
          <w:szCs w:val="32"/>
          <w:u w:val="none"/>
          <w:lang w:eastAsia="zh-CN"/>
        </w:rPr>
        <w:t>局</w:t>
      </w:r>
      <w:r>
        <w:rPr>
          <w:rFonts w:ascii="仿宋_GB2312" w:hAnsi="仿宋_GB2312" w:eastAsia="仿宋_GB2312" w:cs="仿宋_GB2312"/>
          <w:color w:val="auto"/>
          <w:kern w:val="0"/>
          <w:sz w:val="32"/>
          <w:szCs w:val="32"/>
          <w:u w:val="none"/>
          <w:lang w:val="en-US" w:eastAsia="zh-CN" w:bidi="ar"/>
        </w:rPr>
        <w:t>负责统筹、协调、监督全市行政区域内公共数据资源登记管理工作。</w:t>
      </w:r>
    </w:p>
    <w:p w14:paraId="723A1732">
      <w:pPr>
        <w:pageBreakBefore w:val="0"/>
        <w:numPr>
          <w:ilvl w:val="-1"/>
          <w:numId w:val="0"/>
        </w:numPr>
        <w:wordWrap/>
        <w:overflowPunct/>
        <w:topLinePunct w:val="0"/>
        <w:bidi w:val="0"/>
        <w:spacing w:line="560" w:lineRule="exact"/>
        <w:ind w:leftChars="0" w:firstLine="640" w:firstLineChars="200"/>
        <w:rPr>
          <w:rFonts w:hint="default" w:ascii="Times New Roman" w:hAnsi="Times New Roman" w:cstheme="minorBidi"/>
          <w:color w:val="auto"/>
          <w:sz w:val="32"/>
          <w:szCs w:val="32"/>
          <w:u w:val="none"/>
        </w:rPr>
      </w:pPr>
      <w:r>
        <w:rPr>
          <w:rFonts w:hint="eastAsia" w:cstheme="minorBidi"/>
          <w:color w:val="auto"/>
          <w:sz w:val="32"/>
          <w:szCs w:val="32"/>
          <w:u w:val="none"/>
          <w:lang w:eastAsia="zh-CN"/>
        </w:rPr>
        <w:t>市数据发展</w:t>
      </w:r>
      <w:r>
        <w:rPr>
          <w:rFonts w:hint="default" w:cstheme="minorBidi"/>
          <w:color w:val="auto"/>
          <w:sz w:val="32"/>
          <w:szCs w:val="32"/>
          <w:u w:val="none"/>
        </w:rPr>
        <w:t>服务中心</w:t>
      </w:r>
      <w:r>
        <w:rPr>
          <w:rFonts w:hint="eastAsia" w:cstheme="minorBidi"/>
          <w:i w:val="0"/>
          <w:iCs w:val="0"/>
          <w:caps w:val="0"/>
          <w:color w:val="auto"/>
          <w:spacing w:val="0"/>
          <w:sz w:val="32"/>
          <w:szCs w:val="32"/>
          <w:u w:val="none"/>
          <w:shd w:val="clear" w:fill="auto"/>
          <w:lang w:eastAsia="zh-CN"/>
        </w:rPr>
        <w:t>作为市</w:t>
      </w:r>
      <w:r>
        <w:rPr>
          <w:rFonts w:hint="eastAsia" w:ascii="Times New Roman" w:hAnsi="Times New Roman" w:eastAsia="仿宋_GB2312" w:cstheme="minorBidi"/>
          <w:i w:val="0"/>
          <w:iCs w:val="0"/>
          <w:caps w:val="0"/>
          <w:color w:val="auto"/>
          <w:spacing w:val="0"/>
          <w:sz w:val="32"/>
          <w:szCs w:val="32"/>
          <w:u w:val="none"/>
          <w:shd w:val="clear" w:fill="auto"/>
        </w:rPr>
        <w:t>级公共数据资源登记机构，</w:t>
      </w:r>
      <w:r>
        <w:rPr>
          <w:rFonts w:hint="default" w:ascii="Times New Roman" w:hAnsi="Times New Roman" w:cstheme="minorBidi"/>
          <w:color w:val="auto"/>
          <w:sz w:val="32"/>
          <w:szCs w:val="32"/>
          <w:u w:val="none"/>
        </w:rPr>
        <w:t>建立健全本地区公共数据资源登记管理制度</w:t>
      </w:r>
      <w:r>
        <w:rPr>
          <w:rFonts w:hint="eastAsia" w:cstheme="minorBidi"/>
          <w:color w:val="auto"/>
          <w:sz w:val="32"/>
          <w:szCs w:val="32"/>
          <w:u w:val="none"/>
          <w:lang w:eastAsia="zh-CN"/>
        </w:rPr>
        <w:t>，</w:t>
      </w:r>
      <w:r>
        <w:rPr>
          <w:rFonts w:hint="default" w:ascii="Times New Roman" w:hAnsi="Times New Roman" w:cstheme="minorBidi"/>
          <w:color w:val="auto"/>
          <w:sz w:val="32"/>
          <w:szCs w:val="32"/>
          <w:u w:val="none"/>
        </w:rPr>
        <w:t>依托</w:t>
      </w:r>
      <w:r>
        <w:rPr>
          <w:rFonts w:hint="eastAsia" w:cstheme="minorBidi"/>
          <w:color w:val="auto"/>
          <w:sz w:val="32"/>
          <w:szCs w:val="32"/>
          <w:u w:val="none"/>
          <w:lang w:eastAsia="zh-CN"/>
        </w:rPr>
        <w:t>省</w:t>
      </w:r>
      <w:r>
        <w:rPr>
          <w:rFonts w:hint="default" w:ascii="Times New Roman" w:hAnsi="Times New Roman" w:cstheme="minorBidi"/>
          <w:color w:val="auto"/>
          <w:sz w:val="32"/>
          <w:szCs w:val="32"/>
          <w:u w:val="none"/>
        </w:rPr>
        <w:t>公共数据资源登记平台</w:t>
      </w:r>
      <w:r>
        <w:rPr>
          <w:rFonts w:hint="eastAsia" w:cstheme="minorBidi"/>
          <w:color w:val="auto"/>
          <w:sz w:val="32"/>
          <w:szCs w:val="32"/>
          <w:u w:val="none"/>
          <w:lang w:eastAsia="zh-CN"/>
        </w:rPr>
        <w:t>，</w:t>
      </w:r>
      <w:r>
        <w:rPr>
          <w:rFonts w:hint="default" w:ascii="Times New Roman" w:hAnsi="Times New Roman" w:cstheme="minorBidi"/>
          <w:color w:val="auto"/>
          <w:sz w:val="32"/>
          <w:szCs w:val="32"/>
          <w:u w:val="none"/>
        </w:rPr>
        <w:t>向本</w:t>
      </w:r>
      <w:r>
        <w:rPr>
          <w:rFonts w:hint="eastAsia" w:cstheme="minorBidi"/>
          <w:color w:val="auto"/>
          <w:sz w:val="32"/>
          <w:szCs w:val="32"/>
          <w:u w:val="none"/>
          <w:lang w:val="en-US" w:eastAsia="zh-CN"/>
        </w:rPr>
        <w:t>行政</w:t>
      </w:r>
      <w:r>
        <w:rPr>
          <w:rFonts w:hint="default" w:ascii="Times New Roman" w:hAnsi="Times New Roman" w:cstheme="minorBidi"/>
          <w:color w:val="auto"/>
          <w:sz w:val="32"/>
          <w:szCs w:val="32"/>
          <w:u w:val="none"/>
        </w:rPr>
        <w:t>区域内登记主体提供登记服务。</w:t>
      </w:r>
    </w:p>
    <w:p w14:paraId="4C6357EC">
      <w:pPr>
        <w:pageBreakBefore w:val="0"/>
        <w:numPr>
          <w:ilvl w:val="-1"/>
          <w:numId w:val="0"/>
        </w:numPr>
        <w:wordWrap/>
        <w:overflowPunct/>
        <w:topLinePunct w:val="0"/>
        <w:bidi w:val="0"/>
        <w:spacing w:line="560" w:lineRule="exact"/>
        <w:ind w:leftChars="0" w:firstLine="640" w:firstLineChars="200"/>
        <w:rPr>
          <w:rFonts w:hint="eastAsia" w:ascii="Times New Roman" w:hAnsi="Times New Roman" w:eastAsia="仿宋_GB2312" w:cs="Times New Roman"/>
          <w:b w:val="0"/>
          <w:bCs w:val="0"/>
          <w:color w:val="auto"/>
          <w:sz w:val="32"/>
          <w:szCs w:val="32"/>
          <w:highlight w:val="none"/>
          <w:u w:val="none"/>
          <w:lang w:val="en-US" w:eastAsia="zh-CN"/>
        </w:rPr>
      </w:pPr>
      <w:r>
        <w:rPr>
          <w:rFonts w:hint="eastAsia" w:cs="Times New Roman"/>
          <w:color w:val="auto"/>
          <w:sz w:val="32"/>
          <w:szCs w:val="32"/>
          <w:u w:val="none"/>
          <w:lang w:eastAsia="zh-CN"/>
        </w:rPr>
        <w:t>公共管理和服务机构作为登记主体，</w:t>
      </w:r>
      <w:r>
        <w:rPr>
          <w:rFonts w:hint="default" w:ascii="Times New Roman" w:hAnsi="Times New Roman" w:eastAsia="仿宋_GB2312" w:cs="Times New Roman"/>
          <w:b w:val="0"/>
          <w:bCs w:val="0"/>
          <w:color w:val="auto"/>
          <w:sz w:val="32"/>
          <w:szCs w:val="32"/>
          <w:highlight w:val="none"/>
          <w:u w:val="none"/>
          <w:lang w:val="en-US" w:eastAsia="zh-CN"/>
        </w:rPr>
        <w:t>负责</w:t>
      </w:r>
      <w:r>
        <w:rPr>
          <w:rFonts w:hint="eastAsia" w:ascii="Times New Roman" w:hAnsi="Times New Roman" w:eastAsia="仿宋_GB2312" w:cs="Times New Roman"/>
          <w:b w:val="0"/>
          <w:bCs w:val="0"/>
          <w:color w:val="auto"/>
          <w:sz w:val="32"/>
          <w:szCs w:val="32"/>
          <w:highlight w:val="none"/>
          <w:u w:val="none"/>
          <w:lang w:val="en-US" w:eastAsia="zh-CN"/>
        </w:rPr>
        <w:t>统筹</w:t>
      </w:r>
      <w:r>
        <w:rPr>
          <w:rFonts w:hint="default" w:ascii="Times New Roman" w:hAnsi="Times New Roman" w:eastAsia="仿宋_GB2312" w:cs="Times New Roman"/>
          <w:b w:val="0"/>
          <w:bCs w:val="0"/>
          <w:color w:val="auto"/>
          <w:sz w:val="32"/>
          <w:szCs w:val="32"/>
          <w:highlight w:val="none"/>
          <w:u w:val="none"/>
          <w:lang w:val="en-US" w:eastAsia="zh-CN"/>
        </w:rPr>
        <w:t>、推动、监督</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指导本行业公共数据资源依法依规登记</w:t>
      </w:r>
      <w:r>
        <w:rPr>
          <w:rFonts w:hint="eastAsia" w:ascii="Times New Roman" w:hAnsi="Times New Roman" w:eastAsia="仿宋_GB2312" w:cs="Times New Roman"/>
          <w:b w:val="0"/>
          <w:bCs w:val="0"/>
          <w:color w:val="auto"/>
          <w:sz w:val="32"/>
          <w:szCs w:val="32"/>
          <w:highlight w:val="none"/>
          <w:u w:val="none"/>
          <w:lang w:val="en-US" w:eastAsia="zh-CN"/>
        </w:rPr>
        <w:t>。</w:t>
      </w:r>
    </w:p>
    <w:p w14:paraId="14EF5E02">
      <w:pPr>
        <w:pageBreakBefore w:val="0"/>
        <w:numPr>
          <w:ilvl w:val="-1"/>
          <w:numId w:val="0"/>
        </w:numPr>
        <w:wordWrap/>
        <w:overflowPunct/>
        <w:topLinePunct w:val="0"/>
        <w:bidi w:val="0"/>
        <w:spacing w:line="560" w:lineRule="exact"/>
        <w:ind w:leftChars="0" w:firstLine="640" w:firstLineChars="200"/>
        <w:rPr>
          <w:rFonts w:hint="eastAsia" w:ascii="Times New Roman" w:hAnsi="Times New Roman" w:eastAsia="仿宋_GB2312" w:cs="Times New Roman"/>
          <w:b w:val="0"/>
          <w:bCs w:val="0"/>
          <w:color w:val="auto"/>
          <w:sz w:val="32"/>
          <w:szCs w:val="32"/>
          <w:highlight w:val="none"/>
          <w:u w:val="none"/>
          <w:lang w:val="en-US" w:eastAsia="zh-CN"/>
        </w:rPr>
      </w:pPr>
      <w:r>
        <w:rPr>
          <w:rFonts w:ascii="仿宋_GB2312" w:hAnsi="仿宋_GB2312" w:eastAsia="仿宋_GB2312" w:cs="仿宋_GB2312"/>
          <w:color w:val="auto"/>
          <w:kern w:val="0"/>
          <w:sz w:val="32"/>
          <w:szCs w:val="32"/>
          <w:u w:val="none"/>
          <w:lang w:val="en-US" w:eastAsia="zh-CN" w:bidi="ar"/>
        </w:rPr>
        <w:t>各</w:t>
      </w:r>
      <w:r>
        <w:rPr>
          <w:rFonts w:hint="eastAsia" w:ascii="仿宋_GB2312" w:hAnsi="仿宋_GB2312" w:eastAsia="仿宋_GB2312" w:cs="仿宋_GB2312"/>
          <w:color w:val="auto"/>
          <w:kern w:val="0"/>
          <w:sz w:val="32"/>
          <w:szCs w:val="32"/>
          <w:u w:val="none"/>
          <w:lang w:val="en-US" w:eastAsia="zh-CN" w:bidi="ar"/>
        </w:rPr>
        <w:t>县</w:t>
      </w:r>
      <w:r>
        <w:rPr>
          <w:rFonts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t>市、区</w:t>
      </w:r>
      <w:r>
        <w:rPr>
          <w:rFonts w:ascii="仿宋_GB2312" w:hAnsi="仿宋_GB2312" w:eastAsia="仿宋_GB2312" w:cs="仿宋_GB2312"/>
          <w:color w:val="auto"/>
          <w:kern w:val="0"/>
          <w:sz w:val="32"/>
          <w:szCs w:val="32"/>
          <w:u w:val="none"/>
          <w:lang w:val="en-US" w:eastAsia="zh-CN" w:bidi="ar"/>
        </w:rPr>
        <w:t>）数据管理部门负责统筹管理，落实国家、</w:t>
      </w:r>
      <w:r>
        <w:rPr>
          <w:rFonts w:hint="eastAsia" w:ascii="仿宋_GB2312" w:hAnsi="仿宋_GB2312" w:eastAsia="仿宋_GB2312" w:cs="仿宋_GB2312"/>
          <w:color w:val="auto"/>
          <w:kern w:val="0"/>
          <w:sz w:val="32"/>
          <w:szCs w:val="32"/>
          <w:u w:val="none"/>
          <w:lang w:val="en-US" w:eastAsia="zh-CN" w:bidi="ar"/>
        </w:rPr>
        <w:t>省上</w:t>
      </w:r>
      <w:r>
        <w:rPr>
          <w:rFonts w:ascii="仿宋_GB2312" w:hAnsi="仿宋_GB2312" w:eastAsia="仿宋_GB2312" w:cs="仿宋_GB2312"/>
          <w:color w:val="auto"/>
          <w:kern w:val="0"/>
          <w:sz w:val="32"/>
          <w:szCs w:val="32"/>
          <w:u w:val="none"/>
          <w:lang w:val="en-US" w:eastAsia="zh-CN" w:bidi="ar"/>
        </w:rPr>
        <w:t>和我市要求，指导、协调和监督本辖区内公共数据资源登记工作。</w:t>
      </w:r>
    </w:p>
    <w:p w14:paraId="1B90A169">
      <w:pPr>
        <w:pageBreakBefore w:val="0"/>
        <w:numPr>
          <w:ilvl w:val="0"/>
          <w:numId w:val="2"/>
        </w:numPr>
        <w:wordWrap/>
        <w:overflowPunct/>
        <w:topLinePunct w:val="0"/>
        <w:bidi w:val="0"/>
        <w:spacing w:line="560" w:lineRule="exact"/>
        <w:ind w:firstLine="640" w:firstLineChars="200"/>
        <w:rPr>
          <w:rFonts w:hint="eastAsia"/>
          <w:color w:val="auto"/>
          <w:u w:val="none"/>
        </w:rPr>
      </w:pPr>
      <w:r>
        <w:rPr>
          <w:rFonts w:hint="eastAsia" w:ascii="仿宋_GB2312" w:hAnsi="仿宋_GB2312" w:cs="仿宋_GB2312"/>
          <w:color w:val="auto"/>
          <w:u w:val="none"/>
          <w:lang w:val="en-US" w:eastAsia="zh-CN"/>
        </w:rPr>
        <w:t xml:space="preserve">  </w:t>
      </w:r>
      <w:r>
        <w:rPr>
          <w:rFonts w:hint="eastAsia" w:ascii="仿宋_GB2312" w:hAnsi="仿宋_GB2312" w:cs="仿宋_GB2312"/>
          <w:color w:val="auto"/>
          <w:u w:val="none"/>
        </w:rPr>
        <w:t>公共数据资源登记应按照申请、受理、形式审核、公示、赋码等程序开展。公共数据资源登记申请类型主要包括首次登记、变更登记、更正登记、注销登记</w:t>
      </w:r>
      <w:r>
        <w:rPr>
          <w:rFonts w:hint="eastAsia" w:ascii="仿宋_GB2312" w:hAnsi="仿宋_GB2312" w:cs="仿宋_GB2312"/>
          <w:color w:val="auto"/>
          <w:u w:val="none"/>
          <w:lang w:eastAsia="zh-CN"/>
        </w:rPr>
        <w:t>。</w:t>
      </w:r>
    </w:p>
    <w:p w14:paraId="6FCFCC6F">
      <w:pPr>
        <w:pageBreakBefore w:val="0"/>
        <w:numPr>
          <w:ilvl w:val="0"/>
          <w:numId w:val="2"/>
        </w:numPr>
        <w:wordWrap/>
        <w:overflowPunct/>
        <w:topLinePunct w:val="0"/>
        <w:bidi w:val="0"/>
        <w:spacing w:line="560" w:lineRule="exact"/>
        <w:ind w:firstLine="640" w:firstLineChars="200"/>
        <w:rPr>
          <w:rFonts w:hint="default" w:ascii="Times New Roman" w:hAnsi="Times New Roman" w:cstheme="minorBidi"/>
          <w:color w:val="auto"/>
          <w:u w:val="none"/>
        </w:rPr>
      </w:pPr>
      <w:r>
        <w:rPr>
          <w:rFonts w:hint="eastAsia" w:ascii="仿宋_GB2312" w:hAnsi="仿宋_GB2312" w:cs="仿宋_GB2312"/>
          <w:color w:val="auto"/>
          <w:u w:val="none"/>
          <w:lang w:val="en-US" w:eastAsia="zh-CN"/>
        </w:rPr>
        <w:t xml:space="preserve">  </w:t>
      </w:r>
      <w:r>
        <w:rPr>
          <w:rFonts w:hint="eastAsia" w:cs="Times New Roman"/>
          <w:color w:val="auto"/>
          <w:sz w:val="32"/>
          <w:szCs w:val="32"/>
          <w:u w:val="none"/>
          <w:lang w:eastAsia="zh-CN"/>
        </w:rPr>
        <w:t>公共管理和服务机构</w:t>
      </w:r>
      <w:r>
        <w:rPr>
          <w:rFonts w:hint="default" w:ascii="Times New Roman" w:hAnsi="Times New Roman" w:cstheme="minorBidi"/>
          <w:color w:val="auto"/>
          <w:u w:val="none"/>
          <w:lang w:val="en-US" w:eastAsia="zh-CN"/>
        </w:rPr>
        <w:t>在公共数据资源</w:t>
      </w:r>
      <w:r>
        <w:rPr>
          <w:rFonts w:hint="eastAsia" w:cstheme="minorBidi"/>
          <w:color w:val="auto"/>
          <w:u w:val="none"/>
          <w:lang w:val="en-US" w:eastAsia="zh-CN"/>
        </w:rPr>
        <w:t>登记</w:t>
      </w:r>
      <w:r>
        <w:rPr>
          <w:rFonts w:hint="default" w:ascii="Times New Roman" w:hAnsi="Times New Roman" w:cstheme="minorBidi"/>
          <w:color w:val="auto"/>
          <w:u w:val="none"/>
          <w:lang w:val="en-US" w:eastAsia="zh-CN"/>
        </w:rPr>
        <w:t>平台提出登记申请，如实准确提供登记材料，并对登记材料内容的真实性、完整性、合法性、有效性负责。涉及多个主体的，可共同提出登记申请或协商一致后由单独主体提出登记申请。</w:t>
      </w:r>
      <w:r>
        <w:rPr>
          <w:rFonts w:hint="eastAsia" w:cs="Times New Roman"/>
          <w:color w:val="auto"/>
          <w:sz w:val="32"/>
          <w:szCs w:val="32"/>
          <w:u w:val="none"/>
          <w:lang w:eastAsia="zh-CN"/>
        </w:rPr>
        <w:t>公共管理和服务机构</w:t>
      </w:r>
      <w:r>
        <w:rPr>
          <w:rFonts w:hint="default" w:ascii="Times New Roman" w:hAnsi="Times New Roman" w:cstheme="minorBidi"/>
          <w:color w:val="auto"/>
          <w:u w:val="none"/>
          <w:lang w:val="en-US" w:eastAsia="zh-CN"/>
        </w:rPr>
        <w:t>在申请登记前应在保障安全的前提下对公共数据资源进行存证，确保来源可查、加工可控。</w:t>
      </w:r>
    </w:p>
    <w:p w14:paraId="2287467B">
      <w:pPr>
        <w:pageBreakBefore w:val="0"/>
        <w:numPr>
          <w:ilvl w:val="0"/>
          <w:numId w:val="2"/>
        </w:numPr>
        <w:wordWrap/>
        <w:overflowPunct/>
        <w:topLinePunct w:val="0"/>
        <w:bidi w:val="0"/>
        <w:spacing w:line="560" w:lineRule="exact"/>
        <w:ind w:firstLine="640" w:firstLineChars="200"/>
        <w:rPr>
          <w:rFonts w:hint="eastAsia"/>
          <w:color w:val="auto"/>
          <w:u w:val="none"/>
        </w:rPr>
      </w:pPr>
      <w:r>
        <w:rPr>
          <w:rFonts w:hint="eastAsia" w:ascii="仿宋_GB2312" w:hAnsi="仿宋_GB2312" w:cs="仿宋_GB2312"/>
          <w:color w:val="auto"/>
          <w:u w:val="none"/>
          <w:lang w:val="en-US" w:eastAsia="zh-CN"/>
        </w:rPr>
        <w:t xml:space="preserve">  </w:t>
      </w:r>
      <w:r>
        <w:rPr>
          <w:rFonts w:hint="eastAsia" w:cstheme="minorBidi"/>
          <w:color w:val="auto"/>
          <w:sz w:val="32"/>
          <w:szCs w:val="32"/>
          <w:u w:val="none"/>
          <w:lang w:eastAsia="zh-CN"/>
        </w:rPr>
        <w:t>市数据发展</w:t>
      </w:r>
      <w:r>
        <w:rPr>
          <w:rFonts w:hint="default" w:cstheme="minorBidi"/>
          <w:color w:val="auto"/>
          <w:sz w:val="32"/>
          <w:szCs w:val="32"/>
          <w:u w:val="none"/>
        </w:rPr>
        <w:t>服务中心</w:t>
      </w:r>
      <w:r>
        <w:rPr>
          <w:rFonts w:hint="eastAsia" w:ascii="仿宋_GB2312" w:hAnsi="仿宋_GB2312" w:cs="仿宋_GB2312"/>
          <w:color w:val="auto"/>
          <w:u w:val="none"/>
          <w:lang w:val="en-US" w:eastAsia="zh-CN"/>
        </w:rPr>
        <w:t>应当对登记材料内容的完整性、规范性等进行形式审核，自受理之日起20个工作日内完成审核。审核未完成的，应当向登记主体说明原因。形式审核完成后应当将有关登记信息通过登记平台向社会公示，</w:t>
      </w:r>
      <w:r>
        <w:rPr>
          <w:rFonts w:hint="eastAsia" w:ascii="仿宋_GB2312" w:hAnsi="仿宋_GB2312" w:eastAsia="仿宋_GB2312" w:cs="仿宋_GB2312"/>
          <w:i w:val="0"/>
          <w:iCs w:val="0"/>
          <w:caps w:val="0"/>
          <w:color w:val="auto"/>
          <w:spacing w:val="0"/>
          <w:sz w:val="32"/>
          <w:szCs w:val="22"/>
          <w:u w:val="none"/>
          <w:shd w:val="clear" w:fill="auto"/>
        </w:rPr>
        <w:t>公示期为10个工作日。</w:t>
      </w:r>
    </w:p>
    <w:p w14:paraId="17AA3931">
      <w:pPr>
        <w:pageBreakBefore w:val="0"/>
        <w:numPr>
          <w:ilvl w:val="-1"/>
          <w:numId w:val="0"/>
        </w:numPr>
        <w:wordWrap/>
        <w:overflowPunct/>
        <w:topLinePunct w:val="0"/>
        <w:bidi w:val="0"/>
        <w:spacing w:line="560" w:lineRule="exact"/>
        <w:ind w:leftChars="0" w:firstLine="640" w:firstLineChars="200"/>
        <w:rPr>
          <w:rFonts w:hint="eastAsia"/>
          <w:color w:val="auto"/>
          <w:u w:val="none"/>
        </w:rPr>
      </w:pPr>
      <w:r>
        <w:rPr>
          <w:rFonts w:hint="eastAsia" w:ascii="仿宋_GB2312" w:hAnsi="仿宋_GB2312" w:eastAsia="仿宋_GB2312" w:cs="仿宋_GB2312"/>
          <w:i w:val="0"/>
          <w:iCs w:val="0"/>
          <w:caps w:val="0"/>
          <w:color w:val="auto"/>
          <w:spacing w:val="0"/>
          <w:sz w:val="32"/>
          <w:szCs w:val="22"/>
          <w:u w:val="none"/>
          <w:shd w:val="clear" w:fill="auto"/>
        </w:rPr>
        <w:t>登记公示内容主要包括登记主体名称、登记类型、登记数据名称、数据内容简介。公示期满无异议的，登记机构应当按照国家数据局制定的统一编码规范向登记主体发放登记结果查询码。</w:t>
      </w:r>
    </w:p>
    <w:p w14:paraId="14F406A1">
      <w:pPr>
        <w:keepNext w:val="0"/>
        <w:keepLines w:val="0"/>
        <w:pageBreakBefore w:val="0"/>
        <w:widowControl/>
        <w:numPr>
          <w:ilvl w:val="0"/>
          <w:numId w:val="2"/>
        </w:numPr>
        <w:suppressLineNumbers w:val="0"/>
        <w:pBdr>
          <w:top w:val="none" w:color="auto" w:sz="0" w:space="0"/>
          <w:left w:val="none" w:color="auto" w:sz="0" w:space="0"/>
          <w:right w:val="none" w:color="auto" w:sz="0" w:space="0"/>
        </w:pBdr>
        <w:shd w:val="clear"/>
        <w:wordWrap/>
        <w:overflowPunct/>
        <w:topLinePunct w:val="0"/>
        <w:bidi w:val="0"/>
        <w:spacing w:beforeAutospacing="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22"/>
          <w:u w:val="none"/>
          <w:shd w:val="clear" w:fill="auto"/>
        </w:rPr>
      </w:pPr>
      <w:r>
        <w:rPr>
          <w:rFonts w:hint="eastAsia" w:ascii="仿宋_GB2312" w:hAnsi="仿宋_GB2312" w:cs="仿宋_GB2312"/>
          <w:b w:val="0"/>
          <w:bCs w:val="0"/>
          <w:i w:val="0"/>
          <w:iCs w:val="0"/>
          <w:caps w:val="0"/>
          <w:color w:val="auto"/>
          <w:spacing w:val="0"/>
          <w:sz w:val="32"/>
          <w:szCs w:val="22"/>
          <w:u w:val="none"/>
          <w:shd w:val="clear" w:fill="auto"/>
          <w:lang w:val="en-US" w:eastAsia="zh-CN"/>
        </w:rPr>
        <w:t xml:space="preserve">  公共数据资源登记</w:t>
      </w:r>
      <w:r>
        <w:rPr>
          <w:rFonts w:hint="eastAsia" w:ascii="仿宋_GB2312" w:hAnsi="仿宋_GB2312" w:eastAsia="仿宋_GB2312" w:cs="仿宋_GB2312"/>
          <w:b w:val="0"/>
          <w:bCs w:val="0"/>
          <w:i w:val="0"/>
          <w:iCs w:val="0"/>
          <w:caps w:val="0"/>
          <w:color w:val="auto"/>
          <w:spacing w:val="0"/>
          <w:sz w:val="32"/>
          <w:szCs w:val="22"/>
          <w:u w:val="none"/>
          <w:shd w:val="clear" w:fill="auto"/>
        </w:rPr>
        <w:t>公示期内或登记后有异议的，相关当事人应当实名提出异议并提供必要证据材料。</w:t>
      </w:r>
    </w:p>
    <w:p w14:paraId="5B6D2C33">
      <w:pPr>
        <w:keepNext w:val="0"/>
        <w:keepLines w:val="0"/>
        <w:pageBreakBefore w:val="0"/>
        <w:widowControl/>
        <w:numPr>
          <w:ilvl w:val="-1"/>
          <w:numId w:val="0"/>
        </w:numPr>
        <w:suppressLineNumbers w:val="0"/>
        <w:pBdr>
          <w:top w:val="none" w:color="auto" w:sz="0" w:space="0"/>
          <w:left w:val="none" w:color="auto" w:sz="0" w:space="0"/>
          <w:right w:val="none" w:color="auto" w:sz="0" w:space="0"/>
        </w:pBdr>
        <w:shd w:val="clear"/>
        <w:wordWrap/>
        <w:overflowPunct/>
        <w:topLinePunct w:val="0"/>
        <w:bidi w:val="0"/>
        <w:spacing w:beforeAutospacing="0" w:afterAutospacing="0" w:line="560" w:lineRule="exact"/>
        <w:ind w:left="0" w:leftChars="0" w:right="0" w:firstLine="640" w:firstLineChars="200"/>
        <w:jc w:val="left"/>
        <w:rPr>
          <w:rFonts w:hint="eastAsia" w:ascii="仿宋_GB2312" w:hAnsi="仿宋_GB2312" w:eastAsia="仿宋_GB2312" w:cs="仿宋_GB2312"/>
          <w:i w:val="0"/>
          <w:iCs w:val="0"/>
          <w:caps w:val="0"/>
          <w:color w:val="auto"/>
          <w:spacing w:val="0"/>
          <w:sz w:val="32"/>
          <w:szCs w:val="22"/>
          <w:u w:val="none"/>
          <w:shd w:val="clear" w:fill="auto"/>
        </w:rPr>
      </w:pPr>
      <w:r>
        <w:rPr>
          <w:rFonts w:hint="eastAsia" w:ascii="仿宋_GB2312" w:hAnsi="仿宋_GB2312" w:eastAsia="仿宋_GB2312" w:cs="仿宋_GB2312"/>
          <w:b w:val="0"/>
          <w:bCs w:val="0"/>
          <w:i w:val="0"/>
          <w:iCs w:val="0"/>
          <w:caps w:val="0"/>
          <w:color w:val="auto"/>
          <w:spacing w:val="0"/>
          <w:sz w:val="32"/>
          <w:szCs w:val="22"/>
          <w:u w:val="none"/>
          <w:shd w:val="clear" w:fill="auto"/>
        </w:rPr>
        <w:t>登记机构应当在受理异议之日起10个工作日内，核实并作出是否终止或撤销登记的决定</w:t>
      </w:r>
      <w:r>
        <w:rPr>
          <w:rFonts w:hint="eastAsia" w:ascii="仿宋_GB2312" w:hAnsi="仿宋_GB2312" w:cs="仿宋_GB2312"/>
          <w:b w:val="0"/>
          <w:bCs w:val="0"/>
          <w:i w:val="0"/>
          <w:iCs w:val="0"/>
          <w:caps w:val="0"/>
          <w:color w:val="auto"/>
          <w:spacing w:val="0"/>
          <w:sz w:val="32"/>
          <w:szCs w:val="22"/>
          <w:u w:val="none"/>
          <w:shd w:val="clear" w:fill="auto"/>
          <w:lang w:eastAsia="zh-CN"/>
        </w:rPr>
        <w:t>。</w:t>
      </w:r>
      <w:r>
        <w:rPr>
          <w:rFonts w:hint="eastAsia" w:ascii="仿宋_GB2312" w:hAnsi="仿宋_GB2312" w:eastAsia="仿宋_GB2312" w:cs="仿宋_GB2312"/>
          <w:b w:val="0"/>
          <w:bCs w:val="0"/>
          <w:i w:val="0"/>
          <w:iCs w:val="0"/>
          <w:caps w:val="0"/>
          <w:color w:val="auto"/>
          <w:spacing w:val="0"/>
          <w:sz w:val="32"/>
          <w:szCs w:val="22"/>
          <w:u w:val="none"/>
          <w:shd w:val="clear" w:fill="auto"/>
        </w:rPr>
        <w:t>无法核实的，转交至登记主体，登记主体应当在5个工作日内核实并提交证据材料，登记机构根据提交的证据材料形成异议处理结果，并反馈至异议双方</w:t>
      </w:r>
      <w:r>
        <w:rPr>
          <w:rFonts w:hint="eastAsia" w:ascii="仿宋_GB2312" w:hAnsi="仿宋_GB2312" w:cs="仿宋_GB2312"/>
          <w:b w:val="0"/>
          <w:bCs w:val="0"/>
          <w:i w:val="0"/>
          <w:iCs w:val="0"/>
          <w:caps w:val="0"/>
          <w:color w:val="auto"/>
          <w:spacing w:val="0"/>
          <w:sz w:val="32"/>
          <w:szCs w:val="22"/>
          <w:u w:val="none"/>
          <w:shd w:val="clear" w:fill="auto"/>
          <w:lang w:eastAsia="zh-CN"/>
        </w:rPr>
        <w:t>。</w:t>
      </w:r>
      <w:r>
        <w:rPr>
          <w:rFonts w:hint="eastAsia" w:ascii="仿宋_GB2312" w:hAnsi="仿宋_GB2312" w:eastAsia="仿宋_GB2312" w:cs="仿宋_GB2312"/>
          <w:b w:val="0"/>
          <w:bCs w:val="0"/>
          <w:i w:val="0"/>
          <w:iCs w:val="0"/>
          <w:caps w:val="0"/>
          <w:color w:val="auto"/>
          <w:spacing w:val="0"/>
          <w:sz w:val="32"/>
          <w:szCs w:val="22"/>
          <w:u w:val="none"/>
          <w:shd w:val="clear" w:fill="auto"/>
        </w:rPr>
        <w:t>双方不认可异议处理结果的，可自行协商解决或者通过仲裁机构、司法机关处理</w:t>
      </w:r>
      <w:r>
        <w:rPr>
          <w:rFonts w:hint="eastAsia" w:ascii="仿宋_GB2312" w:hAnsi="仿宋_GB2312" w:cs="仿宋_GB2312"/>
          <w:b w:val="0"/>
          <w:bCs w:val="0"/>
          <w:i w:val="0"/>
          <w:iCs w:val="0"/>
          <w:caps w:val="0"/>
          <w:color w:val="auto"/>
          <w:spacing w:val="0"/>
          <w:sz w:val="32"/>
          <w:szCs w:val="22"/>
          <w:u w:val="none"/>
          <w:shd w:val="clear" w:fill="auto"/>
          <w:lang w:eastAsia="zh-CN"/>
        </w:rPr>
        <w:t>。</w:t>
      </w:r>
    </w:p>
    <w:p w14:paraId="3D2F08C4">
      <w:pPr>
        <w:pageBreakBefore w:val="0"/>
        <w:numPr>
          <w:ilvl w:val="0"/>
          <w:numId w:val="2"/>
        </w:numPr>
        <w:wordWrap/>
        <w:overflowPunct/>
        <w:topLinePunct w:val="0"/>
        <w:bidi w:val="0"/>
        <w:spacing w:line="560" w:lineRule="exact"/>
        <w:ind w:firstLine="640" w:firstLineChars="200"/>
        <w:rPr>
          <w:rFonts w:hint="eastAsia"/>
          <w:color w:val="auto"/>
          <w:u w:val="none"/>
        </w:rPr>
      </w:pPr>
      <w:r>
        <w:rPr>
          <w:rFonts w:hint="eastAsia"/>
          <w:color w:val="auto"/>
          <w:u w:val="none"/>
          <w:lang w:val="en-US" w:eastAsia="zh-CN"/>
        </w:rPr>
        <w:t xml:space="preserve">  </w:t>
      </w:r>
      <w:r>
        <w:rPr>
          <w:rFonts w:hint="eastAsia" w:ascii="仿宋_GB2312" w:hAnsi="仿宋_GB2312" w:cs="仿宋_GB2312"/>
          <w:color w:val="auto"/>
          <w:u w:val="none"/>
        </w:rPr>
        <w:t>公共数据资源登记</w:t>
      </w:r>
      <w:r>
        <w:rPr>
          <w:rFonts w:hint="eastAsia"/>
          <w:color w:val="auto"/>
          <w:u w:val="none"/>
        </w:rPr>
        <w:t>结果有效期原则上为三年，自赋码之日起计算。对授权运营范围内的公共</w:t>
      </w:r>
      <w:r>
        <w:rPr>
          <w:rFonts w:hint="eastAsia"/>
          <w:color w:val="auto"/>
          <w:u w:val="none"/>
          <w:lang w:eastAsia="zh-CN"/>
        </w:rPr>
        <w:t>公共数据产品和服务</w:t>
      </w:r>
      <w:r>
        <w:rPr>
          <w:rFonts w:hint="eastAsia"/>
          <w:color w:val="auto"/>
          <w:u w:val="none"/>
        </w:rPr>
        <w:t>登记，根据授权协议运营期限不超过三年的，登记结果有效期以实际运营期限为准。</w:t>
      </w:r>
    </w:p>
    <w:p w14:paraId="36602A72">
      <w:pPr>
        <w:pageBreakBefore w:val="0"/>
        <w:numPr>
          <w:ilvl w:val="0"/>
          <w:numId w:val="2"/>
        </w:numPr>
        <w:wordWrap/>
        <w:overflowPunct/>
        <w:topLinePunct w:val="0"/>
        <w:bidi w:val="0"/>
        <w:spacing w:line="560" w:lineRule="exact"/>
        <w:ind w:firstLine="640" w:firstLineChars="200"/>
        <w:rPr>
          <w:rFonts w:hint="eastAsia"/>
          <w:color w:val="auto"/>
          <w:u w:val="none"/>
          <w:lang w:val="en-US" w:eastAsia="zh-CN"/>
        </w:rPr>
      </w:pPr>
      <w:r>
        <w:rPr>
          <w:rFonts w:hint="eastAsia"/>
          <w:color w:val="auto"/>
          <w:u w:val="none"/>
          <w:lang w:val="en-US" w:eastAsia="zh-CN"/>
        </w:rPr>
        <w:t xml:space="preserve">  市数据局统筹开展我市登记机构服务水平评价工作，建立登记机构监督评价体系，定期评估登记服务质量，包括登记效率、规范性和满意度等，评价完成后将年度评价结果上报省数据和政务服务局备案。</w:t>
      </w:r>
    </w:p>
    <w:p w14:paraId="615476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u w:val="none"/>
          <w:lang w:val="en-US" w:eastAsia="zh-CN"/>
        </w:rPr>
      </w:pPr>
      <w:r>
        <w:rPr>
          <w:rFonts w:hint="eastAsia"/>
          <w:color w:val="auto"/>
          <w:u w:val="none"/>
          <w:lang w:val="en-US" w:eastAsia="zh-CN"/>
        </w:rPr>
        <w:t>登记机构应当每季度向市数据局提交公共数据资源登记自评总结报告。</w:t>
      </w:r>
    </w:p>
    <w:p w14:paraId="6A618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jc w:val="center"/>
        <w:textAlignment w:val="auto"/>
        <w:outlineLvl w:val="0"/>
        <w:rPr>
          <w:rFonts w:hint="eastAsia" w:ascii="仿宋_GB2312" w:hAnsi="仿宋_GB2312" w:eastAsia="仿宋_GB2312" w:cs="仿宋_GB2312"/>
          <w:color w:val="auto"/>
          <w:sz w:val="32"/>
          <w:u w:val="none"/>
          <w:lang w:val="en-US" w:eastAsia="zh-CN"/>
        </w:rPr>
      </w:pPr>
    </w:p>
    <w:p w14:paraId="096D01E7">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outlineLvl w:val="0"/>
        <w:rPr>
          <w:rFonts w:hint="eastAsia" w:ascii="仿宋_GB2312" w:hAnsi="仿宋_GB2312" w:eastAsia="仿宋_GB2312" w:cs="仿宋_GB2312"/>
          <w:color w:val="auto"/>
          <w:sz w:val="32"/>
          <w:u w:val="none"/>
          <w:lang w:val="en-US" w:eastAsia="zh-CN"/>
        </w:rPr>
      </w:pPr>
      <w:bookmarkStart w:id="33" w:name="_Toc1745155863"/>
      <w:r>
        <w:rPr>
          <w:rFonts w:hint="eastAsia" w:ascii="黑体" w:hAnsi="黑体" w:eastAsia="黑体" w:cs="黑体"/>
          <w:snapToGrid/>
          <w:color w:val="auto"/>
          <w:kern w:val="2"/>
          <w:sz w:val="32"/>
          <w:szCs w:val="32"/>
          <w:u w:val="none"/>
          <w:lang w:val="en-US" w:eastAsia="zh-CN"/>
        </w:rPr>
        <w:t>公共数据治理</w:t>
      </w:r>
      <w:bookmarkEnd w:id="33"/>
    </w:p>
    <w:p w14:paraId="66E4472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both"/>
        <w:textAlignment w:val="auto"/>
        <w:outlineLvl w:val="0"/>
        <w:rPr>
          <w:rFonts w:hint="eastAsia" w:ascii="黑体" w:hAnsi="黑体" w:eastAsia="黑体" w:cs="黑体"/>
          <w:snapToGrid/>
          <w:color w:val="auto"/>
          <w:kern w:val="2"/>
          <w:sz w:val="32"/>
          <w:szCs w:val="32"/>
          <w:u w:val="none"/>
          <w:lang w:val="en-US" w:eastAsia="zh-CN"/>
        </w:rPr>
      </w:pPr>
    </w:p>
    <w:p w14:paraId="44987D23">
      <w:pPr>
        <w:pageBreakBefore w:val="0"/>
        <w:numPr>
          <w:ilvl w:val="0"/>
          <w:numId w:val="2"/>
        </w:numPr>
        <w:wordWrap/>
        <w:overflowPunct/>
        <w:topLinePunct w:val="0"/>
        <w:bidi w:val="0"/>
        <w:spacing w:line="560" w:lineRule="exact"/>
        <w:ind w:leftChars="0" w:firstLine="640" w:firstLineChars="200"/>
        <w:rPr>
          <w:rFonts w:ascii="Calibri" w:hAnsi="Calibri" w:cs="Calibri"/>
          <w:i w:val="0"/>
          <w:iCs w:val="0"/>
          <w:caps w:val="0"/>
          <w:color w:val="auto"/>
          <w:spacing w:val="0"/>
          <w:sz w:val="32"/>
          <w:szCs w:val="32"/>
          <w:u w:val="none"/>
        </w:rPr>
      </w:pPr>
      <w:r>
        <w:rPr>
          <w:rFonts w:hint="eastAsia" w:ascii="仿宋_GB2312" w:hAnsi="Calibri" w:cs="仿宋_GB2312"/>
          <w:i w:val="0"/>
          <w:iCs w:val="0"/>
          <w:caps w:val="0"/>
          <w:color w:val="auto"/>
          <w:spacing w:val="0"/>
          <w:sz w:val="32"/>
          <w:szCs w:val="32"/>
          <w:u w:val="none"/>
          <w:shd w:val="clear" w:fill="FFFFFF"/>
          <w:lang w:val="en-US" w:eastAsia="zh-CN"/>
        </w:rPr>
        <w:t xml:space="preserve">  </w:t>
      </w:r>
      <w:r>
        <w:rPr>
          <w:rFonts w:hint="eastAsia" w:ascii="仿宋_GB2312" w:hAnsi="仿宋_GB2312" w:eastAsia="仿宋_GB2312" w:cs="仿宋_GB2312"/>
          <w:color w:val="auto"/>
          <w:sz w:val="32"/>
          <w:u w:val="none"/>
          <w:lang w:val="en-US" w:eastAsia="zh-CN"/>
        </w:rPr>
        <w:t>公共数据治理应当坚持</w:t>
      </w:r>
      <w:r>
        <w:rPr>
          <w:rFonts w:hint="eastAsia" w:ascii="仿宋_GB2312" w:hAnsi="仿宋_GB2312" w:eastAsia="仿宋_GB2312" w:cs="仿宋_GB2312"/>
          <w:color w:val="auto"/>
          <w:sz w:val="32"/>
          <w:highlight w:val="none"/>
          <w:u w:val="none"/>
          <w:lang w:val="en-US" w:eastAsia="zh-CN"/>
        </w:rPr>
        <w:t>“一数一源、依标治理、以用促改”</w:t>
      </w:r>
      <w:r>
        <w:rPr>
          <w:rFonts w:hint="eastAsia" w:ascii="仿宋_GB2312" w:hAnsi="仿宋_GB2312" w:eastAsia="仿宋_GB2312" w:cs="仿宋_GB2312"/>
          <w:color w:val="auto"/>
          <w:sz w:val="32"/>
          <w:u w:val="none"/>
          <w:lang w:val="en-US" w:eastAsia="zh-CN"/>
        </w:rPr>
        <w:t>的原则，确保数据的准确性、完整性、一致性和可靠性。</w:t>
      </w:r>
    </w:p>
    <w:p w14:paraId="3E3B26A1">
      <w:pPr>
        <w:pageBreakBefore w:val="0"/>
        <w:numPr>
          <w:ilvl w:val="0"/>
          <w:numId w:val="0"/>
        </w:numPr>
        <w:wordWrap/>
        <w:overflowPunct/>
        <w:topLinePunct w:val="0"/>
        <w:bidi w:val="0"/>
        <w:spacing w:line="560" w:lineRule="exact"/>
        <w:ind w:firstLine="640" w:firstLineChars="200"/>
        <w:rPr>
          <w:rFonts w:ascii="Calibri" w:hAnsi="Calibri" w:cs="Calibri"/>
          <w:i w:val="0"/>
          <w:iCs w:val="0"/>
          <w:caps w:val="0"/>
          <w:color w:val="auto"/>
          <w:spacing w:val="0"/>
          <w:sz w:val="32"/>
          <w:szCs w:val="32"/>
          <w:u w:val="none"/>
        </w:rPr>
      </w:pPr>
      <w:r>
        <w:rPr>
          <w:rFonts w:hint="eastAsia" w:ascii="仿宋_GB2312" w:hAnsi="Calibri" w:cs="仿宋_GB2312"/>
          <w:i w:val="0"/>
          <w:iCs w:val="0"/>
          <w:caps w:val="0"/>
          <w:color w:val="auto"/>
          <w:spacing w:val="0"/>
          <w:sz w:val="32"/>
          <w:szCs w:val="32"/>
          <w:u w:val="none"/>
          <w:shd w:val="clear" w:fill="FFFFFF"/>
          <w:lang w:eastAsia="zh-CN"/>
        </w:rPr>
        <w:t>市数据局</w:t>
      </w:r>
      <w:r>
        <w:rPr>
          <w:rFonts w:ascii="仿宋_GB2312" w:hAnsi="Calibri" w:eastAsia="仿宋_GB2312" w:cs="仿宋_GB2312"/>
          <w:i w:val="0"/>
          <w:iCs w:val="0"/>
          <w:caps w:val="0"/>
          <w:color w:val="auto"/>
          <w:spacing w:val="0"/>
          <w:sz w:val="32"/>
          <w:szCs w:val="32"/>
          <w:u w:val="none"/>
          <w:shd w:val="clear" w:fill="FFFFFF"/>
        </w:rPr>
        <w:t>建立</w:t>
      </w:r>
      <w:r>
        <w:rPr>
          <w:rFonts w:hint="eastAsia" w:ascii="仿宋_GB2312" w:hAnsi="Calibri" w:cs="仿宋_GB2312"/>
          <w:i w:val="0"/>
          <w:iCs w:val="0"/>
          <w:caps w:val="0"/>
          <w:color w:val="auto"/>
          <w:spacing w:val="0"/>
          <w:sz w:val="32"/>
          <w:szCs w:val="32"/>
          <w:u w:val="none"/>
          <w:shd w:val="clear" w:fill="FFFFFF"/>
          <w:lang w:eastAsia="zh-CN"/>
        </w:rPr>
        <w:t>本行政区域内</w:t>
      </w:r>
      <w:r>
        <w:rPr>
          <w:rFonts w:ascii="仿宋_GB2312" w:hAnsi="Calibri" w:eastAsia="仿宋_GB2312" w:cs="仿宋_GB2312"/>
          <w:i w:val="0"/>
          <w:iCs w:val="0"/>
          <w:caps w:val="0"/>
          <w:color w:val="auto"/>
          <w:spacing w:val="0"/>
          <w:sz w:val="32"/>
          <w:szCs w:val="32"/>
          <w:u w:val="none"/>
          <w:shd w:val="clear" w:fill="FFFFFF"/>
        </w:rPr>
        <w:t>公共数据治理工作机制，</w:t>
      </w:r>
      <w:r>
        <w:rPr>
          <w:rFonts w:hint="eastAsia" w:cs="Times New Roman"/>
          <w:color w:val="auto"/>
          <w:highlight w:val="none"/>
          <w:u w:val="none"/>
          <w:lang w:val="en-US" w:eastAsia="zh-CN"/>
        </w:rPr>
        <w:t>公共管理和服务机构制定本单位公共数据治理标准，</w:t>
      </w:r>
      <w:r>
        <w:rPr>
          <w:rFonts w:ascii="仿宋_GB2312" w:hAnsi="Calibri" w:eastAsia="仿宋_GB2312" w:cs="仿宋_GB2312"/>
          <w:i w:val="0"/>
          <w:iCs w:val="0"/>
          <w:caps w:val="0"/>
          <w:color w:val="auto"/>
          <w:spacing w:val="0"/>
          <w:sz w:val="32"/>
          <w:szCs w:val="32"/>
          <w:u w:val="none"/>
          <w:shd w:val="clear" w:fill="FFFFFF"/>
        </w:rPr>
        <w:t>健全公共数据全流程质量管控体系。</w:t>
      </w:r>
    </w:p>
    <w:p w14:paraId="57B732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u w:val="none"/>
          <w:lang w:val="en-US" w:eastAsia="zh-CN"/>
        </w:rPr>
      </w:pPr>
      <w:r>
        <w:rPr>
          <w:rFonts w:hint="eastAsia"/>
          <w:color w:val="auto"/>
          <w:u w:val="none"/>
          <w:lang w:val="en-US" w:eastAsia="zh-CN"/>
        </w:rPr>
        <w:t>公共管理和服务机构是本单位公共数据质量的责任主体，应当组织开展数据治理工作，对公共数据进行校核、确认并及时更新，建立公共数据质量检查和问题数据追溯纠错机制。</w:t>
      </w:r>
    </w:p>
    <w:p w14:paraId="708B22D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420" w:firstLineChars="200"/>
        <w:textAlignment w:val="auto"/>
        <w:rPr>
          <w:rFonts w:hint="eastAsia" w:cs="Times New Roman"/>
          <w:color w:val="auto"/>
          <w:szCs w:val="32"/>
          <w:u w:val="none"/>
        </w:rPr>
      </w:pPr>
      <w:r>
        <w:rPr>
          <w:rFonts w:hint="eastAsia" w:ascii="Calibri" w:hAnsi="Calibri" w:cs="Calibri"/>
          <w:i w:val="0"/>
          <w:iCs w:val="0"/>
          <w:caps w:val="0"/>
          <w:color w:val="auto"/>
          <w:spacing w:val="0"/>
          <w:sz w:val="21"/>
          <w:szCs w:val="21"/>
          <w:u w:val="none"/>
          <w:lang w:val="en-US" w:eastAsia="zh-CN"/>
        </w:rPr>
        <w:t xml:space="preserve">   </w:t>
      </w:r>
      <w:r>
        <w:rPr>
          <w:rFonts w:hint="eastAsia" w:ascii="仿宋_GB2312" w:hAnsi="仿宋_GB2312" w:eastAsia="仿宋_GB2312" w:cs="仿宋_GB2312"/>
          <w:color w:val="auto"/>
          <w:szCs w:val="32"/>
          <w:u w:val="none"/>
        </w:rPr>
        <w:t>自然人、法人和非法人组织对涉及自身的公共数据有异议或者发现公共数据不准确、不完整的，可以</w:t>
      </w:r>
      <w:r>
        <w:rPr>
          <w:rFonts w:hint="eastAsia" w:ascii="仿宋_GB2312" w:hAnsi="仿宋_GB2312" w:eastAsia="仿宋_GB2312" w:cs="仿宋_GB2312"/>
          <w:color w:val="auto"/>
          <w:sz w:val="32"/>
          <w:highlight w:val="none"/>
          <w:u w:val="none"/>
          <w:lang w:val="en-US" w:eastAsia="zh-CN"/>
        </w:rPr>
        <w:t>及时依托</w:t>
      </w:r>
      <w:r>
        <w:rPr>
          <w:rFonts w:hint="eastAsia" w:ascii="仿宋_GB2312" w:hAnsi="仿宋_GB2312" w:cs="仿宋_GB2312"/>
          <w:color w:val="auto"/>
          <w:sz w:val="32"/>
          <w:highlight w:val="none"/>
          <w:u w:val="none"/>
          <w:lang w:val="en-US" w:eastAsia="zh-CN"/>
        </w:rPr>
        <w:t>市</w:t>
      </w:r>
      <w:r>
        <w:rPr>
          <w:rFonts w:hint="eastAsia" w:ascii="仿宋_GB2312" w:hAnsi="仿宋_GB2312" w:eastAsia="仿宋_GB2312" w:cs="仿宋_GB2312"/>
          <w:color w:val="auto"/>
          <w:sz w:val="32"/>
          <w:highlight w:val="none"/>
          <w:u w:val="none"/>
          <w:lang w:val="en-US" w:eastAsia="zh-CN"/>
        </w:rPr>
        <w:t>公共数据平台向公共数据提供单</w:t>
      </w:r>
      <w:r>
        <w:rPr>
          <w:rFonts w:hint="eastAsia" w:ascii="仿宋_GB2312" w:hAnsi="仿宋_GB2312" w:cs="仿宋_GB2312"/>
          <w:color w:val="auto"/>
          <w:sz w:val="32"/>
          <w:highlight w:val="none"/>
          <w:u w:val="none"/>
          <w:lang w:val="en-US" w:eastAsia="zh-CN"/>
        </w:rPr>
        <w:t>位</w:t>
      </w:r>
      <w:r>
        <w:rPr>
          <w:rFonts w:hint="eastAsia" w:ascii="仿宋_GB2312" w:hAnsi="仿宋_GB2312" w:eastAsia="仿宋_GB2312" w:cs="仿宋_GB2312"/>
          <w:color w:val="auto"/>
          <w:szCs w:val="32"/>
          <w:u w:val="none"/>
        </w:rPr>
        <w:t>向提出校核申请；</w:t>
      </w:r>
      <w:r>
        <w:rPr>
          <w:rFonts w:hint="eastAsia" w:ascii="仿宋_GB2312" w:hAnsi="仿宋_GB2312" w:eastAsia="仿宋_GB2312" w:cs="仿宋_GB2312"/>
          <w:color w:val="auto"/>
          <w:sz w:val="32"/>
          <w:highlight w:val="none"/>
          <w:u w:val="none"/>
          <w:lang w:val="en-US" w:eastAsia="zh-CN"/>
        </w:rPr>
        <w:t>公共数据提供单</w:t>
      </w:r>
      <w:r>
        <w:rPr>
          <w:rFonts w:hint="eastAsia" w:ascii="仿宋_GB2312" w:hAnsi="仿宋_GB2312" w:cs="仿宋_GB2312"/>
          <w:color w:val="auto"/>
          <w:sz w:val="32"/>
          <w:highlight w:val="none"/>
          <w:u w:val="none"/>
          <w:lang w:val="en-US" w:eastAsia="zh-CN"/>
        </w:rPr>
        <w:t>位</w:t>
      </w:r>
      <w:r>
        <w:rPr>
          <w:rFonts w:hint="eastAsia" w:ascii="仿宋_GB2312" w:hAnsi="仿宋_GB2312" w:eastAsia="仿宋_GB2312" w:cs="仿宋_GB2312"/>
          <w:color w:val="auto"/>
          <w:szCs w:val="32"/>
          <w:u w:val="none"/>
        </w:rPr>
        <w:t>应当</w:t>
      </w:r>
      <w:r>
        <w:rPr>
          <w:rFonts w:hint="eastAsia" w:ascii="仿宋_GB2312" w:hAnsi="仿宋_GB2312" w:eastAsia="仿宋_GB2312" w:cs="仿宋_GB2312"/>
          <w:color w:val="auto"/>
          <w:szCs w:val="32"/>
          <w:u w:val="none"/>
          <w:lang w:val="en-US" w:eastAsia="zh-CN"/>
        </w:rPr>
        <w:t>自收到数据校核申请之日起10个工作日内予以核实、更正并反馈校核</w:t>
      </w:r>
      <w:r>
        <w:rPr>
          <w:rFonts w:hint="eastAsia" w:ascii="仿宋_GB2312" w:hAnsi="仿宋_GB2312" w:eastAsia="仿宋_GB2312" w:cs="仿宋_GB2312"/>
          <w:color w:val="auto"/>
          <w:szCs w:val="32"/>
          <w:u w:val="none"/>
        </w:rPr>
        <w:t>处理结果。</w:t>
      </w:r>
    </w:p>
    <w:p w14:paraId="74AAA2F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both"/>
        <w:textAlignment w:val="auto"/>
        <w:outlineLvl w:val="0"/>
        <w:rPr>
          <w:rFonts w:hint="eastAsia" w:ascii="黑体" w:hAnsi="黑体" w:eastAsia="黑体" w:cs="黑体"/>
          <w:snapToGrid/>
          <w:color w:val="auto"/>
          <w:kern w:val="2"/>
          <w:sz w:val="32"/>
          <w:szCs w:val="32"/>
          <w:u w:val="none"/>
          <w:lang w:val="en-US" w:eastAsia="zh-CN"/>
        </w:rPr>
      </w:pPr>
    </w:p>
    <w:p w14:paraId="4B901702">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outlineLvl w:val="0"/>
        <w:rPr>
          <w:rFonts w:hint="eastAsia" w:ascii="仿宋_GB2312" w:hAnsi="仿宋_GB2312" w:eastAsia="仿宋_GB2312" w:cs="仿宋_GB2312"/>
          <w:color w:val="auto"/>
          <w:sz w:val="32"/>
          <w:u w:val="none"/>
          <w:lang w:val="en-US" w:eastAsia="zh-CN"/>
        </w:rPr>
      </w:pPr>
      <w:r>
        <w:rPr>
          <w:rFonts w:hint="eastAsia" w:ascii="仿宋_GB2312" w:hAnsi="仿宋_GB2312" w:cs="仿宋_GB2312"/>
          <w:color w:val="auto"/>
          <w:sz w:val="32"/>
          <w:u w:val="none"/>
          <w:lang w:val="en-US" w:eastAsia="zh-CN"/>
        </w:rPr>
        <w:t xml:space="preserve"> </w:t>
      </w:r>
      <w:bookmarkStart w:id="34" w:name="_Toc1341282668"/>
      <w:r>
        <w:rPr>
          <w:rFonts w:hint="eastAsia" w:ascii="黑体" w:hAnsi="黑体" w:eastAsia="黑体" w:cs="黑体"/>
          <w:color w:val="auto"/>
          <w:sz w:val="32"/>
          <w:u w:val="none"/>
          <w:lang w:val="en-US" w:eastAsia="zh-CN"/>
        </w:rPr>
        <w:t>公共数据共享</w:t>
      </w:r>
      <w:bookmarkEnd w:id="34"/>
    </w:p>
    <w:p w14:paraId="1BD5AFAE">
      <w:pPr>
        <w:keepNext w:val="0"/>
        <w:keepLines w:val="0"/>
        <w:widowControl/>
        <w:suppressLineNumbers w:val="0"/>
        <w:jc w:val="left"/>
        <w:rPr>
          <w:color w:val="auto"/>
          <w:u w:val="none"/>
        </w:rPr>
      </w:pPr>
    </w:p>
    <w:p w14:paraId="3A89232E">
      <w:pPr>
        <w:pageBreakBefore w:val="0"/>
        <w:numPr>
          <w:ilvl w:val="0"/>
          <w:numId w:val="2"/>
        </w:numPr>
        <w:wordWrap/>
        <w:overflowPunct/>
        <w:topLinePunct w:val="0"/>
        <w:bidi w:val="0"/>
        <w:spacing w:line="560" w:lineRule="exact"/>
        <w:ind w:leftChars="0" w:firstLine="640" w:firstLineChars="200"/>
        <w:rPr>
          <w:rFonts w:hint="default" w:ascii="Times New Roman" w:hAnsi="Times New Roman" w:eastAsia="仿宋_GB2312" w:cstheme="minorBidi"/>
          <w:i w:val="0"/>
          <w:iCs w:val="0"/>
          <w:caps w:val="0"/>
          <w:color w:val="auto"/>
          <w:spacing w:val="0"/>
          <w:kern w:val="2"/>
          <w:sz w:val="32"/>
          <w:szCs w:val="22"/>
          <w:u w:val="none"/>
          <w:shd w:val="clear"/>
        </w:rPr>
      </w:pPr>
      <w:r>
        <w:rPr>
          <w:rFonts w:hint="eastAsia" w:cstheme="minorBidi"/>
          <w:i w:val="0"/>
          <w:iCs w:val="0"/>
          <w:caps w:val="0"/>
          <w:color w:val="auto"/>
          <w:spacing w:val="0"/>
          <w:kern w:val="2"/>
          <w:sz w:val="32"/>
          <w:szCs w:val="22"/>
          <w:u w:val="none"/>
          <w:shd w:val="clear"/>
          <w:lang w:val="en-US" w:eastAsia="zh-CN"/>
        </w:rPr>
        <w:t xml:space="preserve">  本章所称公共数据共享，是指本行政区域内政务数据共享。</w:t>
      </w:r>
      <w:r>
        <w:rPr>
          <w:rFonts w:hint="eastAsia" w:cs="Times New Roman"/>
          <w:color w:val="auto"/>
          <w:u w:val="none"/>
          <w:lang w:val="en-US" w:eastAsia="zh-CN"/>
        </w:rPr>
        <w:t>政务</w:t>
      </w:r>
      <w:r>
        <w:rPr>
          <w:rFonts w:hint="eastAsia" w:ascii="Times New Roman" w:hAnsi="Times New Roman" w:eastAsia="仿宋_GB2312" w:cs="Times New Roman"/>
          <w:color w:val="auto"/>
          <w:u w:val="none"/>
          <w:lang w:val="en-US" w:eastAsia="zh-CN"/>
        </w:rPr>
        <w:t>数据共享，是指</w:t>
      </w:r>
      <w:r>
        <w:rPr>
          <w:rFonts w:hint="eastAsia" w:cs="Times New Roman"/>
          <w:color w:val="auto"/>
          <w:u w:val="none"/>
          <w:lang w:val="en-US" w:eastAsia="zh-CN"/>
        </w:rPr>
        <w:t>行业主管部门</w:t>
      </w:r>
      <w:r>
        <w:rPr>
          <w:rFonts w:hint="eastAsia" w:ascii="Times New Roman" w:hAnsi="Times New Roman" w:eastAsia="仿宋_GB2312" w:cs="Times New Roman"/>
          <w:color w:val="auto"/>
          <w:u w:val="none"/>
          <w:lang w:val="en-US" w:eastAsia="zh-CN"/>
        </w:rPr>
        <w:t>因履行</w:t>
      </w:r>
      <w:r>
        <w:rPr>
          <w:rFonts w:hint="eastAsia" w:cs="Times New Roman"/>
          <w:color w:val="auto"/>
          <w:u w:val="none"/>
          <w:lang w:val="en-US" w:eastAsia="zh-CN"/>
        </w:rPr>
        <w:t>法定</w:t>
      </w:r>
      <w:r>
        <w:rPr>
          <w:rFonts w:hint="eastAsia" w:ascii="Times New Roman" w:hAnsi="Times New Roman" w:eastAsia="仿宋_GB2312" w:cs="Times New Roman"/>
          <w:color w:val="auto"/>
          <w:u w:val="none"/>
          <w:lang w:val="en-US" w:eastAsia="zh-CN"/>
        </w:rPr>
        <w:t>职责，使用其他</w:t>
      </w:r>
      <w:r>
        <w:rPr>
          <w:rFonts w:hint="eastAsia" w:cs="Times New Roman"/>
          <w:color w:val="auto"/>
          <w:u w:val="none"/>
          <w:lang w:val="en-US" w:eastAsia="zh-CN"/>
        </w:rPr>
        <w:t>行业主管部门</w:t>
      </w:r>
      <w:r>
        <w:rPr>
          <w:rFonts w:hint="eastAsia" w:ascii="Times New Roman" w:hAnsi="Times New Roman" w:eastAsia="仿宋_GB2312" w:cs="Times New Roman"/>
          <w:color w:val="auto"/>
          <w:u w:val="none"/>
          <w:lang w:val="en-US" w:eastAsia="zh-CN"/>
        </w:rPr>
        <w:t>的</w:t>
      </w:r>
      <w:r>
        <w:rPr>
          <w:rFonts w:hint="eastAsia" w:cs="Times New Roman"/>
          <w:color w:val="auto"/>
          <w:u w:val="none"/>
          <w:lang w:val="en-US" w:eastAsia="zh-CN"/>
        </w:rPr>
        <w:t>政务</w:t>
      </w:r>
      <w:r>
        <w:rPr>
          <w:rFonts w:hint="eastAsia" w:ascii="Times New Roman" w:hAnsi="Times New Roman" w:eastAsia="仿宋_GB2312" w:cs="Times New Roman"/>
          <w:color w:val="auto"/>
          <w:u w:val="none"/>
          <w:lang w:val="en-US" w:eastAsia="zh-CN"/>
        </w:rPr>
        <w:t>数据</w:t>
      </w:r>
      <w:r>
        <w:rPr>
          <w:rFonts w:hint="eastAsia" w:cs="Times New Roman"/>
          <w:color w:val="auto"/>
          <w:u w:val="none"/>
          <w:lang w:val="en-US" w:eastAsia="zh-CN"/>
        </w:rPr>
        <w:t>，</w:t>
      </w:r>
      <w:r>
        <w:rPr>
          <w:rFonts w:hint="eastAsia" w:ascii="Times New Roman" w:hAnsi="Times New Roman" w:eastAsia="仿宋_GB2312" w:cs="Times New Roman"/>
          <w:color w:val="auto"/>
          <w:u w:val="none"/>
          <w:lang w:val="en-US" w:eastAsia="zh-CN"/>
        </w:rPr>
        <w:t>或者</w:t>
      </w:r>
      <w:r>
        <w:rPr>
          <w:rFonts w:hint="eastAsia" w:cs="Times New Roman"/>
          <w:color w:val="auto"/>
          <w:u w:val="none"/>
          <w:lang w:val="en-US" w:eastAsia="zh-CN"/>
        </w:rPr>
        <w:t>向</w:t>
      </w:r>
      <w:r>
        <w:rPr>
          <w:rFonts w:hint="eastAsia" w:ascii="Times New Roman" w:hAnsi="Times New Roman" w:eastAsia="仿宋_GB2312" w:cs="Times New Roman"/>
          <w:color w:val="auto"/>
          <w:u w:val="none"/>
          <w:lang w:val="en-US" w:eastAsia="zh-CN"/>
        </w:rPr>
        <w:t>其他</w:t>
      </w:r>
      <w:r>
        <w:rPr>
          <w:rFonts w:hint="eastAsia" w:cs="Times New Roman"/>
          <w:color w:val="auto"/>
          <w:u w:val="none"/>
          <w:lang w:val="en-US" w:eastAsia="zh-CN"/>
        </w:rPr>
        <w:t>行业主管部门</w:t>
      </w:r>
      <w:r>
        <w:rPr>
          <w:rFonts w:hint="eastAsia" w:ascii="Times New Roman" w:hAnsi="Times New Roman" w:eastAsia="仿宋_GB2312" w:cs="Times New Roman"/>
          <w:color w:val="auto"/>
          <w:u w:val="none"/>
          <w:lang w:val="en-US" w:eastAsia="zh-CN"/>
        </w:rPr>
        <w:t>提供</w:t>
      </w:r>
      <w:r>
        <w:rPr>
          <w:rFonts w:hint="eastAsia" w:cs="Times New Roman"/>
          <w:color w:val="auto"/>
          <w:u w:val="none"/>
          <w:lang w:val="en-US" w:eastAsia="zh-CN"/>
        </w:rPr>
        <w:t>政务</w:t>
      </w:r>
      <w:r>
        <w:rPr>
          <w:rFonts w:hint="eastAsia" w:ascii="Times New Roman" w:hAnsi="Times New Roman" w:eastAsia="仿宋_GB2312" w:cs="Times New Roman"/>
          <w:color w:val="auto"/>
          <w:u w:val="none"/>
          <w:lang w:val="en-US" w:eastAsia="zh-CN"/>
        </w:rPr>
        <w:t>数据的行为</w:t>
      </w:r>
      <w:r>
        <w:rPr>
          <w:rFonts w:hint="eastAsia" w:cs="Times New Roman"/>
          <w:color w:val="auto"/>
          <w:u w:val="none"/>
          <w:lang w:val="en-US" w:eastAsia="zh-CN"/>
        </w:rPr>
        <w:t>。</w:t>
      </w:r>
    </w:p>
    <w:p w14:paraId="01220447">
      <w:pPr>
        <w:pageBreakBefore w:val="0"/>
        <w:numPr>
          <w:ilvl w:val="0"/>
          <w:numId w:val="2"/>
        </w:numPr>
        <w:wordWrap/>
        <w:overflowPunct/>
        <w:topLinePunct w:val="0"/>
        <w:bidi w:val="0"/>
        <w:spacing w:line="560" w:lineRule="exact"/>
        <w:ind w:leftChars="0" w:firstLine="640" w:firstLineChars="200"/>
        <w:rPr>
          <w:rFonts w:hint="default" w:ascii="Times New Roman" w:hAnsi="Times New Roman" w:eastAsia="仿宋_GB2312" w:cstheme="minorBidi"/>
          <w:i w:val="0"/>
          <w:iCs w:val="0"/>
          <w:caps w:val="0"/>
          <w:color w:val="auto"/>
          <w:spacing w:val="0"/>
          <w:kern w:val="2"/>
          <w:sz w:val="32"/>
          <w:szCs w:val="22"/>
          <w:u w:val="none"/>
          <w:shd w:val="clear"/>
        </w:rPr>
      </w:pPr>
      <w:r>
        <w:rPr>
          <w:rFonts w:hint="eastAsia" w:cstheme="minorBidi"/>
          <w:i w:val="0"/>
          <w:iCs w:val="0"/>
          <w:caps w:val="0"/>
          <w:color w:val="auto"/>
          <w:spacing w:val="0"/>
          <w:kern w:val="2"/>
          <w:sz w:val="32"/>
          <w:szCs w:val="22"/>
          <w:u w:val="none"/>
          <w:shd w:val="clear"/>
          <w:lang w:val="en-US" w:eastAsia="zh-CN"/>
        </w:rPr>
        <w:t xml:space="preserve">  </w:t>
      </w:r>
      <w:r>
        <w:rPr>
          <w:rFonts w:hint="eastAsia" w:cs="Times New Roman"/>
          <w:color w:val="auto"/>
          <w:u w:val="none"/>
          <w:lang w:val="en-US" w:eastAsia="zh-CN"/>
        </w:rPr>
        <w:t>政务</w:t>
      </w:r>
      <w:r>
        <w:rPr>
          <w:rFonts w:hint="eastAsia" w:ascii="Times New Roman" w:hAnsi="Times New Roman" w:eastAsia="仿宋_GB2312" w:cs="Times New Roman"/>
          <w:color w:val="auto"/>
          <w:u w:val="none"/>
          <w:lang w:val="en-US" w:eastAsia="zh-CN"/>
        </w:rPr>
        <w:t>数据以共享为原则，不共享为例外。</w:t>
      </w:r>
      <w:r>
        <w:rPr>
          <w:rFonts w:hint="eastAsia" w:cs="Times New Roman"/>
          <w:color w:val="auto"/>
          <w:u w:val="none"/>
          <w:lang w:val="en-US" w:eastAsia="zh-CN"/>
        </w:rPr>
        <w:t>市数据局应当建立健全统一的政务数据共享申请、审批和反馈机制，负责组织实施政务数据共享。</w:t>
      </w:r>
    </w:p>
    <w:p w14:paraId="78D922B3">
      <w:pPr>
        <w:keepNext w:val="0"/>
        <w:keepLines w:val="0"/>
        <w:pageBreakBefore w:val="0"/>
        <w:widowControl/>
        <w:numPr>
          <w:ilvl w:val="-1"/>
          <w:numId w:val="0"/>
        </w:numPr>
        <w:suppressLineNumbers w:val="0"/>
        <w:pBdr>
          <w:top w:val="none" w:color="auto" w:sz="0" w:space="0"/>
          <w:left w:val="none" w:color="auto" w:sz="0" w:space="0"/>
          <w:right w:val="none" w:color="auto" w:sz="0" w:space="0"/>
        </w:pBdr>
        <w:shd w:val="clear"/>
        <w:wordWrap/>
        <w:overflowPunct/>
        <w:topLinePunct w:val="0"/>
        <w:bidi w:val="0"/>
        <w:spacing w:beforeAutospacing="0" w:afterAutospacing="0" w:line="560" w:lineRule="exact"/>
        <w:ind w:left="0" w:right="0" w:firstLine="640" w:firstLineChars="200"/>
        <w:jc w:val="left"/>
        <w:rPr>
          <w:rFonts w:hint="eastAsia" w:cs="Times New Roman"/>
          <w:color w:val="auto"/>
          <w:u w:val="none"/>
        </w:rPr>
      </w:pPr>
      <w:r>
        <w:rPr>
          <w:rFonts w:hint="eastAsia" w:cs="Times New Roman"/>
          <w:color w:val="auto"/>
          <w:u w:val="none"/>
          <w:lang w:eastAsia="zh-CN"/>
        </w:rPr>
        <w:t>行业主管部门</w:t>
      </w:r>
      <w:r>
        <w:rPr>
          <w:rFonts w:hint="eastAsia" w:cs="Times New Roman"/>
          <w:color w:val="auto"/>
          <w:u w:val="none"/>
        </w:rPr>
        <w:t>应当通过</w:t>
      </w:r>
      <w:r>
        <w:rPr>
          <w:rFonts w:hint="eastAsia" w:cs="Times New Roman"/>
          <w:color w:val="auto"/>
          <w:u w:val="none"/>
          <w:lang w:eastAsia="zh-CN"/>
        </w:rPr>
        <w:t>市公共数据平台</w:t>
      </w:r>
      <w:r>
        <w:rPr>
          <w:rFonts w:hint="eastAsia" w:cs="Times New Roman"/>
          <w:color w:val="auto"/>
          <w:u w:val="none"/>
        </w:rPr>
        <w:t>共享数据，不</w:t>
      </w:r>
      <w:r>
        <w:rPr>
          <w:rFonts w:hint="eastAsia" w:cs="Times New Roman"/>
          <w:color w:val="auto"/>
          <w:u w:val="none"/>
          <w:lang w:val="en-US" w:eastAsia="zh-CN"/>
        </w:rPr>
        <w:t>得</w:t>
      </w:r>
      <w:r>
        <w:rPr>
          <w:rFonts w:hint="eastAsia" w:cs="Times New Roman"/>
          <w:color w:val="auto"/>
          <w:u w:val="none"/>
        </w:rPr>
        <w:t>另建新的</w:t>
      </w:r>
      <w:r>
        <w:rPr>
          <w:rFonts w:hint="eastAsia" w:cs="Times New Roman"/>
          <w:color w:val="auto"/>
          <w:u w:val="none"/>
          <w:lang w:eastAsia="zh-CN"/>
        </w:rPr>
        <w:t>政务</w:t>
      </w:r>
      <w:r>
        <w:rPr>
          <w:rFonts w:hint="eastAsia" w:cs="Times New Roman"/>
          <w:color w:val="auto"/>
          <w:u w:val="none"/>
        </w:rPr>
        <w:t>数据共享通道。</w:t>
      </w:r>
    </w:p>
    <w:p w14:paraId="376A26C4">
      <w:pPr>
        <w:pageBreakBefore w:val="0"/>
        <w:numPr>
          <w:ilvl w:val="0"/>
          <w:numId w:val="2"/>
        </w:numPr>
        <w:wordWrap/>
        <w:overflowPunct/>
        <w:topLinePunct w:val="0"/>
        <w:bidi w:val="0"/>
        <w:spacing w:line="560" w:lineRule="exact"/>
        <w:ind w:firstLine="640" w:firstLineChars="200"/>
        <w:rPr>
          <w:rFonts w:cs="Times New Roman"/>
          <w:color w:val="auto"/>
          <w:u w:val="none"/>
        </w:rPr>
      </w:pPr>
      <w:r>
        <w:rPr>
          <w:rFonts w:hint="eastAsia" w:cs="Times New Roman"/>
          <w:color w:val="auto"/>
          <w:u w:val="none"/>
          <w:lang w:val="en-US" w:eastAsia="zh-CN"/>
        </w:rPr>
        <w:t xml:space="preserve">  </w:t>
      </w:r>
      <w:r>
        <w:rPr>
          <w:rFonts w:hint="eastAsia" w:cs="Times New Roman"/>
          <w:color w:val="auto"/>
          <w:u w:val="none"/>
          <w:lang w:eastAsia="zh-CN"/>
        </w:rPr>
        <w:t>政务</w:t>
      </w:r>
      <w:r>
        <w:rPr>
          <w:rFonts w:hint="eastAsia" w:cs="Times New Roman"/>
          <w:color w:val="auto"/>
          <w:u w:val="none"/>
        </w:rPr>
        <w:t>数据按照共享属性分为无条件共享、有条件共享和不予共享三种类型。</w:t>
      </w:r>
    </w:p>
    <w:p w14:paraId="459C088F">
      <w:pPr>
        <w:pageBreakBefore w:val="0"/>
        <w:wordWrap/>
        <w:overflowPunct/>
        <w:topLinePunct w:val="0"/>
        <w:bidi w:val="0"/>
        <w:spacing w:line="560" w:lineRule="exact"/>
        <w:ind w:firstLine="640" w:firstLineChars="200"/>
        <w:rPr>
          <w:rFonts w:hint="eastAsia" w:cs="Times New Roman"/>
          <w:color w:val="auto"/>
          <w:u w:val="none"/>
        </w:rPr>
      </w:pPr>
      <w:r>
        <w:rPr>
          <w:rFonts w:hint="eastAsia" w:cs="Times New Roman"/>
          <w:color w:val="auto"/>
          <w:u w:val="none"/>
        </w:rPr>
        <w:t>（一）无条件共享类</w:t>
      </w:r>
      <w:r>
        <w:rPr>
          <w:rFonts w:hint="eastAsia" w:cs="Times New Roman"/>
          <w:color w:val="auto"/>
          <w:u w:val="none"/>
          <w:lang w:eastAsia="zh-CN"/>
        </w:rPr>
        <w:t>，是指</w:t>
      </w:r>
      <w:r>
        <w:rPr>
          <w:rFonts w:hint="eastAsia" w:cs="Times New Roman"/>
          <w:color w:val="auto"/>
          <w:u w:val="none"/>
        </w:rPr>
        <w:t>可以提供给所有</w:t>
      </w:r>
      <w:r>
        <w:rPr>
          <w:rFonts w:hint="eastAsia" w:cs="Times New Roman"/>
          <w:color w:val="auto"/>
          <w:u w:val="none"/>
          <w:lang w:eastAsia="zh-CN"/>
        </w:rPr>
        <w:t>行业主管部门</w:t>
      </w:r>
      <w:r>
        <w:rPr>
          <w:rFonts w:hint="eastAsia" w:cs="Times New Roman"/>
          <w:color w:val="auto"/>
          <w:u w:val="none"/>
        </w:rPr>
        <w:t>共享使用的</w:t>
      </w:r>
      <w:r>
        <w:rPr>
          <w:rFonts w:hint="eastAsia" w:cs="Times New Roman"/>
          <w:color w:val="auto"/>
          <w:u w:val="none"/>
          <w:lang w:eastAsia="zh-CN"/>
        </w:rPr>
        <w:t>政务数据</w:t>
      </w:r>
      <w:r>
        <w:rPr>
          <w:rFonts w:hint="eastAsia" w:cs="Times New Roman"/>
          <w:color w:val="auto"/>
          <w:u w:val="none"/>
        </w:rPr>
        <w:t>。</w:t>
      </w:r>
    </w:p>
    <w:p w14:paraId="31E235D2">
      <w:pPr>
        <w:pageBreakBefore w:val="0"/>
        <w:numPr>
          <w:ilvl w:val="0"/>
          <w:numId w:val="5"/>
        </w:numPr>
        <w:wordWrap/>
        <w:overflowPunct/>
        <w:topLinePunct w:val="0"/>
        <w:bidi w:val="0"/>
        <w:spacing w:line="560" w:lineRule="exact"/>
        <w:ind w:firstLine="640" w:firstLineChars="200"/>
        <w:rPr>
          <w:rFonts w:hint="eastAsia" w:cs="Times New Roman"/>
          <w:color w:val="auto"/>
          <w:u w:val="none"/>
        </w:rPr>
      </w:pPr>
      <w:r>
        <w:rPr>
          <w:rFonts w:hint="eastAsia" w:cs="Times New Roman"/>
          <w:color w:val="auto"/>
          <w:u w:val="none"/>
        </w:rPr>
        <w:t>有条件共享类</w:t>
      </w:r>
      <w:r>
        <w:rPr>
          <w:rFonts w:hint="eastAsia" w:cs="Times New Roman"/>
          <w:color w:val="auto"/>
          <w:u w:val="none"/>
          <w:lang w:eastAsia="zh-CN"/>
        </w:rPr>
        <w:t>，是指</w:t>
      </w:r>
      <w:r>
        <w:rPr>
          <w:rFonts w:hint="eastAsia" w:cs="Times New Roman"/>
          <w:color w:val="auto"/>
          <w:u w:val="none"/>
        </w:rPr>
        <w:t>可以按照一定条件提供给有关</w:t>
      </w:r>
      <w:r>
        <w:rPr>
          <w:rFonts w:hint="eastAsia" w:cs="Times New Roman"/>
          <w:color w:val="auto"/>
          <w:u w:val="none"/>
          <w:lang w:eastAsia="zh-CN"/>
        </w:rPr>
        <w:t>行业主管部门</w:t>
      </w:r>
      <w:r>
        <w:rPr>
          <w:rFonts w:hint="eastAsia" w:cs="Times New Roman"/>
          <w:color w:val="auto"/>
          <w:u w:val="none"/>
        </w:rPr>
        <w:t>共享使用的</w:t>
      </w:r>
      <w:r>
        <w:rPr>
          <w:rFonts w:hint="eastAsia" w:cs="Times New Roman"/>
          <w:color w:val="auto"/>
          <w:u w:val="none"/>
          <w:lang w:eastAsia="zh-CN"/>
        </w:rPr>
        <w:t>政务数据</w:t>
      </w:r>
      <w:r>
        <w:rPr>
          <w:rFonts w:hint="eastAsia" w:cs="Times New Roman"/>
          <w:color w:val="auto"/>
          <w:u w:val="none"/>
        </w:rPr>
        <w:t>。</w:t>
      </w:r>
    </w:p>
    <w:p w14:paraId="19A84823">
      <w:pPr>
        <w:pageBreakBefore w:val="0"/>
        <w:numPr>
          <w:ilvl w:val="0"/>
          <w:numId w:val="5"/>
        </w:numPr>
        <w:wordWrap/>
        <w:overflowPunct/>
        <w:topLinePunct w:val="0"/>
        <w:bidi w:val="0"/>
        <w:spacing w:line="560" w:lineRule="exact"/>
        <w:ind w:left="0" w:leftChars="0" w:firstLine="640" w:firstLineChars="200"/>
        <w:rPr>
          <w:rFonts w:hint="eastAsia" w:cs="Times New Roman"/>
          <w:color w:val="auto"/>
          <w:u w:val="none"/>
        </w:rPr>
      </w:pPr>
      <w:r>
        <w:rPr>
          <w:rFonts w:hint="eastAsia" w:cs="Times New Roman"/>
          <w:color w:val="auto"/>
          <w:u w:val="none"/>
        </w:rPr>
        <w:t>不予共享类</w:t>
      </w:r>
      <w:r>
        <w:rPr>
          <w:rFonts w:hint="eastAsia" w:cs="Times New Roman"/>
          <w:color w:val="auto"/>
          <w:u w:val="none"/>
          <w:lang w:eastAsia="zh-CN"/>
        </w:rPr>
        <w:t>，是指</w:t>
      </w:r>
      <w:r>
        <w:rPr>
          <w:rFonts w:hint="eastAsia" w:ascii="Times New Roman" w:hAnsi="Times New Roman" w:eastAsia="仿宋_GB2312" w:cs="Times New Roman"/>
          <w:i w:val="0"/>
          <w:iCs w:val="0"/>
          <w:caps w:val="0"/>
          <w:color w:val="auto"/>
          <w:spacing w:val="0"/>
          <w:sz w:val="32"/>
          <w:szCs w:val="22"/>
          <w:u w:val="none"/>
          <w:shd w:val="clear" w:fill="auto"/>
        </w:rPr>
        <w:t>法律、行政法规以及</w:t>
      </w:r>
      <w:r>
        <w:rPr>
          <w:rFonts w:hint="eastAsia" w:cs="Times New Roman"/>
          <w:i w:val="0"/>
          <w:iCs w:val="0"/>
          <w:caps w:val="0"/>
          <w:color w:val="auto"/>
          <w:spacing w:val="0"/>
          <w:sz w:val="32"/>
          <w:szCs w:val="22"/>
          <w:u w:val="none"/>
          <w:shd w:val="clear" w:fill="auto"/>
          <w:lang w:val="en-US" w:eastAsia="zh-CN"/>
        </w:rPr>
        <w:t>国家</w:t>
      </w:r>
      <w:r>
        <w:rPr>
          <w:rFonts w:hint="eastAsia" w:ascii="Times New Roman" w:hAnsi="Times New Roman" w:eastAsia="仿宋_GB2312" w:cs="Times New Roman"/>
          <w:i w:val="0"/>
          <w:iCs w:val="0"/>
          <w:caps w:val="0"/>
          <w:color w:val="auto"/>
          <w:spacing w:val="0"/>
          <w:sz w:val="32"/>
          <w:szCs w:val="22"/>
          <w:u w:val="none"/>
          <w:shd w:val="clear" w:fill="auto"/>
        </w:rPr>
        <w:t>明确规定不能</w:t>
      </w:r>
      <w:r>
        <w:rPr>
          <w:rFonts w:hint="eastAsia" w:cs="Times New Roman"/>
          <w:color w:val="auto"/>
          <w:u w:val="none"/>
        </w:rPr>
        <w:t>提供给其他</w:t>
      </w:r>
      <w:r>
        <w:rPr>
          <w:rFonts w:hint="eastAsia" w:cs="Times New Roman"/>
          <w:color w:val="auto"/>
          <w:u w:val="none"/>
          <w:lang w:eastAsia="zh-CN"/>
        </w:rPr>
        <w:t>行业主管部门</w:t>
      </w:r>
      <w:r>
        <w:rPr>
          <w:rFonts w:hint="eastAsia" w:cs="Times New Roman"/>
          <w:color w:val="auto"/>
          <w:u w:val="none"/>
        </w:rPr>
        <w:t>共享使用的</w:t>
      </w:r>
      <w:r>
        <w:rPr>
          <w:rFonts w:hint="eastAsia" w:cs="Times New Roman"/>
          <w:color w:val="auto"/>
          <w:u w:val="none"/>
          <w:lang w:eastAsia="zh-CN"/>
        </w:rPr>
        <w:t>政务数据</w:t>
      </w:r>
      <w:r>
        <w:rPr>
          <w:rFonts w:hint="eastAsia" w:cs="Times New Roman"/>
          <w:color w:val="auto"/>
          <w:u w:val="none"/>
        </w:rPr>
        <w:t>。</w:t>
      </w:r>
    </w:p>
    <w:p w14:paraId="2EF72F5E">
      <w:pPr>
        <w:pageBreakBefore w:val="0"/>
        <w:numPr>
          <w:ilvl w:val="0"/>
          <w:numId w:val="2"/>
        </w:numPr>
        <w:wordWrap/>
        <w:overflowPunct/>
        <w:topLinePunct w:val="0"/>
        <w:bidi w:val="0"/>
        <w:spacing w:line="560" w:lineRule="exact"/>
        <w:ind w:firstLine="640" w:firstLineChars="200"/>
        <w:rPr>
          <w:rFonts w:hint="default" w:ascii="Times New Roman" w:hAnsi="Times New Roman" w:eastAsia="仿宋_GB2312" w:cstheme="minorBidi"/>
          <w:i w:val="0"/>
          <w:iCs w:val="0"/>
          <w:caps w:val="0"/>
          <w:color w:val="auto"/>
          <w:spacing w:val="0"/>
          <w:sz w:val="32"/>
          <w:szCs w:val="22"/>
          <w:u w:val="none"/>
          <w:shd w:val="clear"/>
        </w:rPr>
      </w:pPr>
      <w:r>
        <w:rPr>
          <w:rFonts w:hint="eastAsia" w:cs="Times New Roman"/>
          <w:color w:val="auto"/>
          <w:u w:val="none"/>
          <w:lang w:val="en-US" w:eastAsia="zh-CN"/>
        </w:rPr>
        <w:t xml:space="preserve">  </w:t>
      </w:r>
      <w:r>
        <w:rPr>
          <w:rFonts w:hint="eastAsia" w:cs="Times New Roman"/>
          <w:color w:val="auto"/>
          <w:u w:val="none"/>
          <w:lang w:eastAsia="zh-CN"/>
        </w:rPr>
        <w:t>行业主管部门</w:t>
      </w:r>
      <w:r>
        <w:rPr>
          <w:rFonts w:hint="default" w:ascii="Times New Roman" w:hAnsi="Times New Roman" w:eastAsia="仿宋_GB2312" w:cstheme="minorBidi"/>
          <w:i w:val="0"/>
          <w:iCs w:val="0"/>
          <w:caps w:val="0"/>
          <w:color w:val="auto"/>
          <w:spacing w:val="0"/>
          <w:sz w:val="32"/>
          <w:szCs w:val="22"/>
          <w:u w:val="none"/>
          <w:shd w:val="clear"/>
        </w:rPr>
        <w:t>应当科学合理确定</w:t>
      </w:r>
      <w:r>
        <w:rPr>
          <w:rFonts w:hint="eastAsia" w:cstheme="minorBidi"/>
          <w:i w:val="0"/>
          <w:iCs w:val="0"/>
          <w:caps w:val="0"/>
          <w:color w:val="auto"/>
          <w:spacing w:val="0"/>
          <w:sz w:val="32"/>
          <w:szCs w:val="22"/>
          <w:u w:val="none"/>
          <w:shd w:val="clear"/>
          <w:lang w:val="en-US" w:eastAsia="zh-CN"/>
        </w:rPr>
        <w:t>政务数据</w:t>
      </w:r>
      <w:r>
        <w:rPr>
          <w:rFonts w:hint="default" w:ascii="Times New Roman" w:hAnsi="Times New Roman" w:eastAsia="仿宋_GB2312" w:cstheme="minorBidi"/>
          <w:i w:val="0"/>
          <w:iCs w:val="0"/>
          <w:caps w:val="0"/>
          <w:color w:val="auto"/>
          <w:spacing w:val="0"/>
          <w:sz w:val="32"/>
          <w:szCs w:val="22"/>
          <w:u w:val="none"/>
          <w:shd w:val="clear"/>
        </w:rPr>
        <w:t>共享属性，不得通过擅自增设条件等方式阻碍、影响数据共享。</w:t>
      </w:r>
    </w:p>
    <w:p w14:paraId="1FF2CE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cs="Times New Roman"/>
          <w:color w:val="auto"/>
          <w:u w:val="none"/>
        </w:rPr>
      </w:pPr>
      <w:r>
        <w:rPr>
          <w:rFonts w:hint="default" w:cs="Times New Roman"/>
          <w:color w:val="auto"/>
          <w:highlight w:val="none"/>
          <w:u w:val="none"/>
          <w:shd w:val="clear" w:fill="auto"/>
        </w:rPr>
        <w:t>列入有条件共享类的，应当</w:t>
      </w:r>
      <w:r>
        <w:rPr>
          <w:rFonts w:hint="default" w:cs="Times New Roman"/>
          <w:color w:val="auto"/>
          <w:highlight w:val="none"/>
          <w:u w:val="none"/>
          <w:shd w:val="clear" w:fill="auto"/>
          <w:lang w:val="en-US" w:eastAsia="zh-CN"/>
        </w:rPr>
        <w:t>在</w:t>
      </w:r>
      <w:r>
        <w:rPr>
          <w:rFonts w:hint="eastAsia" w:cs="Times New Roman"/>
          <w:color w:val="auto"/>
          <w:highlight w:val="none"/>
          <w:u w:val="none"/>
          <w:shd w:val="clear" w:fill="auto"/>
          <w:lang w:val="en-US" w:eastAsia="zh-CN"/>
        </w:rPr>
        <w:t>政务数据</w:t>
      </w:r>
      <w:r>
        <w:rPr>
          <w:rFonts w:hint="default" w:cs="Times New Roman"/>
          <w:color w:val="auto"/>
          <w:highlight w:val="none"/>
          <w:u w:val="none"/>
          <w:shd w:val="clear" w:fill="auto"/>
          <w:lang w:val="en-US" w:eastAsia="zh-CN"/>
        </w:rPr>
        <w:t>目录中列明</w:t>
      </w:r>
      <w:r>
        <w:rPr>
          <w:rFonts w:hint="default" w:ascii="Times New Roman" w:hAnsi="Times New Roman" w:eastAsia="仿宋_GB2312" w:cs="Times New Roman"/>
          <w:i w:val="0"/>
          <w:iCs w:val="0"/>
          <w:caps w:val="0"/>
          <w:color w:val="auto"/>
          <w:spacing w:val="0"/>
          <w:sz w:val="32"/>
          <w:szCs w:val="22"/>
          <w:highlight w:val="none"/>
          <w:u w:val="none"/>
          <w:shd w:val="clear" w:fill="auto"/>
        </w:rPr>
        <w:t>共享范围、使用用途等共享使用条件</w:t>
      </w:r>
      <w:r>
        <w:rPr>
          <w:rFonts w:hint="default" w:cs="Times New Roman"/>
          <w:color w:val="auto"/>
          <w:highlight w:val="none"/>
          <w:u w:val="none"/>
          <w:shd w:val="clear" w:fill="auto"/>
        </w:rPr>
        <w:t>；列入不予共享类的，应当</w:t>
      </w:r>
      <w:r>
        <w:rPr>
          <w:rFonts w:hint="default" w:ascii="Times New Roman" w:hAnsi="Times New Roman" w:eastAsia="仿宋_GB2312" w:cs="Times New Roman"/>
          <w:i w:val="0"/>
          <w:iCs w:val="0"/>
          <w:caps w:val="0"/>
          <w:color w:val="auto"/>
          <w:spacing w:val="0"/>
          <w:sz w:val="32"/>
          <w:szCs w:val="22"/>
          <w:highlight w:val="none"/>
          <w:u w:val="none"/>
          <w:shd w:val="clear" w:fill="auto"/>
        </w:rPr>
        <w:t>在</w:t>
      </w:r>
      <w:r>
        <w:rPr>
          <w:rFonts w:hint="eastAsia" w:cs="Times New Roman"/>
          <w:i w:val="0"/>
          <w:iCs w:val="0"/>
          <w:caps w:val="0"/>
          <w:color w:val="auto"/>
          <w:spacing w:val="0"/>
          <w:sz w:val="32"/>
          <w:szCs w:val="22"/>
          <w:highlight w:val="none"/>
          <w:u w:val="none"/>
          <w:shd w:val="clear" w:fill="auto"/>
          <w:lang w:val="en-US" w:eastAsia="zh-CN"/>
        </w:rPr>
        <w:t>政务数据</w:t>
      </w:r>
      <w:r>
        <w:rPr>
          <w:rFonts w:hint="default" w:ascii="Times New Roman" w:hAnsi="Times New Roman" w:eastAsia="仿宋_GB2312" w:cs="Times New Roman"/>
          <w:i w:val="0"/>
          <w:iCs w:val="0"/>
          <w:caps w:val="0"/>
          <w:color w:val="auto"/>
          <w:spacing w:val="0"/>
          <w:sz w:val="32"/>
          <w:szCs w:val="22"/>
          <w:highlight w:val="none"/>
          <w:u w:val="none"/>
          <w:shd w:val="clear" w:fill="auto"/>
        </w:rPr>
        <w:t>目录中列明理由</w:t>
      </w:r>
      <w:r>
        <w:rPr>
          <w:rFonts w:hint="default" w:ascii="Times New Roman" w:hAnsi="Times New Roman" w:eastAsia="仿宋_GB2312" w:cs="Times New Roman"/>
          <w:i w:val="0"/>
          <w:iCs w:val="0"/>
          <w:caps w:val="0"/>
          <w:color w:val="auto"/>
          <w:spacing w:val="0"/>
          <w:sz w:val="32"/>
          <w:szCs w:val="22"/>
          <w:highlight w:val="none"/>
          <w:u w:val="none"/>
          <w:shd w:val="clear" w:fill="auto"/>
          <w:lang w:eastAsia="zh-CN"/>
        </w:rPr>
        <w:t>，</w:t>
      </w:r>
      <w:r>
        <w:rPr>
          <w:rFonts w:hint="default" w:cs="Times New Roman"/>
          <w:color w:val="auto"/>
          <w:highlight w:val="none"/>
          <w:u w:val="none"/>
          <w:shd w:val="clear" w:fill="auto"/>
        </w:rPr>
        <w:t>提供明确</w:t>
      </w:r>
      <w:r>
        <w:rPr>
          <w:rFonts w:hint="default" w:cs="Times New Roman"/>
          <w:color w:val="auto"/>
          <w:highlight w:val="none"/>
          <w:u w:val="none"/>
          <w:shd w:val="clear" w:fill="auto"/>
          <w:lang w:val="en-US" w:eastAsia="zh-CN"/>
        </w:rPr>
        <w:t>相应</w:t>
      </w:r>
      <w:r>
        <w:rPr>
          <w:rFonts w:hint="default" w:cs="Times New Roman"/>
          <w:color w:val="auto"/>
          <w:highlight w:val="none"/>
          <w:u w:val="none"/>
          <w:shd w:val="clear" w:fill="auto"/>
        </w:rPr>
        <w:t>的法律、法规或者国家有关规定依据。对同级</w:t>
      </w:r>
      <w:r>
        <w:rPr>
          <w:rFonts w:hint="eastAsia" w:cs="Times New Roman"/>
          <w:color w:val="auto"/>
          <w:highlight w:val="none"/>
          <w:u w:val="none"/>
          <w:shd w:val="clear" w:fill="auto"/>
          <w:lang w:eastAsia="zh-CN"/>
        </w:rPr>
        <w:t>行业主管部门</w:t>
      </w:r>
      <w:r>
        <w:rPr>
          <w:rFonts w:hint="default" w:cs="Times New Roman"/>
          <w:color w:val="auto"/>
          <w:highlight w:val="none"/>
          <w:u w:val="none"/>
          <w:shd w:val="clear" w:fill="auto"/>
        </w:rPr>
        <w:t>确定的</w:t>
      </w:r>
      <w:r>
        <w:rPr>
          <w:rFonts w:hint="eastAsia" w:cs="Times New Roman"/>
          <w:color w:val="auto"/>
          <w:highlight w:val="none"/>
          <w:u w:val="none"/>
          <w:shd w:val="clear" w:fill="auto"/>
          <w:lang w:eastAsia="zh-CN"/>
        </w:rPr>
        <w:t>政务数据</w:t>
      </w:r>
      <w:r>
        <w:rPr>
          <w:rFonts w:hint="default" w:cs="Times New Roman"/>
          <w:color w:val="auto"/>
          <w:highlight w:val="none"/>
          <w:u w:val="none"/>
          <w:shd w:val="clear" w:fill="auto"/>
        </w:rPr>
        <w:t>共享属性有异议的，由</w:t>
      </w:r>
      <w:r>
        <w:rPr>
          <w:rFonts w:hint="eastAsia" w:cs="Times New Roman"/>
          <w:color w:val="auto"/>
          <w:highlight w:val="none"/>
          <w:u w:val="none"/>
          <w:shd w:val="clear" w:fill="auto"/>
          <w:lang w:eastAsia="zh-CN"/>
        </w:rPr>
        <w:t>数据管理部门</w:t>
      </w:r>
      <w:r>
        <w:rPr>
          <w:rFonts w:hint="default" w:cs="Times New Roman"/>
          <w:color w:val="auto"/>
          <w:highlight w:val="none"/>
          <w:u w:val="none"/>
          <w:shd w:val="clear" w:fill="auto"/>
        </w:rPr>
        <w:t>协商解决，经协商不能达成一致意见的，报本级人民政府决定。</w:t>
      </w:r>
    </w:p>
    <w:p w14:paraId="44626F1B">
      <w:pPr>
        <w:pageBreakBefore w:val="0"/>
        <w:numPr>
          <w:ilvl w:val="0"/>
          <w:numId w:val="2"/>
        </w:numPr>
        <w:wordWrap/>
        <w:overflowPunct/>
        <w:topLinePunct w:val="0"/>
        <w:bidi w:val="0"/>
        <w:spacing w:line="560" w:lineRule="exact"/>
        <w:ind w:firstLine="640" w:firstLineChars="200"/>
        <w:rPr>
          <w:rFonts w:cs="Times New Roman"/>
          <w:color w:val="auto"/>
          <w:u w:val="none"/>
        </w:rPr>
      </w:pPr>
      <w:r>
        <w:rPr>
          <w:rFonts w:hint="eastAsia" w:cs="Times New Roman"/>
          <w:color w:val="auto"/>
          <w:u w:val="none"/>
          <w:lang w:val="en-US" w:eastAsia="zh-CN"/>
        </w:rPr>
        <w:t xml:space="preserve">  </w:t>
      </w:r>
      <w:r>
        <w:rPr>
          <w:rFonts w:hint="eastAsia" w:ascii="仿宋_GB2312" w:hAnsi="仿宋_GB2312" w:cs="仿宋_GB2312"/>
          <w:color w:val="auto"/>
          <w:u w:val="none"/>
          <w:lang w:eastAsia="zh-CN"/>
        </w:rPr>
        <w:t>政务数据需求部门</w:t>
      </w:r>
      <w:r>
        <w:rPr>
          <w:rFonts w:hint="eastAsia" w:cs="Times New Roman"/>
          <w:color w:val="auto"/>
          <w:u w:val="none"/>
        </w:rPr>
        <w:t>应当</w:t>
      </w:r>
      <w:r>
        <w:rPr>
          <w:rFonts w:hint="eastAsia" w:cs="Times New Roman"/>
          <w:color w:val="auto"/>
          <w:u w:val="none"/>
          <w:lang w:val="en-US" w:eastAsia="zh-CN"/>
        </w:rPr>
        <w:t>根</w:t>
      </w:r>
      <w:r>
        <w:rPr>
          <w:rFonts w:hint="eastAsia" w:cs="Times New Roman"/>
          <w:color w:val="auto"/>
          <w:u w:val="none"/>
        </w:rPr>
        <w:t>据履职需要，按照统一发布的</w:t>
      </w:r>
      <w:r>
        <w:rPr>
          <w:rFonts w:hint="eastAsia" w:cs="Times New Roman"/>
          <w:color w:val="auto"/>
          <w:u w:val="none"/>
          <w:lang w:eastAsia="zh-CN"/>
        </w:rPr>
        <w:t>政务数据目录</w:t>
      </w:r>
      <w:r>
        <w:rPr>
          <w:rFonts w:hint="eastAsia" w:cs="Times New Roman"/>
          <w:color w:val="auto"/>
          <w:u w:val="none"/>
        </w:rPr>
        <w:t>，依法提出</w:t>
      </w:r>
      <w:r>
        <w:rPr>
          <w:rFonts w:hint="eastAsia" w:cs="Times New Roman"/>
          <w:color w:val="auto"/>
          <w:u w:val="none"/>
          <w:lang w:eastAsia="zh-CN"/>
        </w:rPr>
        <w:t>政务数据</w:t>
      </w:r>
      <w:r>
        <w:rPr>
          <w:rFonts w:hint="eastAsia" w:cs="Times New Roman"/>
          <w:color w:val="auto"/>
          <w:u w:val="none"/>
        </w:rPr>
        <w:t>共享申请，</w:t>
      </w:r>
      <w:r>
        <w:rPr>
          <w:rFonts w:hint="eastAsia" w:ascii="Times New Roman" w:hAnsi="Times New Roman" w:eastAsia="仿宋_GB2312" w:cs="Times New Roman"/>
          <w:color w:val="auto"/>
          <w:kern w:val="2"/>
          <w:sz w:val="32"/>
          <w:szCs w:val="22"/>
          <w:u w:val="none"/>
          <w:lang w:val="en-US" w:eastAsia="zh-CN" w:bidi="ar"/>
        </w:rPr>
        <w:t>明确使用依据、使用场景、使用范围、共享方式、使用时限等，并保证共享申请的真实性、合法性和必要性</w:t>
      </w:r>
      <w:r>
        <w:rPr>
          <w:rFonts w:hint="eastAsia" w:cs="Times New Roman"/>
          <w:color w:val="auto"/>
          <w:u w:val="none"/>
        </w:rPr>
        <w:t>。</w:t>
      </w:r>
    </w:p>
    <w:p w14:paraId="2B63C62B">
      <w:pPr>
        <w:pageBreakBefore w:val="0"/>
        <w:numPr>
          <w:ilvl w:val="0"/>
          <w:numId w:val="2"/>
        </w:numPr>
        <w:wordWrap/>
        <w:overflowPunct/>
        <w:topLinePunct w:val="0"/>
        <w:bidi w:val="0"/>
        <w:spacing w:line="560" w:lineRule="exact"/>
        <w:ind w:leftChars="0" w:firstLine="640" w:firstLineChars="200"/>
        <w:rPr>
          <w:rFonts w:hint="eastAsia" w:ascii="仿宋_GB2312" w:hAnsi="仿宋_GB2312" w:eastAsia="仿宋_GB2312" w:cs="仿宋_GB2312"/>
          <w:i w:val="0"/>
          <w:iCs w:val="0"/>
          <w:caps w:val="0"/>
          <w:color w:val="auto"/>
          <w:spacing w:val="0"/>
          <w:sz w:val="32"/>
          <w:szCs w:val="22"/>
          <w:highlight w:val="none"/>
          <w:u w:val="none"/>
          <w:shd w:val="clear" w:fill="auto"/>
          <w:lang w:eastAsia="zh-CN"/>
        </w:rPr>
      </w:pPr>
      <w:r>
        <w:rPr>
          <w:rFonts w:hint="eastAsia" w:cs="Times New Roman"/>
          <w:color w:val="auto"/>
          <w:u w:val="none"/>
          <w:lang w:val="en-US" w:eastAsia="zh-CN"/>
        </w:rPr>
        <w:t xml:space="preserve"> </w:t>
      </w:r>
      <w:r>
        <w:rPr>
          <w:rFonts w:hint="eastAsia" w:cstheme="minorBidi"/>
          <w:color w:val="auto"/>
          <w:u w:val="none"/>
          <w:lang w:val="en-US" w:eastAsia="zh-CN"/>
        </w:rPr>
        <w:t xml:space="preserve"> </w:t>
      </w:r>
      <w:r>
        <w:rPr>
          <w:rFonts w:hint="eastAsia" w:ascii="仿宋_GB2312" w:hAnsi="仿宋_GB2312" w:cs="仿宋_GB2312"/>
          <w:color w:val="auto"/>
          <w:u w:val="none"/>
          <w:lang w:eastAsia="zh-CN"/>
        </w:rPr>
        <w:t>政务数据需求部门</w:t>
      </w:r>
      <w:r>
        <w:rPr>
          <w:rFonts w:hint="eastAsia" w:ascii="仿宋_GB2312" w:hAnsi="仿宋_GB2312" w:eastAsia="仿宋_GB2312" w:cs="仿宋_GB2312"/>
          <w:color w:val="auto"/>
          <w:u w:val="none"/>
          <w:lang w:val="en-US" w:eastAsia="zh-CN"/>
        </w:rPr>
        <w:t>申请的</w:t>
      </w:r>
      <w:r>
        <w:rPr>
          <w:rFonts w:hint="eastAsia" w:ascii="仿宋_GB2312" w:hAnsi="仿宋_GB2312" w:cs="仿宋_GB2312"/>
          <w:color w:val="auto"/>
          <w:u w:val="none"/>
          <w:lang w:val="en-US" w:eastAsia="zh-CN"/>
        </w:rPr>
        <w:t>政务数据</w:t>
      </w:r>
      <w:r>
        <w:rPr>
          <w:rFonts w:hint="eastAsia" w:ascii="仿宋_GB2312" w:hAnsi="仿宋_GB2312" w:eastAsia="仿宋_GB2312" w:cs="仿宋_GB2312"/>
          <w:color w:val="auto"/>
          <w:u w:val="none"/>
          <w:lang w:val="en-US" w:eastAsia="zh-CN"/>
        </w:rPr>
        <w:t>属于无条件共享类的，</w:t>
      </w:r>
      <w:r>
        <w:rPr>
          <w:rFonts w:hint="eastAsia" w:ascii="仿宋_GB2312" w:hAnsi="仿宋_GB2312" w:cs="仿宋_GB2312"/>
          <w:color w:val="auto"/>
          <w:u w:val="none"/>
          <w:lang w:eastAsia="zh-CN"/>
        </w:rPr>
        <w:t>政务数据提供部门</w:t>
      </w:r>
      <w:r>
        <w:rPr>
          <w:rFonts w:hint="eastAsia" w:ascii="仿宋_GB2312" w:hAnsi="仿宋_GB2312" w:eastAsia="仿宋_GB2312" w:cs="仿宋_GB2312"/>
          <w:color w:val="auto"/>
          <w:u w:val="none"/>
        </w:rPr>
        <w:t>应当自收到</w:t>
      </w:r>
      <w:r>
        <w:rPr>
          <w:rFonts w:hint="eastAsia" w:ascii="仿宋_GB2312" w:hAnsi="仿宋_GB2312" w:cs="仿宋_GB2312"/>
          <w:color w:val="auto"/>
          <w:u w:val="none"/>
          <w:lang w:val="en-US" w:eastAsia="zh-CN"/>
        </w:rPr>
        <w:t>政务数据</w:t>
      </w:r>
      <w:r>
        <w:rPr>
          <w:rFonts w:hint="eastAsia" w:ascii="仿宋_GB2312" w:hAnsi="仿宋_GB2312" w:eastAsia="仿宋_GB2312" w:cs="仿宋_GB2312"/>
          <w:color w:val="auto"/>
          <w:u w:val="none"/>
        </w:rPr>
        <w:t>共享申请之</w:t>
      </w:r>
      <w:r>
        <w:rPr>
          <w:rFonts w:hint="eastAsia" w:ascii="仿宋_GB2312" w:hAnsi="仿宋_GB2312" w:eastAsia="仿宋_GB2312" w:cs="仿宋_GB2312"/>
          <w:color w:val="auto"/>
          <w:highlight w:val="none"/>
          <w:u w:val="none"/>
        </w:rPr>
        <w:t>日起1个工作日内作出答复；有条件共享类的，</w:t>
      </w:r>
      <w:r>
        <w:rPr>
          <w:rFonts w:hint="eastAsia" w:ascii="仿宋_GB2312" w:hAnsi="仿宋_GB2312" w:cs="仿宋_GB2312"/>
          <w:color w:val="auto"/>
          <w:highlight w:val="none"/>
          <w:u w:val="none"/>
          <w:lang w:val="en-US" w:eastAsia="zh-CN"/>
        </w:rPr>
        <w:t>政务数据提供部门</w:t>
      </w:r>
      <w:r>
        <w:rPr>
          <w:rFonts w:hint="eastAsia" w:ascii="仿宋_GB2312" w:hAnsi="仿宋_GB2312" w:eastAsia="仿宋_GB2312" w:cs="仿宋_GB2312"/>
          <w:color w:val="auto"/>
          <w:u w:val="none"/>
        </w:rPr>
        <w:t>应当自收到</w:t>
      </w:r>
      <w:r>
        <w:rPr>
          <w:rFonts w:hint="eastAsia" w:ascii="仿宋_GB2312" w:hAnsi="仿宋_GB2312" w:cs="仿宋_GB2312"/>
          <w:color w:val="auto"/>
          <w:u w:val="none"/>
          <w:lang w:eastAsia="zh-CN"/>
        </w:rPr>
        <w:t>政务数据</w:t>
      </w:r>
      <w:r>
        <w:rPr>
          <w:rFonts w:hint="eastAsia" w:ascii="仿宋_GB2312" w:hAnsi="仿宋_GB2312" w:eastAsia="仿宋_GB2312" w:cs="仿宋_GB2312"/>
          <w:color w:val="auto"/>
          <w:u w:val="none"/>
        </w:rPr>
        <w:t>共享申请之日起</w:t>
      </w:r>
      <w:r>
        <w:rPr>
          <w:rFonts w:hint="eastAsia" w:ascii="仿宋_GB2312" w:hAnsi="仿宋_GB2312" w:cs="仿宋_GB2312"/>
          <w:color w:val="auto"/>
          <w:u w:val="none"/>
          <w:lang w:val="en-US" w:eastAsia="zh-CN"/>
        </w:rPr>
        <w:t>10</w:t>
      </w:r>
      <w:r>
        <w:rPr>
          <w:rFonts w:hint="eastAsia" w:ascii="仿宋_GB2312" w:hAnsi="仿宋_GB2312" w:eastAsia="仿宋_GB2312" w:cs="仿宋_GB2312"/>
          <w:color w:val="auto"/>
          <w:u w:val="none"/>
        </w:rPr>
        <w:t>个工作日内作出是否同意共享的答复。符合</w:t>
      </w:r>
      <w:r>
        <w:rPr>
          <w:rFonts w:hint="eastAsia" w:ascii="仿宋_GB2312" w:hAnsi="仿宋_GB2312" w:eastAsia="仿宋_GB2312" w:cs="仿宋_GB2312"/>
          <w:color w:val="auto"/>
          <w:u w:val="none"/>
          <w:lang w:val="en-US" w:eastAsia="zh-CN"/>
        </w:rPr>
        <w:t>共享条件</w:t>
      </w:r>
      <w:r>
        <w:rPr>
          <w:rFonts w:hint="eastAsia" w:ascii="仿宋_GB2312" w:hAnsi="仿宋_GB2312" w:eastAsia="仿宋_GB2312" w:cs="仿宋_GB2312"/>
          <w:color w:val="auto"/>
          <w:u w:val="none"/>
        </w:rPr>
        <w:t>的，</w:t>
      </w:r>
      <w:r>
        <w:rPr>
          <w:rFonts w:hint="eastAsia" w:ascii="仿宋_GB2312" w:hAnsi="仿宋_GB2312" w:eastAsia="仿宋_GB2312" w:cs="仿宋_GB2312"/>
          <w:color w:val="auto"/>
          <w:u w:val="none"/>
          <w:lang w:val="en-US" w:eastAsia="zh-CN"/>
        </w:rPr>
        <w:t>应通过</w:t>
      </w:r>
      <w:r>
        <w:rPr>
          <w:rFonts w:hint="eastAsia" w:ascii="仿宋_GB2312" w:hAnsi="仿宋_GB2312" w:cs="仿宋_GB2312"/>
          <w:color w:val="auto"/>
          <w:u w:val="none"/>
          <w:lang w:val="en-US" w:eastAsia="zh-CN"/>
        </w:rPr>
        <w:t>市公共数据平台</w:t>
      </w:r>
      <w:r>
        <w:rPr>
          <w:rFonts w:hint="eastAsia" w:ascii="仿宋_GB2312" w:hAnsi="仿宋_GB2312" w:eastAsia="仿宋_GB2312" w:cs="仿宋_GB2312"/>
          <w:color w:val="auto"/>
          <w:u w:val="none"/>
          <w:lang w:val="en-US" w:eastAsia="zh-CN"/>
        </w:rPr>
        <w:t>以</w:t>
      </w:r>
      <w:r>
        <w:rPr>
          <w:rFonts w:hint="eastAsia" w:ascii="仿宋_GB2312" w:hAnsi="仿宋_GB2312" w:eastAsia="仿宋_GB2312" w:cs="仿宋_GB2312"/>
          <w:color w:val="auto"/>
          <w:u w:val="none"/>
        </w:rPr>
        <w:t>服务接口、批量交换、文件下载等方式向数据需求部门共享</w:t>
      </w:r>
      <w:r>
        <w:rPr>
          <w:rFonts w:hint="eastAsia" w:ascii="仿宋_GB2312" w:hAnsi="仿宋_GB2312" w:cs="仿宋_GB2312"/>
          <w:color w:val="auto"/>
          <w:u w:val="none"/>
          <w:lang w:eastAsia="zh-CN"/>
        </w:rPr>
        <w:t>政务数据。</w:t>
      </w:r>
      <w:r>
        <w:rPr>
          <w:rFonts w:hint="eastAsia" w:ascii="仿宋_GB2312" w:hAnsi="仿宋_GB2312" w:cs="仿宋_GB2312"/>
          <w:color w:val="auto"/>
          <w:u w:val="none"/>
          <w:lang w:val="en-US" w:eastAsia="zh-CN"/>
        </w:rPr>
        <w:t>政务数据需求部门申请接口类型的，需按照数据管理部门制定的接口规范要求，实现与本单位应用系统的对接；政务数据需求部门申请文件类型的，共享审核通过后自行下载。</w:t>
      </w:r>
    </w:p>
    <w:p w14:paraId="537B2F0E">
      <w:pPr>
        <w:pageBreakBefore w:val="0"/>
        <w:numPr>
          <w:ilvl w:val="-1"/>
          <w:numId w:val="0"/>
        </w:numPr>
        <w:wordWrap/>
        <w:overflowPunct/>
        <w:topLinePunct w:val="0"/>
        <w:bidi w:val="0"/>
        <w:spacing w:line="560" w:lineRule="exact"/>
        <w:ind w:leftChars="0" w:firstLine="640" w:firstLineChars="200"/>
        <w:rPr>
          <w:rFonts w:hint="default" w:cs="Times New Roman"/>
          <w:color w:val="auto"/>
          <w:highlight w:val="none"/>
          <w:u w:val="none"/>
          <w:shd w:val="clear" w:fill="auto"/>
        </w:rPr>
      </w:pPr>
      <w:r>
        <w:rPr>
          <w:rFonts w:hint="eastAsia" w:ascii="仿宋_GB2312" w:hAnsi="仿宋_GB2312" w:eastAsia="仿宋_GB2312" w:cs="仿宋_GB2312"/>
          <w:color w:val="auto"/>
          <w:highlight w:val="none"/>
          <w:u w:val="none"/>
          <w:shd w:val="clear" w:fill="auto"/>
        </w:rPr>
        <w:t>因特</w:t>
      </w:r>
      <w:r>
        <w:rPr>
          <w:rFonts w:hint="eastAsia" w:ascii="仿宋_GB2312" w:hAnsi="仿宋_GB2312" w:eastAsia="仿宋_GB2312" w:cs="仿宋_GB2312"/>
          <w:color w:val="auto"/>
          <w:sz w:val="32"/>
          <w:szCs w:val="32"/>
          <w:highlight w:val="none"/>
          <w:u w:val="none"/>
          <w:shd w:val="clear" w:fill="auto"/>
        </w:rPr>
        <w:t>殊</w:t>
      </w:r>
      <w:r>
        <w:rPr>
          <w:rFonts w:hint="eastAsia" w:ascii="仿宋_GB2312" w:hAnsi="仿宋_GB2312" w:eastAsia="仿宋_GB2312" w:cs="仿宋_GB2312"/>
          <w:color w:val="auto"/>
          <w:highlight w:val="none"/>
          <w:u w:val="none"/>
          <w:shd w:val="clear" w:fill="auto"/>
        </w:rPr>
        <w:t>原因需要延长答复期限的，</w:t>
      </w:r>
      <w:r>
        <w:rPr>
          <w:rFonts w:hint="eastAsia" w:ascii="仿宋_GB2312" w:hAnsi="仿宋_GB2312" w:cs="仿宋_GB2312"/>
          <w:color w:val="auto"/>
          <w:highlight w:val="none"/>
          <w:u w:val="none"/>
          <w:shd w:val="clear" w:fill="auto"/>
          <w:lang w:eastAsia="zh-CN"/>
        </w:rPr>
        <w:t>政务数据提供部门</w:t>
      </w:r>
      <w:r>
        <w:rPr>
          <w:rFonts w:hint="eastAsia" w:ascii="仿宋_GB2312" w:hAnsi="仿宋_GB2312" w:eastAsia="仿宋_GB2312" w:cs="仿宋_GB2312"/>
          <w:color w:val="auto"/>
          <w:highlight w:val="none"/>
          <w:u w:val="none"/>
          <w:shd w:val="clear" w:fill="auto"/>
        </w:rPr>
        <w:t>应当报经同级</w:t>
      </w:r>
      <w:r>
        <w:rPr>
          <w:rFonts w:hint="eastAsia" w:ascii="仿宋_GB2312" w:hAnsi="仿宋_GB2312" w:cs="仿宋_GB2312"/>
          <w:color w:val="auto"/>
          <w:highlight w:val="none"/>
          <w:u w:val="none"/>
          <w:shd w:val="clear" w:fill="auto"/>
          <w:lang w:eastAsia="zh-CN"/>
        </w:rPr>
        <w:t>数据管理部门</w:t>
      </w:r>
      <w:r>
        <w:rPr>
          <w:rFonts w:hint="eastAsia" w:ascii="仿宋_GB2312" w:hAnsi="仿宋_GB2312" w:eastAsia="仿宋_GB2312" w:cs="仿宋_GB2312"/>
          <w:color w:val="auto"/>
          <w:highlight w:val="none"/>
          <w:u w:val="none"/>
          <w:shd w:val="clear" w:fill="auto"/>
        </w:rPr>
        <w:t>同意，并告知</w:t>
      </w:r>
      <w:r>
        <w:rPr>
          <w:rFonts w:hint="eastAsia" w:ascii="仿宋_GB2312" w:hAnsi="仿宋_GB2312" w:cs="仿宋_GB2312"/>
          <w:color w:val="auto"/>
          <w:highlight w:val="none"/>
          <w:u w:val="none"/>
          <w:shd w:val="clear" w:fill="auto"/>
          <w:lang w:eastAsia="zh-CN"/>
        </w:rPr>
        <w:t>政务数据需求部门</w:t>
      </w:r>
      <w:r>
        <w:rPr>
          <w:rFonts w:hint="eastAsia" w:ascii="仿宋_GB2312" w:hAnsi="仿宋_GB2312" w:eastAsia="仿宋_GB2312" w:cs="仿宋_GB2312"/>
          <w:color w:val="auto"/>
          <w:highlight w:val="none"/>
          <w:u w:val="none"/>
          <w:shd w:val="clear" w:fill="auto"/>
        </w:rPr>
        <w:t>，延长的期限最长不得超过10个工作日。</w:t>
      </w:r>
    </w:p>
    <w:p w14:paraId="3508E207">
      <w:pPr>
        <w:pageBreakBefore w:val="0"/>
        <w:numPr>
          <w:ilvl w:val="-1"/>
          <w:numId w:val="0"/>
        </w:numPr>
        <w:wordWrap/>
        <w:overflowPunct/>
        <w:topLinePunct w:val="0"/>
        <w:bidi w:val="0"/>
        <w:spacing w:line="560" w:lineRule="exact"/>
        <w:ind w:firstLine="640" w:firstLineChars="200"/>
        <w:rPr>
          <w:rFonts w:hint="default" w:cs="Times New Roman"/>
          <w:color w:val="auto"/>
          <w:sz w:val="32"/>
          <w:szCs w:val="32"/>
          <w:highlight w:val="none"/>
          <w:u w:val="none"/>
          <w:shd w:val="clear" w:fill="auto"/>
        </w:rPr>
      </w:pPr>
      <w:r>
        <w:rPr>
          <w:rFonts w:hint="eastAsia" w:cs="Times New Roman"/>
          <w:color w:val="auto"/>
          <w:sz w:val="32"/>
          <w:szCs w:val="32"/>
          <w:highlight w:val="none"/>
          <w:u w:val="none"/>
          <w:shd w:val="clear" w:fill="auto"/>
          <w:lang w:val="en-US" w:eastAsia="zh-CN"/>
        </w:rPr>
        <w:t>政务数据需求部门</w:t>
      </w:r>
      <w:r>
        <w:rPr>
          <w:rFonts w:hint="default" w:ascii="Times New Roman" w:hAnsi="Times New Roman" w:eastAsia="仿宋_GB2312" w:cs="Times New Roman"/>
          <w:i w:val="0"/>
          <w:iCs w:val="0"/>
          <w:caps w:val="0"/>
          <w:color w:val="auto"/>
          <w:spacing w:val="0"/>
          <w:sz w:val="32"/>
          <w:szCs w:val="32"/>
          <w:highlight w:val="none"/>
          <w:u w:val="none"/>
          <w:shd w:val="clear" w:fill="auto"/>
        </w:rPr>
        <w:t>提交</w:t>
      </w:r>
      <w:r>
        <w:rPr>
          <w:rFonts w:hint="eastAsia" w:cs="Times New Roman"/>
          <w:i w:val="0"/>
          <w:iCs w:val="0"/>
          <w:caps w:val="0"/>
          <w:color w:val="auto"/>
          <w:spacing w:val="0"/>
          <w:sz w:val="32"/>
          <w:szCs w:val="32"/>
          <w:highlight w:val="none"/>
          <w:u w:val="none"/>
          <w:shd w:val="clear" w:fill="auto"/>
          <w:lang w:val="en-US" w:eastAsia="zh-CN"/>
        </w:rPr>
        <w:t>的政务数据</w:t>
      </w:r>
      <w:r>
        <w:rPr>
          <w:rFonts w:hint="default" w:ascii="Times New Roman" w:hAnsi="Times New Roman" w:eastAsia="仿宋_GB2312" w:cs="Times New Roman"/>
          <w:i w:val="0"/>
          <w:iCs w:val="0"/>
          <w:caps w:val="0"/>
          <w:color w:val="auto"/>
          <w:spacing w:val="0"/>
          <w:sz w:val="32"/>
          <w:szCs w:val="32"/>
          <w:highlight w:val="none"/>
          <w:u w:val="none"/>
          <w:shd w:val="clear" w:fill="auto"/>
          <w:lang w:val="en-US" w:eastAsia="zh-CN"/>
        </w:rPr>
        <w:t>共享</w:t>
      </w:r>
      <w:r>
        <w:rPr>
          <w:rFonts w:hint="default" w:ascii="Times New Roman" w:hAnsi="Times New Roman" w:eastAsia="仿宋_GB2312" w:cs="Times New Roman"/>
          <w:i w:val="0"/>
          <w:iCs w:val="0"/>
          <w:caps w:val="0"/>
          <w:color w:val="auto"/>
          <w:spacing w:val="0"/>
          <w:sz w:val="32"/>
          <w:szCs w:val="32"/>
          <w:highlight w:val="none"/>
          <w:u w:val="none"/>
          <w:shd w:val="clear" w:fill="auto"/>
        </w:rPr>
        <w:t>申请材料不全的，</w:t>
      </w:r>
      <w:r>
        <w:rPr>
          <w:rFonts w:hint="eastAsia" w:cs="Times New Roman"/>
          <w:color w:val="auto"/>
          <w:sz w:val="32"/>
          <w:szCs w:val="32"/>
          <w:highlight w:val="none"/>
          <w:u w:val="none"/>
          <w:shd w:val="clear" w:fill="auto"/>
          <w:lang w:eastAsia="zh-CN"/>
        </w:rPr>
        <w:t>政务数据提供部门</w:t>
      </w:r>
      <w:r>
        <w:rPr>
          <w:rFonts w:hint="default" w:ascii="Times New Roman" w:hAnsi="Times New Roman" w:eastAsia="仿宋_GB2312" w:cs="Times New Roman"/>
          <w:i w:val="0"/>
          <w:iCs w:val="0"/>
          <w:caps w:val="0"/>
          <w:color w:val="auto"/>
          <w:spacing w:val="0"/>
          <w:sz w:val="32"/>
          <w:szCs w:val="32"/>
          <w:highlight w:val="none"/>
          <w:u w:val="none"/>
          <w:shd w:val="clear" w:fill="auto"/>
        </w:rPr>
        <w:t>应当一次性告知其需要补充的材料，不得直接予以拒绝。</w:t>
      </w:r>
    </w:p>
    <w:p w14:paraId="4303E1B5">
      <w:pPr>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u w:val="none"/>
          <w:lang w:val="en-US" w:eastAsia="zh-CN"/>
        </w:rPr>
      </w:pPr>
      <w:r>
        <w:rPr>
          <w:rFonts w:hint="eastAsia" w:ascii="仿宋_GB2312" w:hAnsi="仿宋_GB2312" w:cs="仿宋_GB2312"/>
          <w:color w:val="auto"/>
          <w:sz w:val="32"/>
          <w:u w:val="none"/>
          <w:lang w:val="en-US" w:eastAsia="zh-CN"/>
        </w:rPr>
        <w:t>政务数据提供部门</w:t>
      </w:r>
      <w:r>
        <w:rPr>
          <w:rFonts w:hint="eastAsia" w:ascii="仿宋_GB2312" w:hAnsi="仿宋_GB2312" w:eastAsia="仿宋_GB2312" w:cs="仿宋_GB2312"/>
          <w:color w:val="auto"/>
          <w:sz w:val="32"/>
          <w:u w:val="none"/>
          <w:lang w:val="en-US" w:eastAsia="zh-CN"/>
        </w:rPr>
        <w:t>同意共享的，对于已归集的数据资源应当在</w:t>
      </w:r>
      <w:r>
        <w:rPr>
          <w:rFonts w:hint="eastAsia" w:ascii="仿宋_GB2312" w:hAnsi="仿宋_GB2312" w:eastAsia="仿宋_GB2312" w:cs="仿宋_GB2312"/>
          <w:color w:val="auto"/>
          <w:sz w:val="32"/>
          <w:highlight w:val="none"/>
          <w:u w:val="none"/>
          <w:lang w:val="en-US" w:eastAsia="zh-CN"/>
        </w:rPr>
        <w:t>2</w:t>
      </w:r>
      <w:r>
        <w:rPr>
          <w:rFonts w:hint="eastAsia" w:ascii="仿宋_GB2312" w:hAnsi="仿宋_GB2312" w:eastAsia="仿宋_GB2312" w:cs="仿宋_GB2312"/>
          <w:color w:val="auto"/>
          <w:sz w:val="32"/>
          <w:u w:val="none"/>
          <w:lang w:val="en-US" w:eastAsia="zh-CN"/>
        </w:rPr>
        <w:t>个工作日内完成共享</w:t>
      </w:r>
      <w:r>
        <w:rPr>
          <w:rFonts w:hint="eastAsia" w:ascii="仿宋_GB2312" w:hAnsi="仿宋_GB2312" w:cs="仿宋_GB2312"/>
          <w:color w:val="auto"/>
          <w:sz w:val="32"/>
          <w:u w:val="none"/>
          <w:lang w:val="en-US" w:eastAsia="zh-CN"/>
        </w:rPr>
        <w:t>。</w:t>
      </w:r>
      <w:r>
        <w:rPr>
          <w:rFonts w:hint="eastAsia" w:cs="Times New Roman"/>
          <w:color w:val="auto"/>
          <w:sz w:val="32"/>
          <w:szCs w:val="32"/>
          <w:highlight w:val="none"/>
          <w:u w:val="none"/>
          <w:shd w:val="clear" w:fill="auto"/>
          <w:lang w:eastAsia="zh-CN"/>
        </w:rPr>
        <w:t>对于</w:t>
      </w:r>
      <w:r>
        <w:rPr>
          <w:rFonts w:hint="default" w:cs="Times New Roman"/>
          <w:color w:val="auto"/>
          <w:sz w:val="32"/>
          <w:szCs w:val="32"/>
          <w:highlight w:val="none"/>
          <w:u w:val="none"/>
          <w:shd w:val="clear" w:fill="auto"/>
        </w:rPr>
        <w:t>所需获取数据尚未纳入</w:t>
      </w:r>
      <w:r>
        <w:rPr>
          <w:rFonts w:hint="eastAsia" w:cs="Times New Roman"/>
          <w:color w:val="auto"/>
          <w:sz w:val="32"/>
          <w:szCs w:val="32"/>
          <w:highlight w:val="none"/>
          <w:u w:val="none"/>
          <w:shd w:val="clear" w:fill="auto"/>
          <w:lang w:eastAsia="zh-CN"/>
        </w:rPr>
        <w:t>政务数据目录</w:t>
      </w:r>
      <w:r>
        <w:rPr>
          <w:rFonts w:hint="eastAsia" w:cs="Times New Roman"/>
          <w:color w:val="auto"/>
          <w:sz w:val="32"/>
          <w:szCs w:val="32"/>
          <w:u w:val="none"/>
        </w:rPr>
        <w:t>的，</w:t>
      </w:r>
      <w:r>
        <w:rPr>
          <w:rFonts w:ascii="仿宋_GB2312" w:hAnsi="宋体" w:eastAsia="仿宋_GB2312" w:cs="仿宋_GB2312"/>
          <w:i w:val="0"/>
          <w:iCs w:val="0"/>
          <w:caps w:val="0"/>
          <w:color w:val="auto"/>
          <w:spacing w:val="0"/>
          <w:kern w:val="0"/>
          <w:sz w:val="32"/>
          <w:szCs w:val="32"/>
          <w:u w:val="none"/>
          <w:shd w:val="clear" w:fill="FFFFFF"/>
          <w:lang w:val="en-US" w:eastAsia="zh-CN" w:bidi="ar"/>
        </w:rPr>
        <w:t>应当通过</w:t>
      </w:r>
      <w:r>
        <w:rPr>
          <w:rFonts w:hint="eastAsia" w:ascii="仿宋_GB2312" w:hAnsi="宋体" w:cs="仿宋_GB2312"/>
          <w:i w:val="0"/>
          <w:iCs w:val="0"/>
          <w:caps w:val="0"/>
          <w:color w:val="auto"/>
          <w:spacing w:val="0"/>
          <w:kern w:val="0"/>
          <w:sz w:val="32"/>
          <w:szCs w:val="32"/>
          <w:u w:val="none"/>
          <w:shd w:val="clear" w:fill="FFFFFF"/>
          <w:lang w:val="en-US" w:eastAsia="zh-CN" w:bidi="ar"/>
        </w:rPr>
        <w:t>市公共数据平台</w:t>
      </w:r>
      <w:r>
        <w:rPr>
          <w:rFonts w:ascii="仿宋_GB2312" w:hAnsi="宋体" w:eastAsia="仿宋_GB2312" w:cs="仿宋_GB2312"/>
          <w:i w:val="0"/>
          <w:iCs w:val="0"/>
          <w:caps w:val="0"/>
          <w:color w:val="auto"/>
          <w:spacing w:val="0"/>
          <w:kern w:val="0"/>
          <w:sz w:val="32"/>
          <w:szCs w:val="32"/>
          <w:u w:val="none"/>
          <w:shd w:val="clear" w:fill="FFFFFF"/>
          <w:lang w:val="en-US" w:eastAsia="zh-CN" w:bidi="ar"/>
        </w:rPr>
        <w:t>提交需求申请，</w:t>
      </w:r>
      <w:r>
        <w:rPr>
          <w:rFonts w:hint="eastAsia" w:ascii="仿宋_GB2312" w:hAnsi="仿宋_GB2312" w:cs="仿宋_GB2312"/>
          <w:color w:val="auto"/>
          <w:sz w:val="32"/>
          <w:u w:val="none"/>
          <w:lang w:val="en-US" w:eastAsia="zh-CN"/>
        </w:rPr>
        <w:t>数据管理部门应当会同</w:t>
      </w:r>
      <w:r>
        <w:rPr>
          <w:rFonts w:hint="eastAsia" w:ascii="仿宋_GB2312" w:hAnsi="宋体" w:cs="仿宋_GB2312"/>
          <w:i w:val="0"/>
          <w:iCs w:val="0"/>
          <w:caps w:val="0"/>
          <w:color w:val="auto"/>
          <w:spacing w:val="0"/>
          <w:kern w:val="0"/>
          <w:sz w:val="32"/>
          <w:szCs w:val="32"/>
          <w:u w:val="none"/>
          <w:shd w:val="clear" w:fill="FFFFFF"/>
          <w:lang w:val="en-US" w:eastAsia="zh-CN" w:bidi="ar"/>
        </w:rPr>
        <w:t>政务数据提供部门</w:t>
      </w:r>
      <w:r>
        <w:rPr>
          <w:rFonts w:ascii="仿宋_GB2312" w:hAnsi="宋体" w:eastAsia="仿宋_GB2312" w:cs="仿宋_GB2312"/>
          <w:i w:val="0"/>
          <w:iCs w:val="0"/>
          <w:caps w:val="0"/>
          <w:color w:val="auto"/>
          <w:spacing w:val="0"/>
          <w:kern w:val="0"/>
          <w:sz w:val="32"/>
          <w:szCs w:val="32"/>
          <w:u w:val="none"/>
          <w:shd w:val="clear" w:fill="FFFFFF"/>
          <w:lang w:val="en-US" w:eastAsia="zh-CN" w:bidi="ar"/>
        </w:rPr>
        <w:t>在</w:t>
      </w:r>
      <w:r>
        <w:rPr>
          <w:rFonts w:hint="eastAsia" w:ascii="仿宋_GB2312" w:hAnsi="宋体" w:eastAsia="仿宋_GB2312" w:cs="仿宋_GB2312"/>
          <w:i w:val="0"/>
          <w:iCs w:val="0"/>
          <w:caps w:val="0"/>
          <w:color w:val="auto"/>
          <w:spacing w:val="0"/>
          <w:kern w:val="0"/>
          <w:sz w:val="32"/>
          <w:szCs w:val="32"/>
          <w:u w:val="none"/>
          <w:shd w:val="clear" w:fill="FFFFFF"/>
          <w:lang w:val="en-US" w:eastAsia="zh-CN" w:bidi="ar"/>
        </w:rPr>
        <w:t>5个工作日内完成需求响应。同意并且能够共享的，</w:t>
      </w:r>
      <w:r>
        <w:rPr>
          <w:rFonts w:hint="eastAsia" w:ascii="仿宋_GB2312" w:hAnsi="宋体" w:cs="仿宋_GB2312"/>
          <w:i w:val="0"/>
          <w:iCs w:val="0"/>
          <w:caps w:val="0"/>
          <w:color w:val="auto"/>
          <w:spacing w:val="0"/>
          <w:kern w:val="0"/>
          <w:sz w:val="32"/>
          <w:szCs w:val="32"/>
          <w:u w:val="none"/>
          <w:shd w:val="clear" w:fill="FFFFFF"/>
          <w:lang w:val="en-US" w:eastAsia="zh-CN" w:bidi="ar"/>
        </w:rPr>
        <w:t>政务数据提供部门</w:t>
      </w:r>
      <w:r>
        <w:rPr>
          <w:rFonts w:hint="eastAsia" w:ascii="仿宋_GB2312" w:hAnsi="宋体" w:eastAsia="仿宋_GB2312" w:cs="仿宋_GB2312"/>
          <w:i w:val="0"/>
          <w:iCs w:val="0"/>
          <w:caps w:val="0"/>
          <w:color w:val="auto"/>
          <w:spacing w:val="0"/>
          <w:kern w:val="0"/>
          <w:sz w:val="32"/>
          <w:szCs w:val="32"/>
          <w:u w:val="none"/>
          <w:shd w:val="clear" w:fill="FFFFFF"/>
          <w:lang w:val="en-US" w:eastAsia="zh-CN" w:bidi="ar"/>
        </w:rPr>
        <w:t>应当</w:t>
      </w:r>
      <w:r>
        <w:rPr>
          <w:rFonts w:hint="eastAsia" w:ascii="仿宋_GB2312" w:hAnsi="仿宋_GB2312" w:eastAsia="仿宋_GB2312" w:cs="仿宋_GB2312"/>
          <w:color w:val="auto"/>
          <w:sz w:val="32"/>
          <w:u w:val="none"/>
          <w:lang w:val="en-US" w:eastAsia="zh-CN"/>
        </w:rPr>
        <w:t>在</w:t>
      </w:r>
      <w:r>
        <w:rPr>
          <w:rFonts w:hint="eastAsia" w:ascii="仿宋_GB2312" w:hAnsi="仿宋_GB2312" w:eastAsia="仿宋_GB2312" w:cs="仿宋_GB2312"/>
          <w:color w:val="auto"/>
          <w:sz w:val="32"/>
          <w:highlight w:val="none"/>
          <w:u w:val="none"/>
          <w:lang w:val="en-US" w:eastAsia="zh-CN"/>
        </w:rPr>
        <w:t>20</w:t>
      </w:r>
      <w:r>
        <w:rPr>
          <w:rFonts w:hint="eastAsia" w:ascii="仿宋_GB2312" w:hAnsi="仿宋_GB2312" w:eastAsia="仿宋_GB2312" w:cs="仿宋_GB2312"/>
          <w:color w:val="auto"/>
          <w:sz w:val="32"/>
          <w:u w:val="none"/>
          <w:lang w:val="en-US" w:eastAsia="zh-CN"/>
        </w:rPr>
        <w:t>个工作日内</w:t>
      </w:r>
      <w:r>
        <w:rPr>
          <w:rFonts w:hint="eastAsia" w:ascii="仿宋_GB2312" w:hAnsi="宋体" w:eastAsia="仿宋_GB2312" w:cs="仿宋_GB2312"/>
          <w:i w:val="0"/>
          <w:iCs w:val="0"/>
          <w:caps w:val="0"/>
          <w:color w:val="auto"/>
          <w:spacing w:val="0"/>
          <w:kern w:val="0"/>
          <w:sz w:val="32"/>
          <w:szCs w:val="32"/>
          <w:u w:val="none"/>
          <w:shd w:val="clear" w:fill="FFFFFF"/>
          <w:lang w:val="en-US" w:eastAsia="zh-CN" w:bidi="ar"/>
        </w:rPr>
        <w:t>完成数据</w:t>
      </w:r>
      <w:r>
        <w:rPr>
          <w:rFonts w:hint="eastAsia" w:ascii="仿宋_GB2312" w:hAnsi="宋体" w:cs="仿宋_GB2312"/>
          <w:i w:val="0"/>
          <w:iCs w:val="0"/>
          <w:caps w:val="0"/>
          <w:color w:val="auto"/>
          <w:spacing w:val="0"/>
          <w:kern w:val="0"/>
          <w:sz w:val="32"/>
          <w:szCs w:val="32"/>
          <w:u w:val="none"/>
          <w:shd w:val="clear" w:fill="FFFFFF"/>
          <w:lang w:val="en-US" w:eastAsia="zh-CN" w:bidi="ar"/>
        </w:rPr>
        <w:t>归集</w:t>
      </w:r>
      <w:r>
        <w:rPr>
          <w:rFonts w:hint="eastAsia" w:ascii="仿宋_GB2312" w:hAnsi="仿宋_GB2312" w:eastAsia="仿宋_GB2312" w:cs="仿宋_GB2312"/>
          <w:color w:val="auto"/>
          <w:sz w:val="32"/>
          <w:u w:val="none"/>
          <w:lang w:val="en-US" w:eastAsia="zh-CN"/>
        </w:rPr>
        <w:t>及共享。</w:t>
      </w:r>
    </w:p>
    <w:p w14:paraId="36D4B034">
      <w:pPr>
        <w:pageBreakBefore w:val="0"/>
        <w:numPr>
          <w:ilvl w:val="0"/>
          <w:numId w:val="2"/>
        </w:numPr>
        <w:wordWrap/>
        <w:overflowPunct/>
        <w:topLinePunct w:val="0"/>
        <w:bidi w:val="0"/>
        <w:spacing w:line="560" w:lineRule="exact"/>
        <w:ind w:firstLine="640" w:firstLineChars="200"/>
        <w:rPr>
          <w:color w:val="auto"/>
          <w:u w:val="none"/>
        </w:rPr>
      </w:pPr>
      <w:r>
        <w:rPr>
          <w:rFonts w:hint="eastAsia" w:ascii="仿宋_GB2312" w:hAnsi="仿宋_GB2312" w:cs="仿宋_GB2312"/>
          <w:color w:val="auto"/>
          <w:sz w:val="32"/>
          <w:u w:val="none"/>
          <w:lang w:val="en-US" w:eastAsia="zh-CN"/>
        </w:rPr>
        <w:t xml:space="preserve">  </w:t>
      </w:r>
      <w:r>
        <w:rPr>
          <w:rFonts w:hint="eastAsia" w:ascii="Times New Roman" w:hAnsi="Times New Roman" w:eastAsia="仿宋_GB2312" w:cs="Times New Roman"/>
          <w:i w:val="0"/>
          <w:iCs w:val="0"/>
          <w:caps w:val="0"/>
          <w:color w:val="auto"/>
          <w:spacing w:val="0"/>
          <w:sz w:val="32"/>
          <w:szCs w:val="22"/>
          <w:u w:val="none"/>
          <w:shd w:val="clear"/>
        </w:rPr>
        <w:t>县</w:t>
      </w:r>
      <w:r>
        <w:rPr>
          <w:rFonts w:hint="eastAsia" w:cs="Times New Roman"/>
          <w:i w:val="0"/>
          <w:iCs w:val="0"/>
          <w:caps w:val="0"/>
          <w:color w:val="auto"/>
          <w:spacing w:val="0"/>
          <w:sz w:val="32"/>
          <w:szCs w:val="22"/>
          <w:u w:val="none"/>
          <w:shd w:val="clear"/>
          <w:lang w:eastAsia="zh-CN"/>
        </w:rPr>
        <w:t>（市、区）</w:t>
      </w:r>
      <w:r>
        <w:rPr>
          <w:rFonts w:hint="eastAsia" w:cs="Times New Roman"/>
          <w:color w:val="auto"/>
          <w:sz w:val="32"/>
          <w:szCs w:val="32"/>
          <w:highlight w:val="none"/>
          <w:u w:val="none"/>
          <w:shd w:val="clear" w:fill="auto"/>
          <w:lang w:val="en-US" w:eastAsia="zh-CN"/>
        </w:rPr>
        <w:t>政务数据需求部门</w:t>
      </w:r>
      <w:r>
        <w:rPr>
          <w:rFonts w:hint="eastAsia" w:ascii="仿宋_GB2312" w:hAnsi="仿宋_GB2312" w:eastAsia="仿宋_GB2312" w:cs="仿宋_GB2312"/>
          <w:color w:val="auto"/>
          <w:sz w:val="32"/>
          <w:u w:val="none"/>
          <w:lang w:val="en-US" w:eastAsia="zh-CN"/>
        </w:rPr>
        <w:t>申请市级</w:t>
      </w:r>
      <w:r>
        <w:rPr>
          <w:rFonts w:hint="eastAsia" w:ascii="仿宋_GB2312" w:hAnsi="仿宋_GB2312" w:cs="仿宋_GB2312"/>
          <w:color w:val="auto"/>
          <w:sz w:val="32"/>
          <w:u w:val="none"/>
          <w:lang w:val="en-US" w:eastAsia="zh-CN"/>
        </w:rPr>
        <w:t>政务数据</w:t>
      </w:r>
      <w:r>
        <w:rPr>
          <w:rFonts w:hint="eastAsia" w:ascii="仿宋_GB2312" w:hAnsi="仿宋_GB2312" w:eastAsia="仿宋_GB2312" w:cs="仿宋_GB2312"/>
          <w:color w:val="auto"/>
          <w:sz w:val="32"/>
          <w:u w:val="none"/>
          <w:lang w:val="en-US" w:eastAsia="zh-CN"/>
        </w:rPr>
        <w:t>的，由同级数据</w:t>
      </w:r>
      <w:r>
        <w:rPr>
          <w:rFonts w:hint="eastAsia" w:ascii="仿宋_GB2312" w:hAnsi="仿宋_GB2312" w:cs="仿宋_GB2312"/>
          <w:color w:val="auto"/>
          <w:sz w:val="32"/>
          <w:u w:val="none"/>
          <w:lang w:val="en-US" w:eastAsia="zh-CN"/>
        </w:rPr>
        <w:t>管理</w:t>
      </w:r>
      <w:r>
        <w:rPr>
          <w:rFonts w:hint="eastAsia" w:ascii="仿宋_GB2312" w:hAnsi="仿宋_GB2312" w:eastAsia="仿宋_GB2312" w:cs="仿宋_GB2312"/>
          <w:color w:val="auto"/>
          <w:sz w:val="32"/>
          <w:u w:val="none"/>
          <w:lang w:val="en-US" w:eastAsia="zh-CN"/>
        </w:rPr>
        <w:t>部门在1个工作日内完成初审，审批通过后，</w:t>
      </w:r>
      <w:r>
        <w:rPr>
          <w:rFonts w:hint="eastAsia" w:ascii="仿宋_GB2312" w:hAnsi="仿宋_GB2312" w:eastAsia="仿宋_GB2312" w:cs="仿宋_GB2312"/>
          <w:color w:val="auto"/>
          <w:sz w:val="32"/>
          <w:highlight w:val="none"/>
          <w:u w:val="none"/>
          <w:lang w:val="en-US" w:eastAsia="zh-CN"/>
        </w:rPr>
        <w:t>由市</w:t>
      </w:r>
      <w:r>
        <w:rPr>
          <w:rFonts w:hint="eastAsia" w:ascii="仿宋_GB2312" w:hAnsi="仿宋_GB2312" w:cs="仿宋_GB2312"/>
          <w:color w:val="auto"/>
          <w:sz w:val="32"/>
          <w:highlight w:val="none"/>
          <w:u w:val="none"/>
          <w:lang w:val="en-US" w:eastAsia="zh-CN"/>
        </w:rPr>
        <w:t>数据管理部门</w:t>
      </w:r>
      <w:r>
        <w:rPr>
          <w:rFonts w:hint="eastAsia" w:ascii="仿宋_GB2312" w:hAnsi="仿宋_GB2312" w:eastAsia="仿宋_GB2312" w:cs="仿宋_GB2312"/>
          <w:color w:val="auto"/>
          <w:sz w:val="32"/>
          <w:highlight w:val="none"/>
          <w:u w:val="none"/>
          <w:lang w:val="en-US" w:eastAsia="zh-CN"/>
        </w:rPr>
        <w:t>和</w:t>
      </w:r>
      <w:r>
        <w:rPr>
          <w:rFonts w:hint="eastAsia" w:ascii="仿宋_GB2312" w:hAnsi="仿宋_GB2312" w:cs="仿宋_GB2312"/>
          <w:color w:val="auto"/>
          <w:sz w:val="32"/>
          <w:highlight w:val="none"/>
          <w:u w:val="none"/>
          <w:lang w:val="en-US" w:eastAsia="zh-CN"/>
        </w:rPr>
        <w:t>政务数据提供部门</w:t>
      </w:r>
      <w:r>
        <w:rPr>
          <w:rFonts w:hint="eastAsia" w:ascii="仿宋_GB2312" w:hAnsi="仿宋_GB2312" w:eastAsia="仿宋_GB2312" w:cs="仿宋_GB2312"/>
          <w:color w:val="auto"/>
          <w:sz w:val="32"/>
          <w:highlight w:val="none"/>
          <w:u w:val="none"/>
          <w:lang w:val="en-US" w:eastAsia="zh-CN"/>
        </w:rPr>
        <w:t>参照第</w:t>
      </w:r>
      <w:r>
        <w:rPr>
          <w:rFonts w:hint="eastAsia" w:ascii="仿宋_GB2312" w:hAnsi="仿宋_GB2312" w:cs="仿宋_GB2312"/>
          <w:color w:val="auto"/>
          <w:sz w:val="32"/>
          <w:highlight w:val="none"/>
          <w:u w:val="none"/>
          <w:lang w:val="en-US" w:eastAsia="zh-CN"/>
        </w:rPr>
        <w:t>二</w:t>
      </w:r>
      <w:r>
        <w:rPr>
          <w:rFonts w:hint="eastAsia" w:ascii="仿宋_GB2312" w:hAnsi="仿宋_GB2312" w:eastAsia="仿宋_GB2312" w:cs="仿宋_GB2312"/>
          <w:color w:val="auto"/>
          <w:sz w:val="32"/>
          <w:highlight w:val="none"/>
          <w:u w:val="none"/>
          <w:lang w:val="en-US" w:eastAsia="zh-CN"/>
        </w:rPr>
        <w:t>十二条共享审批流程进行办理。</w:t>
      </w:r>
    </w:p>
    <w:p w14:paraId="51F965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color w:val="auto"/>
          <w:u w:val="none"/>
        </w:rPr>
      </w:pPr>
      <w:r>
        <w:rPr>
          <w:rFonts w:hint="eastAsia" w:ascii="仿宋_GB2312" w:hAnsi="仿宋_GB2312" w:eastAsia="仿宋_GB2312" w:cs="仿宋_GB2312"/>
          <w:color w:val="auto"/>
          <w:sz w:val="32"/>
          <w:u w:val="none"/>
          <w:lang w:val="en-US" w:eastAsia="zh-CN"/>
        </w:rPr>
        <w:t>申请国</w:t>
      </w:r>
      <w:r>
        <w:rPr>
          <w:rFonts w:hint="eastAsia" w:ascii="仿宋_GB2312" w:hAnsi="仿宋_GB2312" w:cs="仿宋_GB2312"/>
          <w:color w:val="auto"/>
          <w:sz w:val="32"/>
          <w:u w:val="none"/>
          <w:lang w:val="en-US" w:eastAsia="zh-CN"/>
        </w:rPr>
        <w:t>家</w:t>
      </w:r>
      <w:r>
        <w:rPr>
          <w:rFonts w:hint="eastAsia" w:ascii="仿宋_GB2312" w:hAnsi="仿宋_GB2312" w:eastAsia="仿宋_GB2312" w:cs="仿宋_GB2312"/>
          <w:color w:val="auto"/>
          <w:sz w:val="32"/>
          <w:u w:val="none"/>
          <w:lang w:val="en-US" w:eastAsia="zh-CN"/>
        </w:rPr>
        <w:t>、省级</w:t>
      </w:r>
      <w:r>
        <w:rPr>
          <w:rFonts w:hint="eastAsia" w:ascii="仿宋_GB2312" w:hAnsi="仿宋_GB2312" w:cs="仿宋_GB2312"/>
          <w:color w:val="auto"/>
          <w:sz w:val="32"/>
          <w:u w:val="none"/>
          <w:lang w:val="en-US" w:eastAsia="zh-CN"/>
        </w:rPr>
        <w:t>政务数据</w:t>
      </w:r>
      <w:r>
        <w:rPr>
          <w:rFonts w:hint="eastAsia" w:ascii="仿宋_GB2312" w:hAnsi="仿宋_GB2312" w:eastAsia="仿宋_GB2312" w:cs="仿宋_GB2312"/>
          <w:color w:val="auto"/>
          <w:sz w:val="32"/>
          <w:u w:val="none"/>
          <w:lang w:val="en-US" w:eastAsia="zh-CN"/>
        </w:rPr>
        <w:t>的，具体流程参照国省相关</w:t>
      </w:r>
      <w:r>
        <w:rPr>
          <w:rFonts w:hint="eastAsia" w:ascii="仿宋_GB2312" w:hAnsi="仿宋_GB2312" w:cs="仿宋_GB2312"/>
          <w:color w:val="auto"/>
          <w:sz w:val="32"/>
          <w:u w:val="none"/>
          <w:lang w:val="en-US" w:eastAsia="zh-CN"/>
        </w:rPr>
        <w:t>要求</w:t>
      </w:r>
      <w:r>
        <w:rPr>
          <w:rFonts w:hint="eastAsia" w:ascii="仿宋_GB2312" w:hAnsi="仿宋_GB2312" w:eastAsia="仿宋_GB2312" w:cs="仿宋_GB2312"/>
          <w:color w:val="auto"/>
          <w:sz w:val="32"/>
          <w:u w:val="none"/>
          <w:lang w:val="en-US" w:eastAsia="zh-CN"/>
        </w:rPr>
        <w:t>执行</w:t>
      </w:r>
      <w:r>
        <w:rPr>
          <w:rFonts w:hint="eastAsia" w:ascii="仿宋_GB2312" w:hAnsi="仿宋_GB2312" w:cs="仿宋_GB2312"/>
          <w:color w:val="auto"/>
          <w:sz w:val="32"/>
          <w:u w:val="none"/>
          <w:lang w:val="en-US" w:eastAsia="zh-CN"/>
        </w:rPr>
        <w:t>。</w:t>
      </w:r>
    </w:p>
    <w:p w14:paraId="682E5F6C">
      <w:pPr>
        <w:pageBreakBefore w:val="0"/>
        <w:numPr>
          <w:ilvl w:val="0"/>
          <w:numId w:val="2"/>
        </w:numPr>
        <w:wordWrap/>
        <w:overflowPunct/>
        <w:topLinePunct w:val="0"/>
        <w:bidi w:val="0"/>
        <w:spacing w:line="560" w:lineRule="exact"/>
        <w:ind w:firstLine="640" w:firstLineChars="200"/>
        <w:rPr>
          <w:rFonts w:cs="Times New Roman"/>
          <w:color w:val="auto"/>
          <w:u w:val="none"/>
        </w:rPr>
      </w:pPr>
      <w:r>
        <w:rPr>
          <w:rFonts w:hint="eastAsia" w:cs="Times New Roman"/>
          <w:color w:val="auto"/>
          <w:u w:val="none"/>
        </w:rPr>
        <w:t xml:space="preserve">  </w:t>
      </w:r>
      <w:r>
        <w:rPr>
          <w:rFonts w:hint="eastAsia" w:cs="Times New Roman"/>
          <w:color w:val="auto"/>
          <w:u w:val="none"/>
          <w:lang w:val="en-US" w:eastAsia="zh-CN"/>
        </w:rPr>
        <w:t>政务数据需求部门通过共享获取的政务数据，共享目的已实现、无法实现或者为实现共享目的不再必要的，需按照政务数据提供部门要求妥善处置。</w:t>
      </w:r>
    </w:p>
    <w:p w14:paraId="6D395EA3">
      <w:pPr>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fill="auto"/>
        <w:wordWrap/>
        <w:overflowPunct/>
        <w:topLinePunct w:val="0"/>
        <w:bidi w:val="0"/>
        <w:spacing w:beforeAutospacing="0" w:afterAutospacing="0" w:line="560" w:lineRule="exact"/>
        <w:ind w:left="0" w:right="0" w:firstLine="640" w:firstLineChars="200"/>
        <w:jc w:val="left"/>
        <w:rPr>
          <w:rFonts w:hint="default" w:ascii="Times New Roman" w:hAnsi="Times New Roman" w:eastAsia="仿宋_GB2312" w:cs="Times New Roman"/>
          <w:i w:val="0"/>
          <w:iCs w:val="0"/>
          <w:caps w:val="0"/>
          <w:color w:val="auto"/>
          <w:spacing w:val="0"/>
          <w:sz w:val="32"/>
          <w:szCs w:val="22"/>
          <w:highlight w:val="none"/>
          <w:u w:val="none"/>
          <w:shd w:val="clear" w:fill="auto"/>
        </w:rPr>
      </w:pPr>
      <w:r>
        <w:rPr>
          <w:rFonts w:hint="eastAsia" w:cs="Times New Roman"/>
          <w:i w:val="0"/>
          <w:iCs w:val="0"/>
          <w:caps w:val="0"/>
          <w:color w:val="auto"/>
          <w:spacing w:val="0"/>
          <w:sz w:val="32"/>
          <w:szCs w:val="22"/>
          <w:highlight w:val="none"/>
          <w:u w:val="none"/>
          <w:shd w:val="clear" w:fill="auto"/>
          <w:lang w:eastAsia="zh-CN"/>
        </w:rPr>
        <w:t>政务数据需求部门</w:t>
      </w:r>
      <w:r>
        <w:rPr>
          <w:rFonts w:hint="default" w:ascii="Times New Roman" w:hAnsi="Times New Roman" w:eastAsia="仿宋_GB2312" w:cs="Times New Roman"/>
          <w:i w:val="0"/>
          <w:iCs w:val="0"/>
          <w:caps w:val="0"/>
          <w:color w:val="auto"/>
          <w:spacing w:val="0"/>
          <w:sz w:val="32"/>
          <w:szCs w:val="22"/>
          <w:highlight w:val="none"/>
          <w:u w:val="none"/>
          <w:shd w:val="clear" w:fill="auto"/>
        </w:rPr>
        <w:t>存在擅自超出使用范围、共享目的使用</w:t>
      </w:r>
      <w:r>
        <w:rPr>
          <w:rFonts w:hint="eastAsia" w:cs="Times New Roman"/>
          <w:i w:val="0"/>
          <w:iCs w:val="0"/>
          <w:caps w:val="0"/>
          <w:color w:val="auto"/>
          <w:spacing w:val="0"/>
          <w:sz w:val="32"/>
          <w:szCs w:val="22"/>
          <w:highlight w:val="none"/>
          <w:u w:val="none"/>
          <w:shd w:val="clear" w:fill="auto"/>
          <w:lang w:eastAsia="zh-CN"/>
        </w:rPr>
        <w:t>政务数据</w:t>
      </w:r>
      <w:r>
        <w:rPr>
          <w:rFonts w:hint="default" w:ascii="Times New Roman" w:hAnsi="Times New Roman" w:eastAsia="仿宋_GB2312" w:cs="Times New Roman"/>
          <w:i w:val="0"/>
          <w:iCs w:val="0"/>
          <w:caps w:val="0"/>
          <w:color w:val="auto"/>
          <w:spacing w:val="0"/>
          <w:sz w:val="32"/>
          <w:szCs w:val="22"/>
          <w:highlight w:val="none"/>
          <w:u w:val="none"/>
          <w:shd w:val="clear" w:fill="auto"/>
        </w:rPr>
        <w:t>，或者擅自将</w:t>
      </w:r>
      <w:r>
        <w:rPr>
          <w:rFonts w:hint="eastAsia" w:cs="Times New Roman"/>
          <w:i w:val="0"/>
          <w:iCs w:val="0"/>
          <w:caps w:val="0"/>
          <w:color w:val="auto"/>
          <w:spacing w:val="0"/>
          <w:sz w:val="32"/>
          <w:szCs w:val="22"/>
          <w:highlight w:val="none"/>
          <w:u w:val="none"/>
          <w:shd w:val="clear" w:fill="auto"/>
          <w:lang w:eastAsia="zh-CN"/>
        </w:rPr>
        <w:t>政务数据</w:t>
      </w:r>
      <w:r>
        <w:rPr>
          <w:rFonts w:hint="default" w:ascii="Times New Roman" w:hAnsi="Times New Roman" w:eastAsia="仿宋_GB2312" w:cs="Times New Roman"/>
          <w:i w:val="0"/>
          <w:iCs w:val="0"/>
          <w:caps w:val="0"/>
          <w:color w:val="auto"/>
          <w:spacing w:val="0"/>
          <w:sz w:val="32"/>
          <w:szCs w:val="22"/>
          <w:highlight w:val="none"/>
          <w:u w:val="none"/>
          <w:shd w:val="clear" w:fill="auto"/>
        </w:rPr>
        <w:t>提供给第三方的，数据</w:t>
      </w:r>
      <w:r>
        <w:rPr>
          <w:rFonts w:hint="eastAsia" w:cs="Times New Roman"/>
          <w:i w:val="0"/>
          <w:iCs w:val="0"/>
          <w:caps w:val="0"/>
          <w:color w:val="auto"/>
          <w:spacing w:val="0"/>
          <w:sz w:val="32"/>
          <w:szCs w:val="22"/>
          <w:highlight w:val="none"/>
          <w:u w:val="none"/>
          <w:shd w:val="clear" w:fill="auto"/>
          <w:lang w:val="en-US" w:eastAsia="zh-CN"/>
        </w:rPr>
        <w:t>管理</w:t>
      </w:r>
      <w:r>
        <w:rPr>
          <w:rFonts w:hint="default" w:ascii="Times New Roman" w:hAnsi="Times New Roman" w:eastAsia="仿宋_GB2312" w:cs="Times New Roman"/>
          <w:i w:val="0"/>
          <w:iCs w:val="0"/>
          <w:caps w:val="0"/>
          <w:color w:val="auto"/>
          <w:spacing w:val="0"/>
          <w:sz w:val="32"/>
          <w:szCs w:val="22"/>
          <w:highlight w:val="none"/>
          <w:u w:val="none"/>
          <w:shd w:val="clear" w:fill="auto"/>
        </w:rPr>
        <w:t>部门或者数据提供部门应当暂停其数据共享权限，并督促限期整改，对拒不整改或者整改不到位的，可以终止</w:t>
      </w:r>
      <w:r>
        <w:rPr>
          <w:rFonts w:hint="default" w:cs="Times New Roman"/>
          <w:i w:val="0"/>
          <w:iCs w:val="0"/>
          <w:caps w:val="0"/>
          <w:color w:val="auto"/>
          <w:spacing w:val="0"/>
          <w:sz w:val="32"/>
          <w:szCs w:val="22"/>
          <w:highlight w:val="none"/>
          <w:u w:val="none"/>
          <w:shd w:val="clear" w:fill="auto"/>
          <w:lang w:val="en-US" w:eastAsia="zh-CN"/>
        </w:rPr>
        <w:t>数据</w:t>
      </w:r>
      <w:r>
        <w:rPr>
          <w:rFonts w:hint="default" w:ascii="Times New Roman" w:hAnsi="Times New Roman" w:eastAsia="仿宋_GB2312" w:cs="Times New Roman"/>
          <w:i w:val="0"/>
          <w:iCs w:val="0"/>
          <w:caps w:val="0"/>
          <w:color w:val="auto"/>
          <w:spacing w:val="0"/>
          <w:sz w:val="32"/>
          <w:szCs w:val="22"/>
          <w:highlight w:val="none"/>
          <w:u w:val="none"/>
          <w:shd w:val="clear" w:fill="auto"/>
        </w:rPr>
        <w:t>共享。</w:t>
      </w:r>
    </w:p>
    <w:p w14:paraId="47B774C1">
      <w:pPr>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fill="auto"/>
        <w:wordWrap/>
        <w:overflowPunct/>
        <w:topLinePunct w:val="0"/>
        <w:bidi w:val="0"/>
        <w:spacing w:beforeAutospacing="0" w:afterAutospacing="0" w:line="560" w:lineRule="exact"/>
        <w:ind w:left="0" w:right="0" w:firstLine="640" w:firstLineChars="200"/>
        <w:jc w:val="left"/>
        <w:rPr>
          <w:rFonts w:cs="Times New Roman"/>
          <w:color w:val="auto"/>
          <w:u w:val="none"/>
        </w:rPr>
      </w:pPr>
      <w:r>
        <w:rPr>
          <w:rFonts w:hint="eastAsia" w:cs="Times New Roman"/>
          <w:i w:val="0"/>
          <w:iCs w:val="0"/>
          <w:caps w:val="0"/>
          <w:color w:val="auto"/>
          <w:spacing w:val="0"/>
          <w:sz w:val="32"/>
          <w:szCs w:val="22"/>
          <w:highlight w:val="none"/>
          <w:u w:val="none"/>
          <w:shd w:val="clear" w:fill="auto"/>
          <w:lang w:eastAsia="zh-CN"/>
        </w:rPr>
        <w:t>政务数据提供部门</w:t>
      </w:r>
      <w:r>
        <w:rPr>
          <w:rFonts w:hint="default" w:ascii="Times New Roman" w:hAnsi="Times New Roman" w:eastAsia="仿宋_GB2312" w:cs="Times New Roman"/>
          <w:i w:val="0"/>
          <w:iCs w:val="0"/>
          <w:caps w:val="0"/>
          <w:color w:val="auto"/>
          <w:spacing w:val="0"/>
          <w:sz w:val="32"/>
          <w:szCs w:val="22"/>
          <w:highlight w:val="none"/>
          <w:u w:val="none"/>
          <w:shd w:val="clear" w:fill="auto"/>
        </w:rPr>
        <w:t>无正当理由，不得终止或者变更已提供的数据共享服务。确需终止或者变更服务的，数据提供部门应当与数据需求部门协商，并报同级数据</w:t>
      </w:r>
      <w:r>
        <w:rPr>
          <w:rFonts w:hint="default" w:cs="Times New Roman"/>
          <w:i w:val="0"/>
          <w:iCs w:val="0"/>
          <w:caps w:val="0"/>
          <w:color w:val="auto"/>
          <w:spacing w:val="0"/>
          <w:sz w:val="32"/>
          <w:szCs w:val="22"/>
          <w:highlight w:val="none"/>
          <w:u w:val="none"/>
          <w:shd w:val="clear" w:fill="auto"/>
          <w:lang w:val="en-US" w:eastAsia="zh-CN"/>
        </w:rPr>
        <w:t>管理</w:t>
      </w:r>
      <w:r>
        <w:rPr>
          <w:rFonts w:hint="default" w:ascii="Times New Roman" w:hAnsi="Times New Roman" w:eastAsia="仿宋_GB2312" w:cs="Times New Roman"/>
          <w:i w:val="0"/>
          <w:iCs w:val="0"/>
          <w:caps w:val="0"/>
          <w:color w:val="auto"/>
          <w:spacing w:val="0"/>
          <w:sz w:val="32"/>
          <w:szCs w:val="22"/>
          <w:highlight w:val="none"/>
          <w:u w:val="none"/>
          <w:shd w:val="clear" w:fill="auto"/>
        </w:rPr>
        <w:t>部门备案。</w:t>
      </w:r>
    </w:p>
    <w:p w14:paraId="7B1851B2">
      <w:pPr>
        <w:pageBreakBefore w:val="0"/>
        <w:numPr>
          <w:ilvl w:val="0"/>
          <w:numId w:val="2"/>
        </w:numPr>
        <w:wordWrap/>
        <w:overflowPunct/>
        <w:topLinePunct w:val="0"/>
        <w:bidi w:val="0"/>
        <w:spacing w:line="560" w:lineRule="exact"/>
        <w:ind w:firstLine="640" w:firstLineChars="200"/>
        <w:rPr>
          <w:rFonts w:hint="eastAsia" w:cs="Times New Roman"/>
          <w:color w:val="auto"/>
          <w:highlight w:val="none"/>
          <w:u w:val="none"/>
          <w:shd w:val="clear" w:fill="auto"/>
          <w:lang w:val="en-US" w:eastAsia="zh-CN"/>
        </w:rPr>
      </w:pPr>
      <w:r>
        <w:rPr>
          <w:rFonts w:hint="eastAsia" w:cs="Times New Roman"/>
          <w:color w:val="auto"/>
          <w:u w:val="none"/>
          <w:lang w:val="en-US" w:eastAsia="zh-CN"/>
        </w:rPr>
        <w:t xml:space="preserve">  </w:t>
      </w:r>
      <w:r>
        <w:rPr>
          <w:rFonts w:hint="eastAsia" w:cs="Times New Roman"/>
          <w:color w:val="auto"/>
          <w:highlight w:val="none"/>
          <w:u w:val="none"/>
          <w:shd w:val="clear" w:fill="auto"/>
          <w:lang w:val="en-US" w:eastAsia="zh-CN"/>
        </w:rPr>
        <w:t>数据管理部门对政务数据共享情况进行监督检查，并可以对有关违反本办法规定的行为予以通报。</w:t>
      </w:r>
    </w:p>
    <w:p w14:paraId="243C114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both"/>
        <w:textAlignment w:val="auto"/>
        <w:rPr>
          <w:rFonts w:hint="eastAsia" w:ascii="黑体" w:hAnsi="黑体" w:eastAsia="黑体" w:cs="黑体"/>
          <w:color w:val="auto"/>
          <w:sz w:val="32"/>
          <w:u w:val="none"/>
          <w:lang w:val="en-US" w:eastAsia="zh-CN"/>
        </w:rPr>
      </w:pPr>
      <w:r>
        <w:rPr>
          <w:rFonts w:hint="eastAsia" w:cs="Times New Roman"/>
          <w:color w:val="auto"/>
          <w:highlight w:val="none"/>
          <w:u w:val="none"/>
          <w:shd w:val="clear" w:fill="auto"/>
          <w:lang w:val="en-US" w:eastAsia="zh-CN"/>
        </w:rPr>
        <w:t>政务数据需求部门对共享政务数据的使用场景、应用成效、使用过程、存储情况、销毁情况等全过程进行记录，有关记录保存期限不少于</w:t>
      </w:r>
      <w:r>
        <w:rPr>
          <w:rFonts w:hint="eastAsia" w:ascii="仿宋_GB2312" w:hAnsi="仿宋_GB2312" w:eastAsia="仿宋_GB2312" w:cs="仿宋_GB2312"/>
          <w:color w:val="auto"/>
          <w:highlight w:val="none"/>
          <w:u w:val="none"/>
          <w:shd w:val="clear" w:fill="auto"/>
          <w:lang w:val="en-US" w:eastAsia="zh-CN"/>
        </w:rPr>
        <w:t>3</w:t>
      </w:r>
      <w:r>
        <w:rPr>
          <w:rFonts w:hint="eastAsia" w:cs="Times New Roman"/>
          <w:color w:val="auto"/>
          <w:highlight w:val="none"/>
          <w:u w:val="none"/>
          <w:shd w:val="clear" w:fill="auto"/>
          <w:lang w:val="en-US" w:eastAsia="zh-CN"/>
        </w:rPr>
        <w:t>年。数据管理部门和政务数据提供部门可以查阅使用单位有关记录。法律、法规另有规定的，从其规定。</w:t>
      </w:r>
    </w:p>
    <w:p w14:paraId="53E7D30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both"/>
        <w:textAlignment w:val="auto"/>
        <w:rPr>
          <w:rFonts w:hint="eastAsia" w:ascii="黑体" w:hAnsi="黑体" w:eastAsia="黑体" w:cs="黑体"/>
          <w:color w:val="auto"/>
          <w:sz w:val="32"/>
          <w:u w:val="none"/>
          <w:lang w:val="en-US" w:eastAsia="zh-CN"/>
        </w:rPr>
      </w:pPr>
    </w:p>
    <w:p w14:paraId="4D55A184">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outlineLvl w:val="0"/>
        <w:rPr>
          <w:rFonts w:hint="eastAsia" w:ascii="仿宋_GB2312" w:hAnsi="仿宋_GB2312" w:eastAsia="仿宋_GB2312" w:cs="仿宋_GB2312"/>
          <w:color w:val="auto"/>
          <w:sz w:val="32"/>
          <w:u w:val="none"/>
          <w:lang w:val="en-US" w:eastAsia="zh-CN"/>
        </w:rPr>
      </w:pPr>
      <w:bookmarkStart w:id="35" w:name="_Toc216267919"/>
      <w:r>
        <w:rPr>
          <w:rFonts w:hint="eastAsia" w:ascii="黑体" w:hAnsi="黑体" w:eastAsia="黑体" w:cs="黑体"/>
          <w:color w:val="auto"/>
          <w:sz w:val="32"/>
          <w:u w:val="none"/>
          <w:lang w:val="en-US" w:eastAsia="zh-CN"/>
        </w:rPr>
        <w:t>公共数据开放</w:t>
      </w:r>
      <w:bookmarkEnd w:id="35"/>
    </w:p>
    <w:p w14:paraId="3EE294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snapToGrid/>
          <w:color w:val="auto"/>
          <w:kern w:val="2"/>
          <w:sz w:val="32"/>
          <w:szCs w:val="32"/>
          <w:u w:val="none"/>
          <w:lang w:val="en-US" w:eastAsia="zh-CN"/>
        </w:rPr>
      </w:pPr>
    </w:p>
    <w:p w14:paraId="626F158B">
      <w:pPr>
        <w:pageBreakBefore w:val="0"/>
        <w:numPr>
          <w:ilvl w:val="0"/>
          <w:numId w:val="2"/>
        </w:numPr>
        <w:wordWrap/>
        <w:overflowPunct/>
        <w:topLinePunct w:val="0"/>
        <w:bidi w:val="0"/>
        <w:spacing w:line="560" w:lineRule="exact"/>
        <w:ind w:firstLine="640" w:firstLineChars="200"/>
        <w:rPr>
          <w:rFonts w:cs="Times New Roman"/>
          <w:color w:val="auto"/>
          <w:u w:val="none"/>
        </w:rPr>
      </w:pPr>
      <w:r>
        <w:rPr>
          <w:rFonts w:hint="eastAsia" w:cs="Times New Roman"/>
          <w:color w:val="auto"/>
          <w:u w:val="none"/>
        </w:rPr>
        <w:t xml:space="preserve">  公共数据开放应当以企业、群众需求为导向，依法、安全、有序开放。</w:t>
      </w:r>
    </w:p>
    <w:p w14:paraId="48A6BF2F">
      <w:pPr>
        <w:pageBreakBefore w:val="0"/>
        <w:numPr>
          <w:ilvl w:val="0"/>
          <w:numId w:val="2"/>
        </w:numPr>
        <w:wordWrap/>
        <w:overflowPunct/>
        <w:topLinePunct w:val="0"/>
        <w:bidi w:val="0"/>
        <w:spacing w:line="560" w:lineRule="exact"/>
        <w:ind w:firstLine="640" w:firstLineChars="200"/>
        <w:rPr>
          <w:rFonts w:cs="Times New Roman"/>
          <w:color w:val="auto"/>
          <w:u w:val="none"/>
        </w:rPr>
      </w:pPr>
      <w:r>
        <w:rPr>
          <w:rFonts w:hint="eastAsia" w:cs="Times New Roman"/>
          <w:color w:val="auto"/>
          <w:u w:val="none"/>
          <w:lang w:val="en-US" w:eastAsia="zh-CN"/>
        </w:rPr>
        <w:t xml:space="preserve">  市</w:t>
      </w:r>
      <w:r>
        <w:rPr>
          <w:rFonts w:hint="eastAsia" w:cs="Times New Roman"/>
          <w:color w:val="auto"/>
          <w:u w:val="none"/>
        </w:rPr>
        <w:t>数据</w:t>
      </w:r>
      <w:r>
        <w:rPr>
          <w:rFonts w:hint="eastAsia" w:cs="Times New Roman"/>
          <w:color w:val="auto"/>
          <w:u w:val="none"/>
          <w:lang w:eastAsia="zh-CN"/>
        </w:rPr>
        <w:t>局</w:t>
      </w:r>
      <w:r>
        <w:rPr>
          <w:rFonts w:hint="eastAsia" w:cs="Times New Roman"/>
          <w:color w:val="auto"/>
          <w:u w:val="none"/>
        </w:rPr>
        <w:t>应当依托</w:t>
      </w:r>
      <w:r>
        <w:rPr>
          <w:rFonts w:hint="eastAsia" w:cs="Times New Roman"/>
          <w:color w:val="auto"/>
          <w:u w:val="none"/>
          <w:lang w:eastAsia="zh-CN"/>
        </w:rPr>
        <w:t>市</w:t>
      </w:r>
      <w:r>
        <w:rPr>
          <w:rFonts w:hint="eastAsia" w:cs="Times New Roman"/>
          <w:color w:val="auto"/>
          <w:u w:val="none"/>
          <w:lang w:val="en-US" w:eastAsia="zh-CN"/>
        </w:rPr>
        <w:t>公共</w:t>
      </w:r>
      <w:r>
        <w:rPr>
          <w:rFonts w:hint="eastAsia" w:cs="Times New Roman"/>
          <w:color w:val="auto"/>
          <w:u w:val="none"/>
        </w:rPr>
        <w:t>数据平台建立</w:t>
      </w:r>
      <w:r>
        <w:rPr>
          <w:rFonts w:hint="eastAsia" w:cs="Times New Roman"/>
          <w:color w:val="auto"/>
          <w:u w:val="none"/>
          <w:lang w:val="en-US" w:eastAsia="zh-CN"/>
        </w:rPr>
        <w:t>公共</w:t>
      </w:r>
      <w:r>
        <w:rPr>
          <w:rFonts w:hint="eastAsia" w:cs="Times New Roman"/>
          <w:color w:val="auto"/>
          <w:u w:val="none"/>
        </w:rPr>
        <w:t>数据</w:t>
      </w:r>
      <w:r>
        <w:rPr>
          <w:rFonts w:hint="eastAsia" w:cs="Times New Roman"/>
          <w:color w:val="auto"/>
          <w:u w:val="none"/>
          <w:lang w:val="en-US" w:eastAsia="zh-CN"/>
        </w:rPr>
        <w:t>开放</w:t>
      </w:r>
      <w:r>
        <w:rPr>
          <w:rFonts w:hint="eastAsia" w:cs="Times New Roman"/>
          <w:color w:val="auto"/>
          <w:u w:val="none"/>
        </w:rPr>
        <w:t>通道。</w:t>
      </w:r>
      <w:r>
        <w:rPr>
          <w:rFonts w:hint="eastAsia" w:cs="Times New Roman"/>
          <w:color w:val="auto"/>
          <w:u w:val="none"/>
          <w:lang w:eastAsia="zh-CN"/>
        </w:rPr>
        <w:t>公共管理和服务机构</w:t>
      </w:r>
      <w:r>
        <w:rPr>
          <w:rFonts w:hint="eastAsia" w:cs="Times New Roman"/>
          <w:color w:val="auto"/>
          <w:u w:val="none"/>
        </w:rPr>
        <w:t>应当通过</w:t>
      </w:r>
      <w:r>
        <w:rPr>
          <w:rFonts w:hint="eastAsia" w:cs="Times New Roman"/>
          <w:color w:val="auto"/>
          <w:u w:val="none"/>
          <w:lang w:eastAsia="zh-CN"/>
        </w:rPr>
        <w:t>市</w:t>
      </w:r>
      <w:r>
        <w:rPr>
          <w:rFonts w:hint="eastAsia" w:cs="Times New Roman"/>
          <w:color w:val="auto"/>
          <w:u w:val="none"/>
        </w:rPr>
        <w:t>公共数据平台</w:t>
      </w:r>
      <w:r>
        <w:rPr>
          <w:rFonts w:hint="eastAsia" w:cs="Times New Roman"/>
          <w:color w:val="auto"/>
          <w:u w:val="none"/>
          <w:lang w:val="en-US" w:eastAsia="zh-CN"/>
        </w:rPr>
        <w:t>开放</w:t>
      </w:r>
      <w:r>
        <w:rPr>
          <w:rFonts w:hint="eastAsia" w:cs="Times New Roman"/>
          <w:color w:val="auto"/>
          <w:u w:val="none"/>
        </w:rPr>
        <w:t>数据，不</w:t>
      </w:r>
      <w:r>
        <w:rPr>
          <w:rFonts w:hint="eastAsia" w:cs="Times New Roman"/>
          <w:color w:val="auto"/>
          <w:u w:val="none"/>
          <w:lang w:val="en-US" w:eastAsia="zh-CN"/>
        </w:rPr>
        <w:t>得</w:t>
      </w:r>
      <w:r>
        <w:rPr>
          <w:rFonts w:hint="eastAsia" w:cs="Times New Roman"/>
          <w:color w:val="auto"/>
          <w:u w:val="none"/>
        </w:rPr>
        <w:t>另建新的公共数据</w:t>
      </w:r>
      <w:r>
        <w:rPr>
          <w:rFonts w:hint="eastAsia" w:cs="Times New Roman"/>
          <w:color w:val="auto"/>
          <w:u w:val="none"/>
          <w:lang w:val="en-US" w:eastAsia="zh-CN"/>
        </w:rPr>
        <w:t>开放</w:t>
      </w:r>
      <w:r>
        <w:rPr>
          <w:rFonts w:hint="eastAsia" w:cs="Times New Roman"/>
          <w:color w:val="auto"/>
          <w:u w:val="none"/>
        </w:rPr>
        <w:t>通道。</w:t>
      </w:r>
    </w:p>
    <w:p w14:paraId="50901329">
      <w:pPr>
        <w:pageBreakBefore w:val="0"/>
        <w:numPr>
          <w:ilvl w:val="0"/>
          <w:numId w:val="2"/>
        </w:numPr>
        <w:wordWrap/>
        <w:overflowPunct/>
        <w:topLinePunct w:val="0"/>
        <w:bidi w:val="0"/>
        <w:spacing w:line="560" w:lineRule="exact"/>
        <w:ind w:firstLine="640" w:firstLineChars="200"/>
        <w:rPr>
          <w:rFonts w:cs="Times New Roman"/>
          <w:color w:val="auto"/>
          <w:u w:val="none"/>
        </w:rPr>
      </w:pPr>
      <w:r>
        <w:rPr>
          <w:rFonts w:hint="eastAsia" w:cs="Times New Roman"/>
          <w:color w:val="auto"/>
          <w:u w:val="none"/>
        </w:rPr>
        <w:t xml:space="preserve">  </w:t>
      </w:r>
      <w:r>
        <w:rPr>
          <w:rFonts w:hint="eastAsia" w:cs="Times New Roman"/>
          <w:color w:val="auto"/>
          <w:u w:val="none"/>
          <w:lang w:eastAsia="zh-CN"/>
        </w:rPr>
        <w:t>公共管理和服务机构</w:t>
      </w:r>
      <w:r>
        <w:rPr>
          <w:rFonts w:hint="eastAsia" w:cs="Times New Roman"/>
          <w:color w:val="auto"/>
          <w:u w:val="none"/>
        </w:rPr>
        <w:t>应当通</w:t>
      </w:r>
      <w:r>
        <w:rPr>
          <w:rFonts w:hint="eastAsia" w:cs="Times New Roman"/>
          <w:color w:val="auto"/>
          <w:u w:val="none"/>
          <w:lang w:val="en-US" w:eastAsia="zh-CN"/>
        </w:rPr>
        <w:t>过</w:t>
      </w:r>
      <w:r>
        <w:rPr>
          <w:rFonts w:hint="eastAsia" w:cs="Times New Roman"/>
          <w:color w:val="auto"/>
          <w:u w:val="none"/>
        </w:rPr>
        <w:t>文件下载、接口调用等易于获取和加工的方式向社会开放。</w:t>
      </w:r>
    </w:p>
    <w:p w14:paraId="4A31BCFD">
      <w:pPr>
        <w:pageBreakBefore w:val="0"/>
        <w:numPr>
          <w:ilvl w:val="0"/>
          <w:numId w:val="2"/>
        </w:numPr>
        <w:wordWrap/>
        <w:overflowPunct/>
        <w:topLinePunct w:val="0"/>
        <w:bidi w:val="0"/>
        <w:spacing w:line="560" w:lineRule="exact"/>
        <w:ind w:firstLine="640" w:firstLineChars="200"/>
        <w:rPr>
          <w:rFonts w:cs="Times New Roman"/>
          <w:color w:val="auto"/>
          <w:u w:val="none"/>
        </w:rPr>
      </w:pPr>
      <w:r>
        <w:rPr>
          <w:rFonts w:hint="eastAsia" w:cs="Times New Roman"/>
          <w:color w:val="auto"/>
          <w:u w:val="none"/>
        </w:rPr>
        <w:t xml:space="preserve">  公共数据开放属性分为不予开放类、有条件开放类、无条件开放类，</w:t>
      </w:r>
      <w:r>
        <w:rPr>
          <w:rFonts w:hint="eastAsia" w:cs="Times New Roman"/>
          <w:color w:val="auto"/>
          <w:u w:val="none"/>
          <w:lang w:val="en-US" w:eastAsia="zh-CN"/>
        </w:rPr>
        <w:t>公共管理和服务机构</w:t>
      </w:r>
      <w:r>
        <w:rPr>
          <w:rFonts w:hint="eastAsia" w:cs="Times New Roman"/>
          <w:color w:val="auto"/>
          <w:u w:val="none"/>
        </w:rPr>
        <w:t>在编制</w:t>
      </w:r>
      <w:r>
        <w:rPr>
          <w:rFonts w:hint="eastAsia" w:cs="Times New Roman"/>
          <w:color w:val="auto"/>
          <w:u w:val="none"/>
          <w:lang w:eastAsia="zh-CN"/>
        </w:rPr>
        <w:t>公共数据目录</w:t>
      </w:r>
      <w:r>
        <w:rPr>
          <w:rFonts w:hint="eastAsia" w:cs="Times New Roman"/>
          <w:color w:val="auto"/>
          <w:u w:val="none"/>
        </w:rPr>
        <w:t>时应当确定</w:t>
      </w:r>
      <w:r>
        <w:rPr>
          <w:rFonts w:hint="eastAsia" w:cs="Times New Roman"/>
          <w:color w:val="auto"/>
          <w:u w:val="none"/>
          <w:lang w:val="en-US" w:eastAsia="zh-CN"/>
        </w:rPr>
        <w:t>其开放属性</w:t>
      </w:r>
      <w:r>
        <w:rPr>
          <w:rFonts w:hint="eastAsia" w:cs="Times New Roman"/>
          <w:color w:val="auto"/>
          <w:u w:val="none"/>
        </w:rPr>
        <w:t>。</w:t>
      </w:r>
    </w:p>
    <w:p w14:paraId="5CA346FF">
      <w:pPr>
        <w:pageBreakBefore w:val="0"/>
        <w:wordWrap/>
        <w:overflowPunct/>
        <w:topLinePunct w:val="0"/>
        <w:bidi w:val="0"/>
        <w:spacing w:line="560" w:lineRule="exact"/>
        <w:ind w:firstLine="640" w:firstLineChars="200"/>
        <w:rPr>
          <w:rFonts w:cs="Times New Roman"/>
          <w:color w:val="auto"/>
          <w:u w:val="none"/>
        </w:rPr>
      </w:pPr>
      <w:r>
        <w:rPr>
          <w:rFonts w:hint="eastAsia" w:cs="Times New Roman"/>
          <w:color w:val="auto"/>
          <w:u w:val="none"/>
        </w:rPr>
        <w:t>（一）应当依法予以保密，以及法律、法规规定不得开放的公共数据属于不予开放类。</w:t>
      </w:r>
    </w:p>
    <w:p w14:paraId="25A9288A">
      <w:pPr>
        <w:pageBreakBefore w:val="0"/>
        <w:wordWrap/>
        <w:overflowPunct/>
        <w:topLinePunct w:val="0"/>
        <w:bidi w:val="0"/>
        <w:spacing w:line="560" w:lineRule="exact"/>
        <w:ind w:firstLine="640" w:firstLineChars="200"/>
        <w:rPr>
          <w:rFonts w:hint="eastAsia" w:cs="Times New Roman"/>
          <w:color w:val="auto"/>
          <w:u w:val="none"/>
        </w:rPr>
      </w:pPr>
      <w:r>
        <w:rPr>
          <w:rFonts w:hint="eastAsia" w:cs="Times New Roman"/>
          <w:color w:val="auto"/>
          <w:u w:val="none"/>
        </w:rPr>
        <w:t>（二）在限定对象、用途、使用范围等特定条件下可以向自然人、法人和</w:t>
      </w:r>
      <w:r>
        <w:rPr>
          <w:rFonts w:hint="default" w:cs="Times New Roman"/>
          <w:color w:val="auto"/>
          <w:u w:val="none"/>
          <w:lang w:val="en-US"/>
        </w:rPr>
        <w:t>非法人</w:t>
      </w:r>
      <w:r>
        <w:rPr>
          <w:rFonts w:hint="eastAsia" w:cs="Times New Roman"/>
          <w:color w:val="auto"/>
          <w:u w:val="none"/>
        </w:rPr>
        <w:t>组织使用的公共数据属于有条件开放类。</w:t>
      </w:r>
      <w:r>
        <w:rPr>
          <w:rFonts w:hint="eastAsia" w:cs="Times New Roman"/>
          <w:color w:val="auto"/>
          <w:u w:val="none"/>
          <w:lang w:eastAsia="zh-CN"/>
        </w:rPr>
        <w:t>公共管理和服务机构</w:t>
      </w:r>
      <w:r>
        <w:rPr>
          <w:rFonts w:hint="eastAsia" w:cs="Times New Roman"/>
          <w:color w:val="auto"/>
          <w:u w:val="none"/>
        </w:rPr>
        <w:t>应当明确有条件开放类公共数据的开放要求，向符合条件的</w:t>
      </w:r>
      <w:r>
        <w:rPr>
          <w:rFonts w:hint="eastAsia" w:cs="Times New Roman"/>
          <w:color w:val="auto"/>
          <w:u w:val="none"/>
          <w:lang w:val="en-US" w:eastAsia="zh-CN"/>
        </w:rPr>
        <w:t>自然人</w:t>
      </w:r>
      <w:r>
        <w:rPr>
          <w:rFonts w:hint="eastAsia" w:cs="Times New Roman"/>
          <w:color w:val="auto"/>
          <w:u w:val="none"/>
        </w:rPr>
        <w:t>、法人和</w:t>
      </w:r>
      <w:r>
        <w:rPr>
          <w:rFonts w:hint="default" w:cs="Times New Roman"/>
          <w:color w:val="auto"/>
          <w:u w:val="none"/>
          <w:lang w:val="en-US"/>
        </w:rPr>
        <w:t>非法人</w:t>
      </w:r>
      <w:r>
        <w:rPr>
          <w:rFonts w:hint="eastAsia" w:cs="Times New Roman"/>
          <w:color w:val="auto"/>
          <w:u w:val="none"/>
        </w:rPr>
        <w:t>组织开放。</w:t>
      </w:r>
    </w:p>
    <w:p w14:paraId="5AE292B5">
      <w:pPr>
        <w:pageBreakBefore w:val="0"/>
        <w:wordWrap/>
        <w:overflowPunct/>
        <w:topLinePunct w:val="0"/>
        <w:bidi w:val="0"/>
        <w:spacing w:line="560" w:lineRule="exact"/>
        <w:ind w:firstLine="640" w:firstLineChars="200"/>
        <w:rPr>
          <w:rFonts w:cs="Times New Roman"/>
          <w:color w:val="auto"/>
          <w:u w:val="none"/>
        </w:rPr>
      </w:pPr>
      <w:r>
        <w:rPr>
          <w:rFonts w:hint="eastAsia" w:cs="Times New Roman"/>
          <w:color w:val="auto"/>
          <w:u w:val="none"/>
        </w:rPr>
        <w:t>（三）不予开放类和有条件开放类以外的其他公共数据属于无条件开放类。</w:t>
      </w:r>
    </w:p>
    <w:p w14:paraId="7704F210">
      <w:pPr>
        <w:pageBreakBefore w:val="0"/>
        <w:numPr>
          <w:ilvl w:val="0"/>
          <w:numId w:val="2"/>
        </w:numPr>
        <w:wordWrap/>
        <w:overflowPunct/>
        <w:topLinePunct w:val="0"/>
        <w:bidi w:val="0"/>
        <w:spacing w:line="560" w:lineRule="exact"/>
        <w:ind w:firstLine="640" w:firstLineChars="200"/>
        <w:rPr>
          <w:rFonts w:cs="Times New Roman"/>
          <w:color w:val="auto"/>
          <w:u w:val="none"/>
        </w:rPr>
      </w:pPr>
      <w:r>
        <w:rPr>
          <w:rFonts w:cs="Times New Roman"/>
          <w:color w:val="auto"/>
          <w:u w:val="none"/>
        </w:rPr>
        <w:t xml:space="preserve">  </w:t>
      </w:r>
      <w:r>
        <w:rPr>
          <w:rFonts w:hint="eastAsia" w:ascii="仿宋_GB2312" w:hAnsi="仿宋_GB2312" w:eastAsia="仿宋_GB2312" w:cs="仿宋_GB2312"/>
          <w:color w:val="auto"/>
          <w:sz w:val="32"/>
          <w:u w:val="none"/>
          <w:lang w:val="en-US" w:eastAsia="zh-CN"/>
        </w:rPr>
        <w:t>公共数据提供单位按照规定编制本机构公共数据开放目录，经本级</w:t>
      </w:r>
      <w:r>
        <w:rPr>
          <w:rFonts w:hint="eastAsia" w:ascii="仿宋_GB2312" w:hAnsi="仿宋_GB2312" w:cs="仿宋_GB2312"/>
          <w:color w:val="auto"/>
          <w:sz w:val="32"/>
          <w:u w:val="none"/>
          <w:lang w:val="en-US" w:eastAsia="zh-CN"/>
        </w:rPr>
        <w:t>数据管理部门</w:t>
      </w:r>
      <w:r>
        <w:rPr>
          <w:rFonts w:hint="eastAsia" w:ascii="仿宋_GB2312" w:hAnsi="仿宋_GB2312" w:eastAsia="仿宋_GB2312" w:cs="仿宋_GB2312"/>
          <w:color w:val="auto"/>
          <w:sz w:val="32"/>
          <w:u w:val="none"/>
          <w:lang w:val="en-US" w:eastAsia="zh-CN"/>
        </w:rPr>
        <w:t>审核后，通过</w:t>
      </w:r>
      <w:r>
        <w:rPr>
          <w:rFonts w:hint="eastAsia" w:ascii="仿宋_GB2312" w:hAnsi="仿宋_GB2312" w:cs="仿宋_GB2312"/>
          <w:color w:val="auto"/>
          <w:sz w:val="32"/>
          <w:u w:val="none"/>
          <w:lang w:val="en-US" w:eastAsia="zh-CN"/>
        </w:rPr>
        <w:t>市</w:t>
      </w:r>
      <w:r>
        <w:rPr>
          <w:rFonts w:hint="eastAsia" w:ascii="仿宋_GB2312" w:hAnsi="仿宋_GB2312" w:eastAsia="仿宋_GB2312" w:cs="仿宋_GB2312"/>
          <w:color w:val="auto"/>
          <w:sz w:val="32"/>
          <w:highlight w:val="none"/>
          <w:u w:val="none"/>
          <w:lang w:val="en-US" w:eastAsia="zh-CN"/>
        </w:rPr>
        <w:t>公共数据平台</w:t>
      </w:r>
      <w:r>
        <w:rPr>
          <w:rFonts w:hint="eastAsia" w:ascii="仿宋_GB2312" w:hAnsi="仿宋_GB2312" w:eastAsia="仿宋_GB2312" w:cs="仿宋_GB2312"/>
          <w:color w:val="auto"/>
          <w:sz w:val="32"/>
          <w:u w:val="none"/>
          <w:lang w:val="en-US" w:eastAsia="zh-CN"/>
        </w:rPr>
        <w:t>向社会公布，并按照实际需要实行动态调整。公共数据开放目录需标注数据名称、开放主体、开放属性、数据格式、数据类型、更新频率等内容。</w:t>
      </w:r>
    </w:p>
    <w:p w14:paraId="7A1FB668">
      <w:pPr>
        <w:pageBreakBefore w:val="0"/>
        <w:wordWrap/>
        <w:overflowPunct/>
        <w:topLinePunct w:val="0"/>
        <w:bidi w:val="0"/>
        <w:spacing w:line="560" w:lineRule="exact"/>
        <w:ind w:firstLine="640" w:firstLineChars="200"/>
        <w:rPr>
          <w:rFonts w:cs="Times New Roman"/>
          <w:color w:val="auto"/>
          <w:u w:val="none"/>
        </w:rPr>
      </w:pPr>
      <w:r>
        <w:rPr>
          <w:rFonts w:hint="eastAsia" w:ascii="仿宋_GB2312" w:hAnsi="仿宋_GB2312" w:eastAsia="仿宋_GB2312" w:cs="仿宋_GB2312"/>
          <w:color w:val="auto"/>
          <w:sz w:val="32"/>
          <w:u w:val="none"/>
          <w:lang w:val="en-US" w:eastAsia="zh-CN"/>
        </w:rPr>
        <w:t>对于未列入开放目录的公共数据有使用需求的，</w:t>
      </w:r>
      <w:r>
        <w:rPr>
          <w:rFonts w:hint="eastAsia" w:cs="Times New Roman"/>
          <w:color w:val="auto"/>
          <w:u w:val="none"/>
        </w:rPr>
        <w:t>自然人、法人和非法人组织</w:t>
      </w:r>
      <w:r>
        <w:rPr>
          <w:rFonts w:cs="Times New Roman"/>
          <w:color w:val="auto"/>
          <w:u w:val="none"/>
        </w:rPr>
        <w:t>可以通过</w:t>
      </w:r>
      <w:r>
        <w:rPr>
          <w:rFonts w:hint="eastAsia" w:cs="Times New Roman"/>
          <w:color w:val="auto"/>
          <w:u w:val="none"/>
        </w:rPr>
        <w:t>公共数据</w:t>
      </w:r>
      <w:r>
        <w:rPr>
          <w:rFonts w:cs="Times New Roman"/>
          <w:color w:val="auto"/>
          <w:u w:val="none"/>
        </w:rPr>
        <w:t>平台</w:t>
      </w:r>
      <w:r>
        <w:rPr>
          <w:rFonts w:hint="eastAsia" w:cs="Times New Roman"/>
          <w:color w:val="auto"/>
          <w:u w:val="none"/>
        </w:rPr>
        <w:t>提出申请，</w:t>
      </w:r>
      <w:r>
        <w:rPr>
          <w:rFonts w:hint="eastAsia" w:ascii="仿宋_GB2312" w:hAnsi="仿宋_GB2312" w:cs="仿宋_GB2312"/>
          <w:color w:val="auto"/>
          <w:sz w:val="32"/>
          <w:u w:val="none"/>
          <w:lang w:val="en-US" w:eastAsia="zh-CN"/>
        </w:rPr>
        <w:t>数据管理部门</w:t>
      </w:r>
      <w:r>
        <w:rPr>
          <w:rFonts w:hint="eastAsia" w:ascii="仿宋_GB2312" w:hAnsi="仿宋_GB2312" w:eastAsia="仿宋_GB2312" w:cs="仿宋_GB2312"/>
          <w:color w:val="auto"/>
          <w:sz w:val="32"/>
          <w:u w:val="none"/>
          <w:lang w:val="en-US" w:eastAsia="zh-CN"/>
        </w:rPr>
        <w:t>会同公共数据提供单位</w:t>
      </w:r>
      <w:r>
        <w:rPr>
          <w:rFonts w:cs="Times New Roman"/>
          <w:color w:val="auto"/>
          <w:u w:val="none"/>
        </w:rPr>
        <w:t>应当按照相关规定进行评估</w:t>
      </w:r>
      <w:r>
        <w:rPr>
          <w:rFonts w:hint="eastAsia" w:cs="Times New Roman"/>
          <w:color w:val="auto"/>
          <w:u w:val="none"/>
        </w:rPr>
        <w:t>和答复。</w:t>
      </w:r>
    </w:p>
    <w:p w14:paraId="688B226E">
      <w:pPr>
        <w:pageBreakBefore w:val="0"/>
        <w:numPr>
          <w:ilvl w:val="0"/>
          <w:numId w:val="2"/>
        </w:numPr>
        <w:wordWrap/>
        <w:overflowPunct/>
        <w:topLinePunct w:val="0"/>
        <w:bidi w:val="0"/>
        <w:spacing w:line="560" w:lineRule="exact"/>
        <w:ind w:firstLine="640" w:firstLineChars="200"/>
        <w:rPr>
          <w:rFonts w:hint="eastAsia" w:ascii="仿宋_GB2312" w:hAnsi="仿宋_GB2312" w:eastAsia="仿宋_GB2312" w:cs="仿宋_GB2312"/>
          <w:color w:val="auto"/>
          <w:u w:val="none"/>
        </w:rPr>
      </w:pPr>
      <w:r>
        <w:rPr>
          <w:rFonts w:hint="eastAsia" w:cs="Times New Roman"/>
          <w:color w:val="auto"/>
          <w:u w:val="none"/>
        </w:rPr>
        <w:t xml:space="preserve">  </w:t>
      </w:r>
      <w:r>
        <w:rPr>
          <w:rFonts w:hint="eastAsia" w:ascii="仿宋_GB2312" w:hAnsi="仿宋_GB2312" w:eastAsia="仿宋_GB2312" w:cs="仿宋_GB2312"/>
          <w:color w:val="auto"/>
          <w:u w:val="none"/>
        </w:rPr>
        <w:t>无条件开放的公共数据，自然人、法人和非法人组织可以通过</w:t>
      </w:r>
      <w:r>
        <w:rPr>
          <w:rFonts w:hint="eastAsia" w:ascii="仿宋_GB2312" w:hAnsi="仿宋_GB2312" w:eastAsia="仿宋_GB2312" w:cs="仿宋_GB2312"/>
          <w:color w:val="auto"/>
          <w:u w:val="none"/>
          <w:lang w:eastAsia="zh-CN"/>
        </w:rPr>
        <w:t>市</w:t>
      </w:r>
      <w:r>
        <w:rPr>
          <w:rFonts w:hint="eastAsia" w:ascii="仿宋_GB2312" w:hAnsi="仿宋_GB2312" w:eastAsia="仿宋_GB2312" w:cs="仿宋_GB2312"/>
          <w:color w:val="auto"/>
          <w:u w:val="none"/>
        </w:rPr>
        <w:t>公共数据平台获取。</w:t>
      </w:r>
    </w:p>
    <w:p w14:paraId="2051546A">
      <w:pPr>
        <w:pageBreakBefore w:val="0"/>
        <w:numPr>
          <w:ilvl w:val="-1"/>
          <w:numId w:val="0"/>
        </w:numPr>
        <w:wordWrap/>
        <w:overflowPunct/>
        <w:topLinePunct w:val="0"/>
        <w:bidi w:val="0"/>
        <w:spacing w:line="560" w:lineRule="exact"/>
        <w:ind w:firstLine="640" w:firstLineChars="200"/>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有条件开放的公共数据，</w:t>
      </w:r>
      <w:r>
        <w:rPr>
          <w:rFonts w:hint="eastAsia" w:ascii="仿宋_GB2312" w:hAnsi="仿宋_GB2312" w:eastAsia="仿宋_GB2312" w:cs="仿宋_GB2312"/>
          <w:color w:val="auto"/>
          <w:u w:val="none"/>
          <w:lang w:val="en-US" w:eastAsia="zh-CN"/>
        </w:rPr>
        <w:t>数据需求方</w:t>
      </w:r>
      <w:r>
        <w:rPr>
          <w:rFonts w:hint="eastAsia" w:ascii="仿宋_GB2312" w:hAnsi="仿宋_GB2312" w:eastAsia="仿宋_GB2312" w:cs="仿宋_GB2312"/>
          <w:color w:val="auto"/>
          <w:u w:val="none"/>
        </w:rPr>
        <w:t>应当通过</w:t>
      </w:r>
      <w:r>
        <w:rPr>
          <w:rFonts w:hint="eastAsia" w:ascii="仿宋_GB2312" w:hAnsi="仿宋_GB2312" w:eastAsia="仿宋_GB2312" w:cs="仿宋_GB2312"/>
          <w:color w:val="auto"/>
          <w:u w:val="none"/>
          <w:lang w:eastAsia="zh-CN"/>
        </w:rPr>
        <w:t>市</w:t>
      </w:r>
      <w:r>
        <w:rPr>
          <w:rFonts w:hint="eastAsia" w:ascii="仿宋_GB2312" w:hAnsi="仿宋_GB2312" w:eastAsia="仿宋_GB2312" w:cs="仿宋_GB2312"/>
          <w:color w:val="auto"/>
          <w:u w:val="none"/>
        </w:rPr>
        <w:t>公共数据平台提交开放申请</w:t>
      </w:r>
      <w:r>
        <w:rPr>
          <w:rFonts w:hint="eastAsia" w:ascii="仿宋_GB2312" w:hAnsi="仿宋_GB2312" w:cs="仿宋_GB2312"/>
          <w:color w:val="auto"/>
          <w:u w:val="none"/>
          <w:lang w:eastAsia="zh-CN"/>
        </w:rPr>
        <w:t>，</w:t>
      </w:r>
      <w:r>
        <w:rPr>
          <w:rFonts w:hint="eastAsia" w:ascii="仿宋_GB2312" w:hAnsi="仿宋_GB2312" w:cs="仿宋_GB2312"/>
          <w:color w:val="auto"/>
          <w:u w:val="none"/>
          <w:lang w:val="en-US" w:eastAsia="zh-CN"/>
        </w:rPr>
        <w:t>数据管理部门应当</w:t>
      </w:r>
      <w:r>
        <w:rPr>
          <w:rFonts w:hint="eastAsia" w:ascii="仿宋_GB2312" w:hAnsi="仿宋_GB2312" w:eastAsia="仿宋_GB2312" w:cs="仿宋_GB2312"/>
          <w:color w:val="auto"/>
          <w:u w:val="none"/>
          <w:lang w:val="en-US" w:eastAsia="zh-CN"/>
        </w:rPr>
        <w:t>在2个工作日内完成初审，初审通过后由公共数据提供单位在5个工作日内完成复审。</w:t>
      </w:r>
      <w:r>
        <w:rPr>
          <w:rFonts w:hint="eastAsia" w:ascii="仿宋_GB2312" w:hAnsi="仿宋_GB2312" w:eastAsia="仿宋_GB2312" w:cs="仿宋_GB2312"/>
          <w:color w:val="auto"/>
          <w:u w:val="none"/>
        </w:rPr>
        <w:t>不同意开放的，应当说明理由，并提供相应的法律、法规依据。</w:t>
      </w:r>
    </w:p>
    <w:p w14:paraId="4D87833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both"/>
        <w:textAlignment w:val="auto"/>
        <w:outlineLvl w:val="0"/>
        <w:rPr>
          <w:rFonts w:hint="eastAsia" w:cs="Times New Roman"/>
          <w:color w:val="auto"/>
          <w:u w:val="none"/>
          <w:lang w:val="en-US" w:eastAsia="zh-CN"/>
        </w:rPr>
      </w:pPr>
      <w:r>
        <w:rPr>
          <w:rFonts w:hint="eastAsia" w:cs="Times New Roman"/>
          <w:color w:val="auto"/>
          <w:u w:val="none"/>
        </w:rPr>
        <w:t xml:space="preserve">  </w:t>
      </w:r>
      <w:bookmarkStart w:id="36" w:name="_Toc1059642996"/>
      <w:r>
        <w:rPr>
          <w:rFonts w:hint="eastAsia" w:cs="Times New Roman"/>
          <w:color w:val="auto"/>
          <w:u w:val="none"/>
          <w:lang w:val="en-US" w:eastAsia="zh-CN"/>
        </w:rPr>
        <w:t>对于列入开放目录的数据有异议的，自然人、法人或非法人组织可通过公共数据开放平台提出异议申请，数据管理部门会同公共数据提供单位核查、整改后，需及时进行反馈。</w:t>
      </w:r>
      <w:bookmarkEnd w:id="36"/>
    </w:p>
    <w:p w14:paraId="61A75DB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both"/>
        <w:textAlignment w:val="auto"/>
        <w:outlineLvl w:val="0"/>
        <w:rPr>
          <w:rFonts w:hint="eastAsia" w:cs="Times New Roman"/>
          <w:color w:val="auto"/>
          <w:u w:val="none"/>
          <w:lang w:val="en-US" w:eastAsia="zh-CN"/>
        </w:rPr>
      </w:pPr>
    </w:p>
    <w:p w14:paraId="6D1DAA33">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outlineLvl w:val="0"/>
        <w:rPr>
          <w:rFonts w:hint="eastAsia" w:ascii="黑体" w:hAnsi="黑体" w:eastAsia="黑体" w:cs="黑体"/>
          <w:color w:val="auto"/>
          <w:sz w:val="32"/>
          <w:u w:val="none"/>
          <w:lang w:val="en-US" w:eastAsia="zh-CN"/>
        </w:rPr>
      </w:pPr>
      <w:bookmarkStart w:id="37" w:name="_Toc593041590"/>
      <w:r>
        <w:rPr>
          <w:rFonts w:hint="eastAsia" w:ascii="黑体" w:hAnsi="黑体" w:eastAsia="黑体" w:cs="黑体"/>
          <w:color w:val="auto"/>
          <w:sz w:val="32"/>
          <w:u w:val="none"/>
          <w:lang w:val="en-US" w:eastAsia="zh-CN"/>
        </w:rPr>
        <w:t>公共数据资源授权运营</w:t>
      </w:r>
      <w:bookmarkEnd w:id="37"/>
    </w:p>
    <w:p w14:paraId="5856666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both"/>
        <w:textAlignment w:val="auto"/>
        <w:outlineLvl w:val="0"/>
        <w:rPr>
          <w:rFonts w:hint="eastAsia" w:ascii="仿宋_GB2312" w:hAnsi="仿宋_GB2312" w:eastAsia="仿宋_GB2312" w:cs="仿宋_GB2312"/>
          <w:color w:val="auto"/>
          <w:sz w:val="32"/>
          <w:u w:val="none"/>
          <w:lang w:val="en-US" w:eastAsia="zh-CN"/>
        </w:rPr>
      </w:pPr>
    </w:p>
    <w:p w14:paraId="417BF7B5">
      <w:pPr>
        <w:pageBreakBefore w:val="0"/>
        <w:numPr>
          <w:ilvl w:val="0"/>
          <w:numId w:val="2"/>
        </w:numPr>
        <w:wordWrap/>
        <w:overflowPunct/>
        <w:topLinePunct w:val="0"/>
        <w:bidi w:val="0"/>
        <w:spacing w:line="560" w:lineRule="exact"/>
        <w:ind w:firstLine="640" w:firstLineChars="200"/>
        <w:rPr>
          <w:color w:val="auto"/>
          <w:u w:val="none"/>
        </w:rPr>
      </w:pPr>
      <w:r>
        <w:rPr>
          <w:rFonts w:hint="eastAsia" w:cs="Times New Roman"/>
          <w:color w:val="auto"/>
          <w:u w:val="none"/>
        </w:rPr>
        <w:t xml:space="preserve">  数据管理部门</w:t>
      </w:r>
      <w:r>
        <w:rPr>
          <w:rFonts w:cs="Times New Roman"/>
          <w:color w:val="auto"/>
          <w:u w:val="none"/>
        </w:rPr>
        <w:t>推进公共数据依法有序开发利用，支持与民生紧密相关、社会迫切需要、行业增值潜力显著和产业战略意义重大的领域优先开展</w:t>
      </w:r>
      <w:r>
        <w:rPr>
          <w:rFonts w:hint="eastAsia" w:cs="Times New Roman"/>
          <w:color w:val="auto"/>
          <w:u w:val="none"/>
          <w:lang w:eastAsia="zh-CN"/>
        </w:rPr>
        <w:t>公共数据资源授权运营</w:t>
      </w:r>
      <w:r>
        <w:rPr>
          <w:rFonts w:cs="Times New Roman"/>
          <w:color w:val="auto"/>
          <w:u w:val="none"/>
        </w:rPr>
        <w:t>试点</w:t>
      </w:r>
      <w:r>
        <w:rPr>
          <w:rFonts w:hint="eastAsia" w:cs="Times New Roman"/>
          <w:color w:val="auto"/>
          <w:u w:val="none"/>
        </w:rPr>
        <w:t>。</w:t>
      </w:r>
    </w:p>
    <w:p w14:paraId="7DEB29AC">
      <w:pPr>
        <w:pageBreakBefore w:val="0"/>
        <w:numPr>
          <w:ilvl w:val="0"/>
          <w:numId w:val="2"/>
        </w:numPr>
        <w:wordWrap/>
        <w:overflowPunct/>
        <w:topLinePunct w:val="0"/>
        <w:bidi w:val="0"/>
        <w:spacing w:line="560" w:lineRule="exact"/>
        <w:ind w:firstLine="640" w:firstLineChars="200"/>
        <w:rPr>
          <w:rFonts w:hint="eastAsia" w:cs="Times New Roman"/>
          <w:color w:val="auto"/>
          <w:u w:val="none"/>
        </w:rPr>
      </w:pPr>
      <w:r>
        <w:rPr>
          <w:rFonts w:hint="eastAsia" w:cs="Times New Roman"/>
          <w:color w:val="auto"/>
          <w:u w:val="none"/>
          <w:lang w:val="en-US" w:eastAsia="zh-CN"/>
        </w:rPr>
        <w:t xml:space="preserve"> </w:t>
      </w:r>
      <w:r>
        <w:rPr>
          <w:rFonts w:hint="eastAsia" w:cs="Times New Roman"/>
          <w:color w:val="auto"/>
          <w:u w:val="none"/>
        </w:rPr>
        <w:t xml:space="preserve"> 县级以上人民政府可将依法持有或管理的公共数据资源，在落实数据分类分级保护制度要求，不危害国家安全、公共利益，不侵犯商业秘密和个人隐私、个人信息权益等合法权益前提下，纳入授权运营范围。</w:t>
      </w:r>
    </w:p>
    <w:p w14:paraId="48280CC4">
      <w:pPr>
        <w:pageBreakBefore w:val="0"/>
        <w:numPr>
          <w:ilvl w:val="-1"/>
          <w:numId w:val="0"/>
        </w:numPr>
        <w:wordWrap/>
        <w:overflowPunct/>
        <w:topLinePunct w:val="0"/>
        <w:bidi w:val="0"/>
        <w:spacing w:line="560" w:lineRule="exact"/>
        <w:ind w:firstLine="640" w:firstLineChars="200"/>
        <w:rPr>
          <w:rFonts w:hint="eastAsia" w:cs="Times New Roman"/>
          <w:color w:val="auto"/>
          <w:u w:val="none"/>
        </w:rPr>
      </w:pPr>
      <w:r>
        <w:rPr>
          <w:rFonts w:hint="eastAsia" w:cs="Times New Roman"/>
          <w:color w:val="auto"/>
          <w:u w:val="none"/>
        </w:rPr>
        <w:t>以政务数据共享方式获得的其他地区或部门的公共数据，用于授权运营的，应征得共享数据提供单位同意。</w:t>
      </w:r>
    </w:p>
    <w:p w14:paraId="07257848">
      <w:pPr>
        <w:pageBreakBefore w:val="0"/>
        <w:numPr>
          <w:ilvl w:val="0"/>
          <w:numId w:val="2"/>
        </w:numPr>
        <w:wordWrap/>
        <w:overflowPunct/>
        <w:topLinePunct w:val="0"/>
        <w:bidi w:val="0"/>
        <w:spacing w:line="560" w:lineRule="exact"/>
        <w:ind w:firstLine="640" w:firstLineChars="200"/>
        <w:rPr>
          <w:color w:val="auto"/>
          <w:u w:val="none"/>
        </w:rPr>
      </w:pPr>
      <w:r>
        <w:rPr>
          <w:rFonts w:hint="eastAsia" w:cs="Times New Roman"/>
          <w:color w:val="auto"/>
          <w:u w:val="none"/>
          <w:lang w:val="en-US" w:eastAsia="zh-CN"/>
        </w:rPr>
        <w:t xml:space="preserve">  </w:t>
      </w:r>
      <w:r>
        <w:rPr>
          <w:rFonts w:hint="eastAsia" w:cs="Times New Roman"/>
          <w:color w:val="auto"/>
          <w:u w:val="none"/>
          <w:lang w:eastAsia="zh-CN"/>
        </w:rPr>
        <w:t>公共公共数据产品和服务的开发与运营需在维护国家数据安全、保护个人信息的前提下开展，按需申请数据并在授权范围内使用，不得将数据用于或者变相用于其他目的。</w:t>
      </w:r>
    </w:p>
    <w:p w14:paraId="5720C1F6">
      <w:pPr>
        <w:pageBreakBefore w:val="0"/>
        <w:numPr>
          <w:ilvl w:val="0"/>
          <w:numId w:val="2"/>
        </w:numPr>
        <w:wordWrap/>
        <w:overflowPunct/>
        <w:topLinePunct w:val="0"/>
        <w:bidi w:val="0"/>
        <w:spacing w:line="560" w:lineRule="exact"/>
        <w:ind w:firstLine="640" w:firstLineChars="200"/>
        <w:rPr>
          <w:rFonts w:ascii="仿宋_GB2312" w:hAnsi="仿宋_GB2312" w:eastAsia="仿宋_GB2312" w:cs="仿宋_GB2312"/>
          <w:snapToGrid w:val="0"/>
          <w:color w:val="auto"/>
          <w:kern w:val="0"/>
          <w:sz w:val="31"/>
          <w:szCs w:val="31"/>
          <w:u w:val="none"/>
          <w:lang w:val="en-US" w:eastAsia="zh-CN" w:bidi="ar"/>
        </w:rPr>
      </w:pPr>
      <w:r>
        <w:rPr>
          <w:rFonts w:hint="eastAsia" w:cs="Times New Roman"/>
          <w:color w:val="auto"/>
          <w:u w:val="none"/>
          <w:lang w:val="en-US" w:eastAsia="zh-CN"/>
        </w:rPr>
        <w:t xml:space="preserve"> </w:t>
      </w:r>
      <w:r>
        <w:rPr>
          <w:rFonts w:hint="eastAsia" w:cs="Times New Roman"/>
          <w:color w:val="auto"/>
          <w:u w:val="none"/>
        </w:rPr>
        <w:t xml:space="preserve"> 数据管理部门组织协调</w:t>
      </w:r>
      <w:r>
        <w:rPr>
          <w:rFonts w:hint="eastAsia" w:cs="Times New Roman"/>
          <w:color w:val="auto"/>
          <w:u w:val="none"/>
          <w:lang w:eastAsia="zh-CN"/>
        </w:rPr>
        <w:t>公共数据资源授权运营</w:t>
      </w:r>
      <w:r>
        <w:rPr>
          <w:rFonts w:hint="eastAsia" w:cs="Times New Roman"/>
          <w:color w:val="auto"/>
          <w:u w:val="none"/>
        </w:rPr>
        <w:t>工作</w:t>
      </w:r>
      <w:r>
        <w:rPr>
          <w:rFonts w:hint="eastAsia" w:cs="Times New Roman"/>
          <w:color w:val="auto"/>
          <w:u w:val="none"/>
          <w:lang w:eastAsia="zh-CN"/>
        </w:rPr>
        <w:t>。</w:t>
      </w:r>
      <w:r>
        <w:rPr>
          <w:rFonts w:ascii="仿宋_GB2312" w:hAnsi="仿宋_GB2312" w:eastAsia="仿宋_GB2312" w:cs="仿宋_GB2312"/>
          <w:snapToGrid w:val="0"/>
          <w:color w:val="auto"/>
          <w:kern w:val="0"/>
          <w:sz w:val="31"/>
          <w:szCs w:val="31"/>
          <w:u w:val="none"/>
          <w:lang w:val="en-US" w:eastAsia="zh-CN" w:bidi="ar"/>
        </w:rPr>
        <w:t xml:space="preserve">市级授权运营模式以整体授权为主，分领域、依场景授权为辅，具体授权运营模式由市数据局报请市人民政府审议。 </w:t>
      </w:r>
    </w:p>
    <w:p w14:paraId="00CCB786">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rPr>
          <w:rFonts w:ascii="仿宋_GB2312" w:hAnsi="仿宋_GB2312" w:eastAsia="仿宋_GB2312" w:cs="仿宋_GB2312"/>
          <w:snapToGrid w:val="0"/>
          <w:color w:val="auto"/>
          <w:kern w:val="0"/>
          <w:sz w:val="31"/>
          <w:szCs w:val="31"/>
          <w:u w:val="none"/>
          <w:lang w:val="en-US" w:eastAsia="zh-CN" w:bidi="ar"/>
        </w:rPr>
      </w:pPr>
      <w:r>
        <w:rPr>
          <w:rFonts w:ascii="仿宋_GB2312" w:hAnsi="仿宋_GB2312" w:eastAsia="仿宋_GB2312" w:cs="仿宋_GB2312"/>
          <w:snapToGrid w:val="0"/>
          <w:color w:val="auto"/>
          <w:kern w:val="0"/>
          <w:sz w:val="31"/>
          <w:szCs w:val="31"/>
          <w:u w:val="none"/>
          <w:lang w:val="en-US" w:eastAsia="zh-CN" w:bidi="ar"/>
        </w:rPr>
        <w:t>市数据</w:t>
      </w:r>
      <w:r>
        <w:rPr>
          <w:rFonts w:hint="eastAsia" w:ascii="仿宋_GB2312" w:hAnsi="仿宋_GB2312" w:cs="仿宋_GB2312"/>
          <w:snapToGrid w:val="0"/>
          <w:color w:val="auto"/>
          <w:kern w:val="0"/>
          <w:sz w:val="31"/>
          <w:szCs w:val="31"/>
          <w:u w:val="none"/>
          <w:lang w:val="en-US" w:eastAsia="zh-CN" w:bidi="ar"/>
        </w:rPr>
        <w:t>发展服务中心</w:t>
      </w:r>
      <w:r>
        <w:rPr>
          <w:rFonts w:ascii="仿宋_GB2312" w:hAnsi="仿宋_GB2312" w:eastAsia="仿宋_GB2312" w:cs="仿宋_GB2312"/>
          <w:snapToGrid w:val="0"/>
          <w:color w:val="auto"/>
          <w:kern w:val="0"/>
          <w:sz w:val="31"/>
          <w:szCs w:val="31"/>
          <w:u w:val="none"/>
          <w:lang w:val="en-US" w:eastAsia="zh-CN" w:bidi="ar"/>
        </w:rPr>
        <w:t>作为</w:t>
      </w:r>
      <w:r>
        <w:rPr>
          <w:rFonts w:hint="eastAsia" w:ascii="仿宋_GB2312" w:hAnsi="仿宋_GB2312" w:eastAsia="仿宋_GB2312" w:cs="仿宋_GB2312"/>
          <w:snapToGrid w:val="0"/>
          <w:color w:val="auto"/>
          <w:kern w:val="0"/>
          <w:sz w:val="31"/>
          <w:szCs w:val="31"/>
          <w:u w:val="none"/>
          <w:lang w:val="en-US" w:eastAsia="zh-CN" w:bidi="ar"/>
        </w:rPr>
        <w:t>市级综合性</w:t>
      </w:r>
      <w:r>
        <w:rPr>
          <w:rFonts w:ascii="仿宋_GB2312" w:hAnsi="仿宋_GB2312" w:eastAsia="仿宋_GB2312" w:cs="仿宋_GB2312"/>
          <w:snapToGrid w:val="0"/>
          <w:color w:val="auto"/>
          <w:kern w:val="0"/>
          <w:sz w:val="31"/>
          <w:szCs w:val="31"/>
          <w:u w:val="none"/>
          <w:lang w:val="en-US" w:eastAsia="zh-CN" w:bidi="ar"/>
        </w:rPr>
        <w:t xml:space="preserve">实施机构，分领域、依场景授权的实施机构由数据管理部门会同行业主管部门确定。 </w:t>
      </w:r>
    </w:p>
    <w:p w14:paraId="7B91EDBF">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rPr>
          <w:rFonts w:ascii="仿宋_GB2312" w:hAnsi="仿宋_GB2312" w:eastAsia="仿宋_GB2312" w:cs="仿宋_GB2312"/>
          <w:snapToGrid w:val="0"/>
          <w:color w:val="auto"/>
          <w:kern w:val="0"/>
          <w:sz w:val="31"/>
          <w:szCs w:val="31"/>
          <w:u w:val="none"/>
          <w:lang w:val="en-US" w:eastAsia="zh-CN" w:bidi="ar"/>
        </w:rPr>
      </w:pPr>
      <w:r>
        <w:rPr>
          <w:rFonts w:hint="eastAsia" w:ascii="仿宋_GB2312" w:hAnsi="仿宋_GB2312" w:eastAsia="仿宋_GB2312" w:cs="仿宋_GB2312"/>
          <w:snapToGrid w:val="0"/>
          <w:color w:val="auto"/>
          <w:kern w:val="0"/>
          <w:sz w:val="31"/>
          <w:szCs w:val="31"/>
          <w:u w:val="none"/>
          <w:lang w:val="en-US" w:eastAsia="zh-CN" w:bidi="ar"/>
        </w:rPr>
        <w:t>县</w:t>
      </w:r>
      <w:r>
        <w:rPr>
          <w:rFonts w:ascii="仿宋_GB2312" w:hAnsi="仿宋_GB2312" w:eastAsia="仿宋_GB2312" w:cs="仿宋_GB2312"/>
          <w:snapToGrid w:val="0"/>
          <w:color w:val="auto"/>
          <w:kern w:val="0"/>
          <w:sz w:val="31"/>
          <w:szCs w:val="31"/>
          <w:u w:val="none"/>
          <w:lang w:val="en-US" w:eastAsia="zh-CN" w:bidi="ar"/>
        </w:rPr>
        <w:t>（</w:t>
      </w:r>
      <w:r>
        <w:rPr>
          <w:rFonts w:hint="eastAsia" w:ascii="仿宋_GB2312" w:hAnsi="仿宋_GB2312" w:eastAsia="仿宋_GB2312" w:cs="仿宋_GB2312"/>
          <w:snapToGrid w:val="0"/>
          <w:color w:val="auto"/>
          <w:kern w:val="0"/>
          <w:sz w:val="31"/>
          <w:szCs w:val="31"/>
          <w:u w:val="none"/>
          <w:lang w:val="en-US" w:eastAsia="zh-CN" w:bidi="ar"/>
        </w:rPr>
        <w:t>市、区</w:t>
      </w:r>
      <w:r>
        <w:rPr>
          <w:rFonts w:ascii="仿宋_GB2312" w:hAnsi="仿宋_GB2312" w:eastAsia="仿宋_GB2312" w:cs="仿宋_GB2312"/>
          <w:snapToGrid w:val="0"/>
          <w:color w:val="auto"/>
          <w:kern w:val="0"/>
          <w:sz w:val="31"/>
          <w:szCs w:val="31"/>
          <w:u w:val="none"/>
          <w:lang w:val="en-US" w:eastAsia="zh-CN" w:bidi="ar"/>
        </w:rPr>
        <w:t>）人民政府应结合本地实际确定本区域授权运营模式和实施机构。</w:t>
      </w:r>
    </w:p>
    <w:p w14:paraId="3687B028">
      <w:pPr>
        <w:pageBreakBefore w:val="0"/>
        <w:numPr>
          <w:ilvl w:val="0"/>
          <w:numId w:val="2"/>
        </w:numPr>
        <w:wordWrap/>
        <w:overflowPunct/>
        <w:topLinePunct w:val="0"/>
        <w:bidi w:val="0"/>
        <w:spacing w:line="560" w:lineRule="exact"/>
        <w:ind w:firstLine="640" w:firstLineChars="200"/>
        <w:rPr>
          <w:rFonts w:hint="eastAsia"/>
          <w:color w:val="auto"/>
          <w:u w:val="none"/>
          <w:lang w:val="en-US" w:eastAsia="zh-CN"/>
        </w:rPr>
      </w:pPr>
      <w:r>
        <w:rPr>
          <w:rFonts w:hint="eastAsia"/>
          <w:color w:val="auto"/>
          <w:u w:val="none"/>
          <w:lang w:val="en-US" w:eastAsia="zh-CN"/>
        </w:rPr>
        <w:t xml:space="preserve">  授权运营相关工作应依托授权运营平台开展。市数据局负责建设、运维和管理市授权运营平台，全市使用统一的授权运营平台，确保数据资源开发利用过程可管、可控、可追溯。市授权运营平台与市一体化智能化政务数据中枢平台对接联通，按程序获取授权运营数据。县级不再单独建设授权运营平台。</w:t>
      </w:r>
    </w:p>
    <w:p w14:paraId="149C490F">
      <w:pPr>
        <w:pageBreakBefore w:val="0"/>
        <w:numPr>
          <w:ilvl w:val="0"/>
          <w:numId w:val="2"/>
        </w:numPr>
        <w:wordWrap/>
        <w:overflowPunct/>
        <w:topLinePunct w:val="0"/>
        <w:bidi w:val="0"/>
        <w:spacing w:line="560" w:lineRule="exact"/>
        <w:ind w:firstLine="640" w:firstLineChars="200"/>
        <w:rPr>
          <w:color w:val="auto"/>
          <w:u w:val="none"/>
        </w:rPr>
      </w:pPr>
      <w:r>
        <w:rPr>
          <w:rFonts w:hint="eastAsia" w:cs="Times New Roman"/>
          <w:color w:val="auto"/>
          <w:u w:val="none"/>
        </w:rPr>
        <w:t xml:space="preserve">  </w:t>
      </w:r>
      <w:r>
        <w:rPr>
          <w:rFonts w:hint="eastAsia" w:ascii="仿宋" w:hAnsi="仿宋" w:eastAsia="仿宋"/>
          <w:color w:val="auto"/>
          <w:sz w:val="32"/>
          <w:szCs w:val="36"/>
          <w:u w:val="none"/>
        </w:rPr>
        <w:t>数据管理部门</w:t>
      </w:r>
      <w:r>
        <w:rPr>
          <w:rFonts w:hint="eastAsia" w:ascii="仿宋" w:hAnsi="仿宋" w:eastAsia="仿宋"/>
          <w:color w:val="auto"/>
          <w:sz w:val="32"/>
          <w:szCs w:val="36"/>
          <w:u w:val="none"/>
          <w:lang w:val="en-US" w:eastAsia="zh-CN"/>
        </w:rPr>
        <w:t>应当</w:t>
      </w:r>
      <w:r>
        <w:rPr>
          <w:rFonts w:hint="eastAsia" w:ascii="仿宋" w:hAnsi="仿宋" w:eastAsia="仿宋"/>
          <w:color w:val="auto"/>
          <w:sz w:val="32"/>
          <w:szCs w:val="36"/>
          <w:u w:val="none"/>
          <w:lang w:eastAsia="zh-CN"/>
        </w:rPr>
        <w:t>牵头组织</w:t>
      </w:r>
      <w:r>
        <w:rPr>
          <w:rFonts w:hint="eastAsia" w:ascii="仿宋" w:hAnsi="仿宋" w:eastAsia="仿宋"/>
          <w:color w:val="auto"/>
          <w:sz w:val="32"/>
          <w:szCs w:val="36"/>
          <w:u w:val="none"/>
        </w:rPr>
        <w:t>行业主管部门</w:t>
      </w:r>
      <w:r>
        <w:rPr>
          <w:rFonts w:hint="eastAsia" w:ascii="仿宋" w:hAnsi="仿宋" w:eastAsia="仿宋"/>
          <w:color w:val="auto"/>
          <w:sz w:val="32"/>
          <w:szCs w:val="36"/>
          <w:u w:val="none"/>
          <w:lang w:eastAsia="zh-CN"/>
        </w:rPr>
        <w:t>，</w:t>
      </w:r>
      <w:r>
        <w:rPr>
          <w:rFonts w:ascii="仿宋" w:hAnsi="仿宋" w:eastAsia="仿宋"/>
          <w:color w:val="auto"/>
          <w:sz w:val="32"/>
          <w:szCs w:val="36"/>
          <w:u w:val="none"/>
        </w:rPr>
        <w:t>指导</w:t>
      </w:r>
      <w:r>
        <w:rPr>
          <w:rFonts w:hint="eastAsia" w:ascii="仿宋" w:hAnsi="仿宋" w:eastAsia="仿宋"/>
          <w:color w:val="auto"/>
          <w:sz w:val="32"/>
          <w:szCs w:val="36"/>
          <w:u w:val="none"/>
        </w:rPr>
        <w:t>实施机构编制公共数据资源授权运营实施方案</w:t>
      </w:r>
      <w:r>
        <w:rPr>
          <w:rFonts w:hint="eastAsia" w:cs="Times New Roman"/>
          <w:color w:val="auto"/>
          <w:u w:val="none"/>
        </w:rPr>
        <w:t>，报请同级人民政府按“三重一大”决策机制审议通过后实施。实施方案应兼顾经济和社会效益，确保可实施可落地。</w:t>
      </w:r>
    </w:p>
    <w:p w14:paraId="6C2677B5">
      <w:pPr>
        <w:pageBreakBefore w:val="0"/>
        <w:wordWrap/>
        <w:overflowPunct/>
        <w:topLinePunct w:val="0"/>
        <w:bidi w:val="0"/>
        <w:spacing w:line="560" w:lineRule="exact"/>
        <w:ind w:firstLine="640" w:firstLineChars="200"/>
        <w:rPr>
          <w:rFonts w:hint="eastAsia"/>
          <w:color w:val="auto"/>
          <w:u w:val="none"/>
        </w:rPr>
      </w:pPr>
      <w:r>
        <w:rPr>
          <w:rFonts w:hint="eastAsia"/>
          <w:color w:val="auto"/>
          <w:u w:val="none"/>
        </w:rPr>
        <w:t>经审定的实施方案不得随意变更。除允许动态更新的内容外，其他内容确需变更的，由数据管理部门按程序重新报请审议。</w:t>
      </w:r>
    </w:p>
    <w:p w14:paraId="6BB64976">
      <w:pPr>
        <w:pageBreakBefore w:val="0"/>
        <w:numPr>
          <w:ilvl w:val="0"/>
          <w:numId w:val="2"/>
        </w:numPr>
        <w:wordWrap/>
        <w:overflowPunct/>
        <w:topLinePunct w:val="0"/>
        <w:bidi w:val="0"/>
        <w:spacing w:line="560" w:lineRule="exact"/>
        <w:ind w:firstLine="640" w:firstLineChars="200"/>
        <w:rPr>
          <w:rFonts w:hint="eastAsia"/>
          <w:color w:val="auto"/>
          <w:u w:val="none"/>
        </w:rPr>
      </w:pPr>
      <w:r>
        <w:rPr>
          <w:rFonts w:hint="eastAsia"/>
          <w:color w:val="auto"/>
          <w:u w:val="none"/>
          <w:lang w:val="en-US" w:eastAsia="zh-CN"/>
        </w:rPr>
        <w:t xml:space="preserve">  </w:t>
      </w:r>
      <w:r>
        <w:rPr>
          <w:rFonts w:hint="eastAsia" w:ascii="仿宋_GB2312" w:hAnsi="仿宋_GB2312" w:eastAsia="仿宋_GB2312" w:cs="仿宋_GB2312"/>
          <w:snapToGrid w:val="0"/>
          <w:color w:val="auto"/>
          <w:kern w:val="0"/>
          <w:sz w:val="31"/>
          <w:szCs w:val="31"/>
          <w:u w:val="none"/>
          <w:lang w:val="en-US" w:eastAsia="zh-CN" w:bidi="ar"/>
        </w:rPr>
        <w:t>县</w:t>
      </w:r>
      <w:r>
        <w:rPr>
          <w:rFonts w:ascii="仿宋_GB2312" w:hAnsi="仿宋_GB2312" w:eastAsia="仿宋_GB2312" w:cs="仿宋_GB2312"/>
          <w:snapToGrid w:val="0"/>
          <w:color w:val="auto"/>
          <w:kern w:val="0"/>
          <w:sz w:val="31"/>
          <w:szCs w:val="31"/>
          <w:u w:val="none"/>
          <w:lang w:val="en-US" w:eastAsia="zh-CN" w:bidi="ar"/>
        </w:rPr>
        <w:t>（</w:t>
      </w:r>
      <w:r>
        <w:rPr>
          <w:rFonts w:hint="eastAsia" w:ascii="仿宋_GB2312" w:hAnsi="仿宋_GB2312" w:eastAsia="仿宋_GB2312" w:cs="仿宋_GB2312"/>
          <w:snapToGrid w:val="0"/>
          <w:color w:val="auto"/>
          <w:kern w:val="0"/>
          <w:sz w:val="31"/>
          <w:szCs w:val="31"/>
          <w:u w:val="none"/>
          <w:lang w:val="en-US" w:eastAsia="zh-CN" w:bidi="ar"/>
        </w:rPr>
        <w:t>市、区</w:t>
      </w:r>
      <w:r>
        <w:rPr>
          <w:rFonts w:ascii="仿宋_GB2312" w:hAnsi="仿宋_GB2312" w:eastAsia="仿宋_GB2312" w:cs="仿宋_GB2312"/>
          <w:snapToGrid w:val="0"/>
          <w:color w:val="auto"/>
          <w:kern w:val="0"/>
          <w:sz w:val="31"/>
          <w:szCs w:val="31"/>
          <w:u w:val="none"/>
          <w:lang w:val="en-US" w:eastAsia="zh-CN" w:bidi="ar"/>
        </w:rPr>
        <w:t>）数据管理部门应将本地区审议通过的实施方案在</w:t>
      </w:r>
      <w:r>
        <w:rPr>
          <w:rFonts w:hint="eastAsia" w:ascii="仿宋_GB2312" w:hAnsi="仿宋_GB2312" w:cs="仿宋_GB2312"/>
          <w:snapToGrid w:val="0"/>
          <w:color w:val="auto"/>
          <w:kern w:val="0"/>
          <w:sz w:val="31"/>
          <w:szCs w:val="31"/>
          <w:u w:val="none"/>
          <w:lang w:val="en-US" w:eastAsia="zh-CN" w:bidi="ar"/>
        </w:rPr>
        <w:t>10</w:t>
      </w:r>
      <w:r>
        <w:rPr>
          <w:rFonts w:ascii="仿宋_GB2312" w:hAnsi="仿宋_GB2312" w:eastAsia="仿宋_GB2312" w:cs="仿宋_GB2312"/>
          <w:snapToGrid w:val="0"/>
          <w:color w:val="auto"/>
          <w:kern w:val="0"/>
          <w:sz w:val="31"/>
          <w:szCs w:val="31"/>
          <w:u w:val="none"/>
          <w:lang w:val="en-US" w:eastAsia="zh-CN" w:bidi="ar"/>
        </w:rPr>
        <w:t>个工作日内报市数据</w:t>
      </w:r>
      <w:r>
        <w:rPr>
          <w:rFonts w:hint="eastAsia" w:ascii="仿宋_GB2312" w:hAnsi="仿宋_GB2312" w:cs="仿宋_GB2312"/>
          <w:snapToGrid w:val="0"/>
          <w:color w:val="auto"/>
          <w:kern w:val="0"/>
          <w:sz w:val="31"/>
          <w:szCs w:val="31"/>
          <w:u w:val="none"/>
          <w:lang w:val="en-US" w:eastAsia="zh-CN" w:bidi="ar"/>
        </w:rPr>
        <w:t>局</w:t>
      </w:r>
      <w:r>
        <w:rPr>
          <w:rFonts w:ascii="仿宋_GB2312" w:hAnsi="仿宋_GB2312" w:eastAsia="仿宋_GB2312" w:cs="仿宋_GB2312"/>
          <w:snapToGrid w:val="0"/>
          <w:color w:val="auto"/>
          <w:kern w:val="0"/>
          <w:sz w:val="31"/>
          <w:szCs w:val="31"/>
          <w:u w:val="none"/>
          <w:lang w:val="en-US" w:eastAsia="zh-CN" w:bidi="ar"/>
        </w:rPr>
        <w:t>汇总</w:t>
      </w:r>
      <w:r>
        <w:rPr>
          <w:rFonts w:hint="eastAsia" w:ascii="仿宋_GB2312" w:hAnsi="仿宋_GB2312" w:eastAsia="仿宋_GB2312" w:cs="仿宋_GB2312"/>
          <w:snapToGrid w:val="0"/>
          <w:color w:val="auto"/>
          <w:kern w:val="0"/>
          <w:sz w:val="31"/>
          <w:szCs w:val="31"/>
          <w:u w:val="none"/>
          <w:lang w:val="en-US" w:eastAsia="zh-CN" w:bidi="ar"/>
        </w:rPr>
        <w:t>，</w:t>
      </w:r>
      <w:r>
        <w:rPr>
          <w:rFonts w:ascii="仿宋_GB2312" w:hAnsi="仿宋_GB2312" w:eastAsia="仿宋_GB2312" w:cs="仿宋_GB2312"/>
          <w:snapToGrid w:val="0"/>
          <w:color w:val="auto"/>
          <w:kern w:val="0"/>
          <w:sz w:val="31"/>
          <w:szCs w:val="31"/>
          <w:u w:val="none"/>
          <w:lang w:val="en-US" w:eastAsia="zh-CN" w:bidi="ar"/>
        </w:rPr>
        <w:t>由市数据</w:t>
      </w:r>
      <w:r>
        <w:rPr>
          <w:rFonts w:hint="eastAsia" w:ascii="仿宋_GB2312" w:hAnsi="仿宋_GB2312" w:cs="仿宋_GB2312"/>
          <w:snapToGrid w:val="0"/>
          <w:color w:val="auto"/>
          <w:kern w:val="0"/>
          <w:sz w:val="31"/>
          <w:szCs w:val="31"/>
          <w:u w:val="none"/>
          <w:lang w:val="en-US" w:eastAsia="zh-CN" w:bidi="ar"/>
        </w:rPr>
        <w:t>局</w:t>
      </w:r>
      <w:r>
        <w:rPr>
          <w:rFonts w:ascii="仿宋_GB2312" w:hAnsi="仿宋_GB2312" w:eastAsia="仿宋_GB2312" w:cs="仿宋_GB2312"/>
          <w:snapToGrid w:val="0"/>
          <w:color w:val="auto"/>
          <w:kern w:val="0"/>
          <w:sz w:val="31"/>
          <w:szCs w:val="31"/>
          <w:u w:val="none"/>
          <w:lang w:val="en-US" w:eastAsia="zh-CN" w:bidi="ar"/>
        </w:rPr>
        <w:t>按省数据</w:t>
      </w:r>
      <w:r>
        <w:rPr>
          <w:rFonts w:hint="eastAsia" w:ascii="仿宋_GB2312" w:hAnsi="仿宋_GB2312" w:cs="仿宋_GB2312"/>
          <w:snapToGrid w:val="0"/>
          <w:color w:val="auto"/>
          <w:kern w:val="0"/>
          <w:sz w:val="31"/>
          <w:szCs w:val="31"/>
          <w:u w:val="none"/>
          <w:lang w:val="en-US" w:eastAsia="zh-CN" w:bidi="ar"/>
        </w:rPr>
        <w:t>和政务服务局</w:t>
      </w:r>
      <w:r>
        <w:rPr>
          <w:rFonts w:ascii="仿宋_GB2312" w:hAnsi="仿宋_GB2312" w:eastAsia="仿宋_GB2312" w:cs="仿宋_GB2312"/>
          <w:snapToGrid w:val="0"/>
          <w:color w:val="auto"/>
          <w:kern w:val="0"/>
          <w:sz w:val="31"/>
          <w:szCs w:val="31"/>
          <w:u w:val="none"/>
          <w:lang w:val="en-US" w:eastAsia="zh-CN" w:bidi="ar"/>
        </w:rPr>
        <w:t>要求统一上报备案。</w:t>
      </w:r>
    </w:p>
    <w:p w14:paraId="5AC120EA">
      <w:pPr>
        <w:pageBreakBefore w:val="0"/>
        <w:numPr>
          <w:ilvl w:val="0"/>
          <w:numId w:val="2"/>
        </w:numPr>
        <w:wordWrap/>
        <w:overflowPunct/>
        <w:topLinePunct w:val="0"/>
        <w:bidi w:val="0"/>
        <w:spacing w:line="560" w:lineRule="exact"/>
        <w:ind w:firstLine="640" w:firstLineChars="200"/>
        <w:rPr>
          <w:color w:val="auto"/>
          <w:u w:val="none"/>
        </w:rPr>
      </w:pPr>
      <w:r>
        <w:rPr>
          <w:rFonts w:hint="eastAsia" w:cs="Times New Roman"/>
          <w:color w:val="auto"/>
          <w:u w:val="none"/>
        </w:rPr>
        <w:t xml:space="preserve">  </w:t>
      </w:r>
      <w:r>
        <w:rPr>
          <w:rFonts w:hint="eastAsia" w:cs="Times New Roman"/>
          <w:color w:val="auto"/>
          <w:u w:val="none"/>
          <w:lang w:val="en-US" w:eastAsia="zh-CN"/>
        </w:rPr>
        <w:t>实施机构</w:t>
      </w:r>
      <w:r>
        <w:rPr>
          <w:rFonts w:ascii="仿宋" w:hAnsi="仿宋" w:eastAsia="仿宋"/>
          <w:color w:val="auto"/>
          <w:sz w:val="32"/>
          <w:szCs w:val="36"/>
          <w:u w:val="none"/>
        </w:rPr>
        <w:t>应</w:t>
      </w:r>
      <w:r>
        <w:rPr>
          <w:rFonts w:hint="eastAsia" w:ascii="仿宋" w:hAnsi="仿宋" w:eastAsia="仿宋"/>
          <w:color w:val="auto"/>
          <w:sz w:val="32"/>
          <w:szCs w:val="36"/>
          <w:u w:val="none"/>
        </w:rPr>
        <w:t>制定规范的运营机构</w:t>
      </w:r>
      <w:r>
        <w:rPr>
          <w:rFonts w:hint="eastAsia" w:ascii="仿宋" w:hAnsi="仿宋" w:eastAsia="仿宋"/>
          <w:color w:val="auto"/>
          <w:sz w:val="32"/>
          <w:szCs w:val="36"/>
          <w:u w:val="none"/>
          <w:lang w:eastAsia="zh-CN"/>
        </w:rPr>
        <w:t>选择</w:t>
      </w:r>
      <w:r>
        <w:rPr>
          <w:rFonts w:hint="eastAsia" w:ascii="仿宋" w:hAnsi="仿宋" w:eastAsia="仿宋"/>
          <w:color w:val="auto"/>
          <w:sz w:val="32"/>
          <w:szCs w:val="36"/>
          <w:u w:val="none"/>
        </w:rPr>
        <w:t>流程</w:t>
      </w:r>
      <w:r>
        <w:rPr>
          <w:rFonts w:hint="eastAsia" w:ascii="仿宋" w:hAnsi="仿宋" w:eastAsia="仿宋"/>
          <w:color w:val="auto"/>
          <w:sz w:val="32"/>
          <w:szCs w:val="36"/>
          <w:u w:val="none"/>
          <w:lang w:eastAsia="zh-CN"/>
        </w:rPr>
        <w:t>，</w:t>
      </w:r>
      <w:r>
        <w:rPr>
          <w:rFonts w:ascii="仿宋" w:hAnsi="仿宋" w:eastAsia="仿宋"/>
          <w:color w:val="auto"/>
          <w:sz w:val="32"/>
          <w:szCs w:val="36"/>
          <w:u w:val="none"/>
        </w:rPr>
        <w:t>根据</w:t>
      </w:r>
      <w:r>
        <w:rPr>
          <w:rFonts w:hint="eastAsia" w:ascii="仿宋" w:hAnsi="仿宋" w:eastAsia="仿宋"/>
          <w:color w:val="auto"/>
          <w:sz w:val="32"/>
          <w:szCs w:val="36"/>
          <w:u w:val="none"/>
          <w:lang w:eastAsia="zh-CN"/>
        </w:rPr>
        <w:t>审定同意</w:t>
      </w:r>
      <w:r>
        <w:rPr>
          <w:rFonts w:hint="eastAsia" w:ascii="仿宋" w:hAnsi="仿宋" w:eastAsia="仿宋"/>
          <w:color w:val="auto"/>
          <w:sz w:val="32"/>
          <w:szCs w:val="36"/>
          <w:u w:val="none"/>
        </w:rPr>
        <w:t>后</w:t>
      </w:r>
      <w:r>
        <w:rPr>
          <w:rFonts w:ascii="仿宋" w:hAnsi="仿宋" w:eastAsia="仿宋"/>
          <w:color w:val="auto"/>
          <w:sz w:val="32"/>
          <w:szCs w:val="36"/>
          <w:u w:val="none"/>
        </w:rPr>
        <w:t>的实施方案，按照法律法规要求以公开招标、邀请招标、</w:t>
      </w:r>
      <w:r>
        <w:rPr>
          <w:rFonts w:hint="eastAsia" w:ascii="仿宋" w:hAnsi="仿宋" w:eastAsia="仿宋"/>
          <w:color w:val="auto"/>
          <w:sz w:val="32"/>
          <w:szCs w:val="36"/>
          <w:u w:val="none"/>
        </w:rPr>
        <w:t>竞争性</w:t>
      </w:r>
      <w:r>
        <w:rPr>
          <w:rFonts w:ascii="仿宋" w:hAnsi="仿宋" w:eastAsia="仿宋"/>
          <w:color w:val="auto"/>
          <w:sz w:val="32"/>
          <w:szCs w:val="36"/>
          <w:u w:val="none"/>
        </w:rPr>
        <w:t>谈判等公平竞争方式选择</w:t>
      </w:r>
      <w:r>
        <w:rPr>
          <w:rFonts w:hint="eastAsia" w:ascii="仿宋" w:hAnsi="仿宋" w:eastAsia="仿宋"/>
          <w:color w:val="auto"/>
          <w:sz w:val="32"/>
          <w:szCs w:val="36"/>
          <w:u w:val="none"/>
          <w:lang w:val="en-US" w:eastAsia="zh-CN"/>
        </w:rPr>
        <w:t>授权</w:t>
      </w:r>
      <w:r>
        <w:rPr>
          <w:rFonts w:ascii="仿宋" w:hAnsi="仿宋" w:eastAsia="仿宋"/>
          <w:color w:val="auto"/>
          <w:sz w:val="32"/>
          <w:szCs w:val="36"/>
          <w:u w:val="none"/>
        </w:rPr>
        <w:t>运营</w:t>
      </w:r>
      <w:r>
        <w:rPr>
          <w:rFonts w:hint="eastAsia" w:eastAsia="仿宋" w:cs="Times New Roman"/>
          <w:color w:val="auto"/>
          <w:u w:val="none"/>
          <w:lang w:val="en-US" w:eastAsia="zh-CN"/>
        </w:rPr>
        <w:t>机构</w:t>
      </w:r>
      <w:r>
        <w:rPr>
          <w:rFonts w:hint="eastAsia" w:cs="Times New Roman"/>
          <w:color w:val="auto"/>
          <w:u w:val="none"/>
          <w:lang w:eastAsia="zh-CN"/>
        </w:rPr>
        <w:t>。</w:t>
      </w:r>
    </w:p>
    <w:p w14:paraId="2455003A">
      <w:pPr>
        <w:pageBreakBefore w:val="0"/>
        <w:numPr>
          <w:ilvl w:val="0"/>
          <w:numId w:val="2"/>
        </w:numPr>
        <w:wordWrap/>
        <w:overflowPunct/>
        <w:topLinePunct w:val="0"/>
        <w:bidi w:val="0"/>
        <w:spacing w:line="560" w:lineRule="exact"/>
        <w:ind w:firstLine="640" w:firstLineChars="200"/>
        <w:rPr>
          <w:rFonts w:hint="eastAsia" w:cs="Times New Roman"/>
          <w:color w:val="auto"/>
          <w:u w:val="none"/>
          <w:lang w:val="en-US" w:eastAsia="zh-CN"/>
        </w:rPr>
      </w:pPr>
      <w:r>
        <w:rPr>
          <w:rFonts w:hint="eastAsia" w:cs="Times New Roman"/>
          <w:color w:val="auto"/>
          <w:u w:val="none"/>
          <w:lang w:val="en-US" w:eastAsia="zh-CN"/>
        </w:rPr>
        <w:t xml:space="preserve">  实施机构应独立或会同本级有关业务主管部门，与依法选定的运营机构签订公共数据资源授权运营协议。授权运营协议内容应充分征求各方意见，经实施机构“三重一大”决策机制审议通过后签订，并报本级数据管理部门备案。</w:t>
      </w:r>
    </w:p>
    <w:p w14:paraId="4C8CE713">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napToGrid w:val="0"/>
          <w:color w:val="auto"/>
          <w:kern w:val="0"/>
          <w:sz w:val="31"/>
          <w:szCs w:val="31"/>
          <w:u w:val="none"/>
          <w:lang w:val="en-US" w:eastAsia="zh-CN" w:bidi="ar"/>
        </w:rPr>
        <w:t>县</w:t>
      </w:r>
      <w:r>
        <w:rPr>
          <w:rFonts w:ascii="仿宋_GB2312" w:hAnsi="仿宋_GB2312" w:eastAsia="仿宋_GB2312" w:cs="仿宋_GB2312"/>
          <w:snapToGrid w:val="0"/>
          <w:color w:val="auto"/>
          <w:kern w:val="0"/>
          <w:sz w:val="31"/>
          <w:szCs w:val="31"/>
          <w:u w:val="none"/>
          <w:lang w:val="en-US" w:eastAsia="zh-CN" w:bidi="ar"/>
        </w:rPr>
        <w:t>（</w:t>
      </w:r>
      <w:r>
        <w:rPr>
          <w:rFonts w:hint="eastAsia" w:ascii="仿宋_GB2312" w:hAnsi="仿宋_GB2312" w:eastAsia="仿宋_GB2312" w:cs="仿宋_GB2312"/>
          <w:snapToGrid w:val="0"/>
          <w:color w:val="auto"/>
          <w:kern w:val="0"/>
          <w:sz w:val="31"/>
          <w:szCs w:val="31"/>
          <w:u w:val="none"/>
          <w:lang w:val="en-US" w:eastAsia="zh-CN" w:bidi="ar"/>
        </w:rPr>
        <w:t>市、区</w:t>
      </w:r>
      <w:r>
        <w:rPr>
          <w:rFonts w:ascii="仿宋_GB2312" w:hAnsi="仿宋_GB2312" w:eastAsia="仿宋_GB2312" w:cs="仿宋_GB2312"/>
          <w:snapToGrid w:val="0"/>
          <w:color w:val="auto"/>
          <w:kern w:val="0"/>
          <w:sz w:val="31"/>
          <w:szCs w:val="31"/>
          <w:u w:val="none"/>
          <w:lang w:val="en-US" w:eastAsia="zh-CN" w:bidi="ar"/>
        </w:rPr>
        <w:t>）</w:t>
      </w:r>
      <w:r>
        <w:rPr>
          <w:rFonts w:hint="eastAsia" w:ascii="仿宋_GB2312" w:hAnsi="仿宋_GB2312" w:eastAsia="仿宋_GB2312" w:cs="仿宋_GB2312"/>
          <w:color w:val="auto"/>
          <w:sz w:val="32"/>
          <w:szCs w:val="32"/>
          <w:u w:val="none"/>
          <w:lang w:val="en-US" w:eastAsia="zh-CN"/>
        </w:rPr>
        <w:t>数据管理部门应将签订后的运营协议在10个工作日内报市数据</w:t>
      </w:r>
      <w:r>
        <w:rPr>
          <w:rFonts w:hint="eastAsia" w:ascii="仿宋_GB2312" w:hAnsi="仿宋_GB2312" w:cs="仿宋_GB2312"/>
          <w:color w:val="auto"/>
          <w:sz w:val="32"/>
          <w:szCs w:val="32"/>
          <w:u w:val="none"/>
          <w:lang w:val="en-US" w:eastAsia="zh-CN"/>
        </w:rPr>
        <w:t>局</w:t>
      </w:r>
      <w:r>
        <w:rPr>
          <w:rFonts w:hint="eastAsia" w:ascii="仿宋_GB2312" w:hAnsi="仿宋_GB2312" w:eastAsia="仿宋_GB2312" w:cs="仿宋_GB2312"/>
          <w:color w:val="auto"/>
          <w:sz w:val="32"/>
          <w:szCs w:val="32"/>
          <w:u w:val="none"/>
          <w:lang w:val="en-US" w:eastAsia="zh-CN"/>
        </w:rPr>
        <w:t>汇总，由市数据</w:t>
      </w:r>
      <w:r>
        <w:rPr>
          <w:rFonts w:hint="eastAsia" w:ascii="仿宋_GB2312" w:hAnsi="仿宋_GB2312" w:cs="仿宋_GB2312"/>
          <w:color w:val="auto"/>
          <w:sz w:val="32"/>
          <w:szCs w:val="32"/>
          <w:u w:val="none"/>
          <w:lang w:val="en-US" w:eastAsia="zh-CN"/>
        </w:rPr>
        <w:t>局</w:t>
      </w:r>
      <w:r>
        <w:rPr>
          <w:rFonts w:hint="eastAsia" w:ascii="仿宋_GB2312" w:hAnsi="仿宋_GB2312" w:eastAsia="仿宋_GB2312" w:cs="仿宋_GB2312"/>
          <w:color w:val="auto"/>
          <w:sz w:val="32"/>
          <w:szCs w:val="32"/>
          <w:u w:val="none"/>
          <w:lang w:val="en-US" w:eastAsia="zh-CN"/>
        </w:rPr>
        <w:t>按</w:t>
      </w:r>
      <w:r>
        <w:rPr>
          <w:rFonts w:hint="eastAsia" w:cs="Times New Roman"/>
          <w:color w:val="auto"/>
          <w:u w:val="none"/>
        </w:rPr>
        <w:t>省数据和政务服务局</w:t>
      </w:r>
      <w:r>
        <w:rPr>
          <w:rFonts w:hint="eastAsia" w:ascii="仿宋_GB2312" w:hAnsi="仿宋_GB2312" w:eastAsia="仿宋_GB2312" w:cs="仿宋_GB2312"/>
          <w:color w:val="auto"/>
          <w:sz w:val="32"/>
          <w:szCs w:val="32"/>
          <w:u w:val="none"/>
          <w:lang w:val="en-US" w:eastAsia="zh-CN"/>
        </w:rPr>
        <w:t>要求统一上报备案。</w:t>
      </w:r>
    </w:p>
    <w:p w14:paraId="128AA9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color w:val="auto"/>
          <w:u w:val="none"/>
        </w:rPr>
      </w:pPr>
      <w:r>
        <w:rPr>
          <w:rFonts w:hint="eastAsia" w:ascii="Times New Roman" w:hAnsi="Times New Roman" w:eastAsia="仿宋_GB2312" w:cstheme="minorBidi"/>
          <w:b w:val="0"/>
          <w:bCs w:val="0"/>
          <w:color w:val="auto"/>
          <w:kern w:val="2"/>
          <w:sz w:val="32"/>
          <w:szCs w:val="22"/>
          <w:u w:val="none"/>
          <w:lang w:eastAsia="zh-CN"/>
        </w:rPr>
        <w:t>实施机构要建立授权运营协议执行情况动态跟踪机制</w:t>
      </w:r>
      <w:r>
        <w:rPr>
          <w:rFonts w:hint="eastAsia" w:cstheme="minorBidi"/>
          <w:b w:val="0"/>
          <w:bCs w:val="0"/>
          <w:color w:val="auto"/>
          <w:kern w:val="2"/>
          <w:sz w:val="32"/>
          <w:szCs w:val="22"/>
          <w:u w:val="none"/>
          <w:lang w:val="en-US" w:eastAsia="zh-CN"/>
        </w:rPr>
        <w:t>及</w:t>
      </w:r>
      <w:r>
        <w:rPr>
          <w:rFonts w:hint="eastAsia"/>
          <w:color w:val="auto"/>
          <w:u w:val="none"/>
        </w:rPr>
        <w:t>完善</w:t>
      </w:r>
      <w:r>
        <w:rPr>
          <w:rFonts w:hint="eastAsia"/>
          <w:color w:val="auto"/>
          <w:u w:val="none"/>
          <w:lang w:val="en-US" w:eastAsia="zh-CN"/>
        </w:rPr>
        <w:t>的</w:t>
      </w:r>
      <w:r>
        <w:rPr>
          <w:rFonts w:hint="eastAsia"/>
          <w:color w:val="auto"/>
          <w:u w:val="none"/>
        </w:rPr>
        <w:t>运营机构退出管理机制。</w:t>
      </w:r>
    </w:p>
    <w:p w14:paraId="0E795A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实施机构应加强运营机构的退出管理工作，授权运营协议终止的，实施机构应及时关闭运营机构的权限，及时删除留存的相关数据，并按照规定留存不少于6个月的相关网络日志，运营机构应配合实施机构做好平台及运营相关的交接工作。</w:t>
      </w:r>
    </w:p>
    <w:p w14:paraId="4A62D460">
      <w:pPr>
        <w:pageBreakBefore w:val="0"/>
        <w:numPr>
          <w:ilvl w:val="0"/>
          <w:numId w:val="2"/>
        </w:numPr>
        <w:wordWrap/>
        <w:overflowPunct/>
        <w:topLinePunct w:val="0"/>
        <w:bidi w:val="0"/>
        <w:spacing w:line="560" w:lineRule="exact"/>
        <w:ind w:firstLine="640" w:firstLineChars="200"/>
        <w:rPr>
          <w:color w:val="auto"/>
          <w:u w:val="none"/>
        </w:rPr>
      </w:pPr>
      <w:r>
        <w:rPr>
          <w:rFonts w:hint="eastAsia" w:cs="Times New Roman"/>
          <w:color w:val="auto"/>
          <w:u w:val="none"/>
          <w:lang w:val="en-US" w:eastAsia="zh-CN"/>
        </w:rPr>
        <w:t xml:space="preserve">  </w:t>
      </w:r>
      <w:r>
        <w:rPr>
          <w:rFonts w:hint="eastAsia" w:cs="Times New Roman"/>
          <w:color w:val="auto"/>
          <w:u w:val="none"/>
          <w:lang w:eastAsia="zh-CN"/>
        </w:rPr>
        <w:t>运营</w:t>
      </w:r>
      <w:r>
        <w:rPr>
          <w:rFonts w:hint="eastAsia" w:cs="Times New Roman"/>
          <w:color w:val="auto"/>
          <w:u w:val="none"/>
          <w:lang w:val="en-US" w:eastAsia="zh-CN"/>
        </w:rPr>
        <w:t>机构</w:t>
      </w:r>
      <w:r>
        <w:rPr>
          <w:rFonts w:hint="eastAsia" w:cs="Times New Roman"/>
          <w:color w:val="auto"/>
          <w:u w:val="none"/>
        </w:rPr>
        <w:t>应当遵循依法合规、公平透明、公益优先、合理收益、安全可控的原则，按照“原始数据不出域、数据可用不可见”的要求，向社会提供</w:t>
      </w:r>
      <w:r>
        <w:rPr>
          <w:rFonts w:hint="eastAsia" w:cs="Times New Roman"/>
          <w:color w:val="auto"/>
          <w:u w:val="none"/>
          <w:lang w:eastAsia="zh-CN"/>
        </w:rPr>
        <w:t>公共数据产品和服务</w:t>
      </w:r>
      <w:r>
        <w:rPr>
          <w:rFonts w:hint="eastAsia" w:cs="Times New Roman"/>
          <w:color w:val="auto"/>
          <w:u w:val="none"/>
        </w:rPr>
        <w:t>。</w:t>
      </w:r>
    </w:p>
    <w:p w14:paraId="25C6E0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运营机构开发形成的公共</w:t>
      </w:r>
      <w:r>
        <w:rPr>
          <w:rFonts w:hint="eastAsia" w:ascii="仿宋_GB2312" w:hAnsi="仿宋_GB2312" w:cs="仿宋_GB2312"/>
          <w:color w:val="auto"/>
          <w:sz w:val="32"/>
          <w:szCs w:val="32"/>
          <w:u w:val="none"/>
          <w:lang w:val="en-US" w:eastAsia="zh-CN"/>
        </w:rPr>
        <w:t>公共数据产品和服务</w:t>
      </w:r>
      <w:r>
        <w:rPr>
          <w:rFonts w:hint="eastAsia" w:ascii="仿宋_GB2312" w:hAnsi="仿宋_GB2312" w:eastAsia="仿宋_GB2312" w:cs="仿宋_GB2312"/>
          <w:color w:val="auto"/>
          <w:sz w:val="32"/>
          <w:szCs w:val="32"/>
          <w:u w:val="none"/>
          <w:lang w:val="en-US" w:eastAsia="zh-CN"/>
        </w:rPr>
        <w:t>需经实施机构合规和安全审核批准后可发布并对外提供服务，在审核过程中发现存在数据安全风险的，运营机构进行整改后重新提交审核。</w:t>
      </w:r>
      <w:r>
        <w:rPr>
          <w:rFonts w:hint="eastAsia" w:ascii="仿宋_GB2312" w:hAnsi="仿宋_GB2312" w:cs="仿宋_GB2312"/>
          <w:color w:val="auto"/>
          <w:sz w:val="32"/>
          <w:szCs w:val="32"/>
          <w:u w:val="none"/>
          <w:lang w:val="en-US" w:eastAsia="zh-CN"/>
        </w:rPr>
        <w:t>鼓励开发利用公共数据产生的公共数据产品和服务通过延安数据交易服务中心开展挂牌交易，推动数据资源向数据资产化转化。</w:t>
      </w:r>
    </w:p>
    <w:p w14:paraId="003AB178">
      <w:pPr>
        <w:pageBreakBefore w:val="0"/>
        <w:numPr>
          <w:ilvl w:val="0"/>
          <w:numId w:val="2"/>
        </w:numPr>
        <w:wordWrap/>
        <w:overflowPunct/>
        <w:topLinePunct w:val="0"/>
        <w:bidi w:val="0"/>
        <w:spacing w:line="560" w:lineRule="exact"/>
        <w:ind w:firstLine="640" w:firstLineChars="200"/>
        <w:rPr>
          <w:rFonts w:hint="eastAsia"/>
          <w:color w:val="auto"/>
          <w:u w:val="none"/>
          <w:lang w:val="en-US" w:eastAsia="zh-CN"/>
        </w:rPr>
      </w:pPr>
      <w:r>
        <w:rPr>
          <w:rFonts w:hint="eastAsia" w:cs="Times New Roman"/>
          <w:color w:val="auto"/>
          <w:u w:val="none"/>
          <w:lang w:val="en-US" w:eastAsia="zh-CN"/>
        </w:rPr>
        <w:t xml:space="preserve">  </w:t>
      </w:r>
      <w:r>
        <w:rPr>
          <w:rFonts w:hint="eastAsia" w:ascii="仿宋_GB2312" w:hAnsi="仿宋_GB2312" w:eastAsia="仿宋_GB2312" w:cs="仿宋_GB2312"/>
          <w:color w:val="auto"/>
          <w:sz w:val="32"/>
          <w:szCs w:val="32"/>
          <w:u w:val="none"/>
          <w:lang w:val="en-US" w:eastAsia="zh-CN"/>
        </w:rPr>
        <w:t>数据管理部门按照“谁投入、谁贡献、谁受益”的原则，统筹制定完善收益分配机制，合理确定授权运营各参与方的收益。鼓励实施机构、运营机构依法合规通过技术、产品和服务、收益等方式。相关收益分配方式在实施方案中予以明确。</w:t>
      </w:r>
    </w:p>
    <w:p w14:paraId="225BA40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both"/>
        <w:textAlignment w:val="auto"/>
        <w:outlineLvl w:val="0"/>
        <w:rPr>
          <w:rFonts w:hint="eastAsia" w:cs="Times New Roman"/>
          <w:color w:val="auto"/>
          <w:u w:val="none"/>
        </w:rPr>
      </w:pPr>
      <w:r>
        <w:rPr>
          <w:rFonts w:hint="eastAsia" w:cs="Times New Roman"/>
          <w:color w:val="auto"/>
          <w:u w:val="none"/>
        </w:rPr>
        <w:t xml:space="preserve">  </w:t>
      </w:r>
      <w:bookmarkStart w:id="38" w:name="_Toc1464903967"/>
      <w:r>
        <w:rPr>
          <w:rFonts w:cs="Times New Roman"/>
          <w:color w:val="auto"/>
          <w:u w:val="none"/>
        </w:rPr>
        <w:t>数据</w:t>
      </w:r>
      <w:r>
        <w:rPr>
          <w:rFonts w:hint="eastAsia" w:cs="Times New Roman"/>
          <w:color w:val="auto"/>
          <w:u w:val="none"/>
        </w:rPr>
        <w:t>管理</w:t>
      </w:r>
      <w:r>
        <w:rPr>
          <w:rFonts w:cs="Times New Roman"/>
          <w:color w:val="auto"/>
          <w:u w:val="none"/>
        </w:rPr>
        <w:t>部门</w:t>
      </w:r>
      <w:r>
        <w:rPr>
          <w:rFonts w:hint="eastAsia" w:cs="Times New Roman"/>
          <w:color w:val="auto"/>
          <w:u w:val="none"/>
        </w:rPr>
        <w:t>应当动态</w:t>
      </w:r>
      <w:r>
        <w:rPr>
          <w:rFonts w:hint="eastAsia" w:cs="Times New Roman"/>
          <w:color w:val="auto"/>
          <w:u w:val="none"/>
          <w:lang w:val="en-US" w:eastAsia="zh-CN"/>
        </w:rPr>
        <w:t>监测</w:t>
      </w:r>
      <w:r>
        <w:rPr>
          <w:rFonts w:hint="eastAsia" w:cs="Times New Roman"/>
          <w:color w:val="auto"/>
          <w:u w:val="none"/>
        </w:rPr>
        <w:t>本地区本部门授权运营情况，落实授权运营实施方案与授权运营协议备案管理与监督工作。</w:t>
      </w:r>
      <w:bookmarkEnd w:id="38"/>
    </w:p>
    <w:p w14:paraId="0215719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both"/>
        <w:textAlignment w:val="auto"/>
        <w:outlineLvl w:val="0"/>
        <w:rPr>
          <w:rFonts w:hint="eastAsia" w:cs="Times New Roman"/>
          <w:color w:val="auto"/>
          <w:u w:val="none"/>
          <w:lang w:val="en-US" w:eastAsia="zh-CN"/>
        </w:rPr>
      </w:pPr>
    </w:p>
    <w:p w14:paraId="19B95BA4">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outlineLvl w:val="0"/>
        <w:rPr>
          <w:rFonts w:hint="eastAsia" w:ascii="黑体" w:hAnsi="黑体" w:eastAsia="黑体" w:cs="黑体"/>
          <w:color w:val="auto"/>
          <w:sz w:val="32"/>
          <w:u w:val="none"/>
          <w:lang w:val="en-US" w:eastAsia="zh-CN"/>
        </w:rPr>
      </w:pPr>
      <w:r>
        <w:rPr>
          <w:rFonts w:hint="eastAsia" w:ascii="黑体" w:hAnsi="黑体" w:eastAsia="黑体" w:cs="黑体"/>
          <w:color w:val="auto"/>
          <w:sz w:val="32"/>
          <w:u w:val="none"/>
          <w:lang w:val="en-US" w:eastAsia="zh-CN"/>
        </w:rPr>
        <w:t xml:space="preserve">  </w:t>
      </w:r>
      <w:bookmarkStart w:id="39" w:name="_Toc710919130"/>
      <w:r>
        <w:rPr>
          <w:rFonts w:hint="eastAsia" w:ascii="黑体" w:hAnsi="黑体" w:eastAsia="黑体" w:cs="黑体"/>
          <w:color w:val="auto"/>
          <w:sz w:val="32"/>
          <w:u w:val="none"/>
          <w:lang w:val="en-US" w:eastAsia="zh-CN"/>
        </w:rPr>
        <w:t>公共数据安全</w:t>
      </w:r>
      <w:bookmarkEnd w:id="39"/>
    </w:p>
    <w:p w14:paraId="30B626A9">
      <w:pPr>
        <w:pStyle w:val="2"/>
        <w:pageBreakBefore w:val="0"/>
        <w:wordWrap/>
        <w:overflowPunct/>
        <w:topLinePunct w:val="0"/>
        <w:bidi w:val="0"/>
        <w:spacing w:before="0" w:beforeLines="0" w:after="0" w:afterLines="0" w:line="560" w:lineRule="exact"/>
        <w:outlineLvl w:val="9"/>
        <w:rPr>
          <w:color w:val="auto"/>
          <w:u w:val="none"/>
        </w:rPr>
      </w:pPr>
    </w:p>
    <w:p w14:paraId="6FF9DE40">
      <w:pPr>
        <w:pageBreakBefore w:val="0"/>
        <w:numPr>
          <w:ilvl w:val="0"/>
          <w:numId w:val="2"/>
        </w:numPr>
        <w:wordWrap/>
        <w:overflowPunct/>
        <w:topLinePunct w:val="0"/>
        <w:bidi w:val="0"/>
        <w:spacing w:line="560" w:lineRule="exact"/>
        <w:ind w:firstLine="640" w:firstLineChars="200"/>
        <w:rPr>
          <w:color w:val="auto"/>
          <w:u w:val="none"/>
        </w:rPr>
      </w:pPr>
      <w:r>
        <w:rPr>
          <w:rFonts w:hint="eastAsia" w:cs="Times New Roman"/>
          <w:color w:val="auto"/>
          <w:u w:val="none"/>
          <w:lang w:val="en-US" w:eastAsia="zh-CN"/>
        </w:rPr>
        <w:t xml:space="preserve">  </w:t>
      </w:r>
      <w:r>
        <w:rPr>
          <w:rFonts w:ascii="仿宋_GB2312" w:hAnsi="宋体" w:eastAsia="仿宋_GB2312" w:cs="仿宋_GB2312"/>
          <w:i w:val="0"/>
          <w:iCs w:val="0"/>
          <w:caps w:val="0"/>
          <w:color w:val="auto"/>
          <w:spacing w:val="0"/>
          <w:kern w:val="0"/>
          <w:sz w:val="32"/>
          <w:szCs w:val="32"/>
          <w:u w:val="none"/>
          <w:shd w:val="clear" w:fill="FFFFFF"/>
          <w:lang w:val="en-US" w:eastAsia="zh-CN" w:bidi="ar"/>
        </w:rPr>
        <w:t>本市实行公共数据安全责任制。</w:t>
      </w:r>
      <w:r>
        <w:rPr>
          <w:rFonts w:hint="eastAsia" w:ascii="仿宋_GB2312" w:hAnsi="仿宋_GB2312" w:cs="仿宋_GB2312"/>
          <w:color w:val="auto"/>
          <w:sz w:val="32"/>
          <w:u w:val="none"/>
          <w:lang w:val="en-US" w:eastAsia="zh-CN"/>
        </w:rPr>
        <w:t>数据管理部门</w:t>
      </w:r>
      <w:r>
        <w:rPr>
          <w:rFonts w:hint="eastAsia" w:ascii="仿宋_GB2312" w:hAnsi="仿宋_GB2312" w:eastAsia="仿宋_GB2312" w:cs="仿宋_GB2312"/>
          <w:color w:val="auto"/>
          <w:sz w:val="32"/>
          <w:u w:val="none"/>
          <w:lang w:val="en-US" w:eastAsia="zh-CN"/>
        </w:rPr>
        <w:t>应当会同同级网信、公安、</w:t>
      </w:r>
      <w:r>
        <w:rPr>
          <w:rFonts w:hint="eastAsia" w:ascii="仿宋_GB2312" w:hAnsi="仿宋_GB2312" w:cs="仿宋_GB2312"/>
          <w:color w:val="auto"/>
          <w:sz w:val="32"/>
          <w:u w:val="none"/>
          <w:lang w:val="en-US" w:eastAsia="zh-CN"/>
        </w:rPr>
        <w:t>国安</w:t>
      </w:r>
      <w:r>
        <w:rPr>
          <w:rFonts w:hint="eastAsia" w:ascii="仿宋_GB2312" w:hAnsi="仿宋_GB2312" w:eastAsia="仿宋_GB2312" w:cs="仿宋_GB2312"/>
          <w:color w:val="auto"/>
          <w:sz w:val="32"/>
          <w:u w:val="none"/>
          <w:lang w:val="en-US" w:eastAsia="zh-CN"/>
        </w:rPr>
        <w:t>、保密等部门，推进公共数据安全管理制度建设，按照</w:t>
      </w:r>
      <w:r>
        <w:rPr>
          <w:rFonts w:hint="eastAsia" w:ascii="仿宋_GB2312" w:hAnsi="仿宋_GB2312" w:cs="仿宋_GB2312"/>
          <w:color w:val="auto"/>
          <w:sz w:val="32"/>
          <w:u w:val="none"/>
          <w:lang w:val="en-US" w:eastAsia="zh-CN"/>
        </w:rPr>
        <w:t>“</w:t>
      </w:r>
      <w:r>
        <w:rPr>
          <w:rFonts w:hint="eastAsia" w:ascii="仿宋_GB2312" w:hAnsi="仿宋_GB2312" w:eastAsia="仿宋_GB2312" w:cs="仿宋_GB2312"/>
          <w:color w:val="auto"/>
          <w:sz w:val="32"/>
          <w:u w:val="none"/>
          <w:lang w:val="en-US" w:eastAsia="zh-CN"/>
        </w:rPr>
        <w:t>谁管理谁负责、谁使用谁负责</w:t>
      </w:r>
      <w:r>
        <w:rPr>
          <w:rFonts w:hint="eastAsia" w:ascii="仿宋_GB2312" w:hAnsi="仿宋_GB2312" w:cs="仿宋_GB2312"/>
          <w:color w:val="auto"/>
          <w:sz w:val="32"/>
          <w:u w:val="none"/>
          <w:lang w:val="en-US" w:eastAsia="zh-CN"/>
        </w:rPr>
        <w:t>”</w:t>
      </w:r>
      <w:r>
        <w:rPr>
          <w:rFonts w:hint="eastAsia" w:ascii="仿宋_GB2312" w:hAnsi="仿宋_GB2312" w:eastAsia="仿宋_GB2312" w:cs="仿宋_GB2312"/>
          <w:color w:val="auto"/>
          <w:sz w:val="32"/>
          <w:u w:val="none"/>
          <w:lang w:val="en-US" w:eastAsia="zh-CN"/>
        </w:rPr>
        <w:t>的原则，明确公共数据管理各环节安全责任主体，督促落实公共数据安全管理责任。</w:t>
      </w:r>
    </w:p>
    <w:p w14:paraId="150B85C8">
      <w:pPr>
        <w:pageBreakBefore w:val="0"/>
        <w:numPr>
          <w:ilvl w:val="0"/>
          <w:numId w:val="2"/>
        </w:numPr>
        <w:wordWrap/>
        <w:overflowPunct/>
        <w:topLinePunct w:val="0"/>
        <w:bidi w:val="0"/>
        <w:spacing w:line="560" w:lineRule="exact"/>
        <w:ind w:firstLine="640" w:firstLineChars="200"/>
        <w:rPr>
          <w:rFonts w:hint="eastAsia"/>
          <w:color w:val="auto"/>
          <w:u w:val="none"/>
          <w:lang w:val="en-US" w:eastAsia="zh-CN"/>
        </w:rPr>
      </w:pPr>
      <w:r>
        <w:rPr>
          <w:rFonts w:hint="eastAsia"/>
          <w:color w:val="auto"/>
          <w:u w:val="none"/>
          <w:lang w:val="en-US" w:eastAsia="zh-CN"/>
        </w:rPr>
        <w:t xml:space="preserve">  相关部门按照下列规定，履行公共数据安全管理职责：</w:t>
      </w:r>
    </w:p>
    <w:p w14:paraId="47B82E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u w:val="none"/>
          <w:lang w:val="en-US" w:eastAsia="zh-CN"/>
        </w:rPr>
      </w:pPr>
      <w:r>
        <w:rPr>
          <w:rFonts w:hint="eastAsia"/>
          <w:color w:val="auto"/>
          <w:u w:val="none"/>
          <w:lang w:val="en-US" w:eastAsia="zh-CN"/>
        </w:rPr>
        <w:t>网信部门负责统筹协调网络数据安全相关监督管理；</w:t>
      </w:r>
    </w:p>
    <w:p w14:paraId="7659DE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u w:val="none"/>
          <w:lang w:val="en-US" w:eastAsia="zh-CN"/>
        </w:rPr>
      </w:pPr>
      <w:r>
        <w:rPr>
          <w:rFonts w:hint="eastAsia"/>
          <w:color w:val="auto"/>
          <w:u w:val="none"/>
          <w:lang w:val="en-US" w:eastAsia="zh-CN"/>
        </w:rPr>
        <w:t>数据管理部门负责组织实施本行政区域内公共数据安全体系建设和安全保障工作，指导督促公共数据安全相关工作开展；</w:t>
      </w:r>
    </w:p>
    <w:p w14:paraId="154D94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u w:val="none"/>
          <w:lang w:val="en-US" w:eastAsia="zh-CN"/>
        </w:rPr>
      </w:pPr>
      <w:r>
        <w:rPr>
          <w:rFonts w:hint="eastAsia"/>
          <w:color w:val="auto"/>
          <w:u w:val="none"/>
          <w:lang w:val="en-US" w:eastAsia="zh-CN"/>
        </w:rPr>
        <w:t>公安机关负责网络安全等级保护工作和关键信息基础设施安全保护工作的监督管理，依法查处相关违法行为；</w:t>
      </w:r>
    </w:p>
    <w:p w14:paraId="5AE474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u w:val="none"/>
          <w:lang w:val="en-US" w:eastAsia="zh-CN"/>
        </w:rPr>
      </w:pPr>
      <w:r>
        <w:rPr>
          <w:rFonts w:hint="eastAsia"/>
          <w:color w:val="auto"/>
          <w:u w:val="none"/>
          <w:lang w:val="en-US" w:eastAsia="zh-CN"/>
        </w:rPr>
        <w:t>国家安全、保密主管部门按照各自职责范围，负责公共数据安全相关监督管理；</w:t>
      </w:r>
    </w:p>
    <w:p w14:paraId="47B6D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u w:val="none"/>
          <w:lang w:val="en-US" w:eastAsia="zh-CN"/>
        </w:rPr>
      </w:pPr>
      <w:r>
        <w:rPr>
          <w:rFonts w:hint="eastAsia"/>
          <w:color w:val="auto"/>
          <w:u w:val="none"/>
          <w:lang w:val="en-US" w:eastAsia="zh-CN"/>
        </w:rPr>
        <w:t>其他有关部门负责本行业、本领域公共数据安全相关监督管理。</w:t>
      </w:r>
    </w:p>
    <w:p w14:paraId="68195B16">
      <w:pPr>
        <w:pageBreakBefore w:val="0"/>
        <w:numPr>
          <w:ilvl w:val="0"/>
          <w:numId w:val="2"/>
        </w:numPr>
        <w:wordWrap/>
        <w:overflowPunct/>
        <w:topLinePunct w:val="0"/>
        <w:bidi w:val="0"/>
        <w:spacing w:line="560" w:lineRule="exact"/>
        <w:ind w:firstLine="640" w:firstLineChars="200"/>
        <w:rPr>
          <w:rFonts w:hint="eastAsia"/>
          <w:color w:val="auto"/>
          <w:u w:val="none"/>
          <w:lang w:val="en-US" w:eastAsia="zh-CN"/>
        </w:rPr>
      </w:pPr>
      <w:r>
        <w:rPr>
          <w:rFonts w:hint="eastAsia"/>
          <w:color w:val="auto"/>
          <w:u w:val="none"/>
          <w:lang w:val="en-US" w:eastAsia="zh-CN"/>
        </w:rPr>
        <w:t xml:space="preserve">  </w:t>
      </w:r>
      <w:r>
        <w:rPr>
          <w:rFonts w:hint="eastAsia" w:ascii="仿宋_GB2312" w:hAnsi="仿宋_GB2312" w:cs="仿宋_GB2312"/>
          <w:color w:val="auto"/>
          <w:sz w:val="32"/>
          <w:u w:val="none"/>
          <w:lang w:val="en-US" w:eastAsia="zh-CN"/>
        </w:rPr>
        <w:t>市数据局</w:t>
      </w:r>
      <w:r>
        <w:rPr>
          <w:rFonts w:hint="eastAsia" w:ascii="仿宋_GB2312" w:hAnsi="仿宋_GB2312" w:eastAsia="仿宋_GB2312" w:cs="仿宋_GB2312"/>
          <w:color w:val="auto"/>
          <w:sz w:val="32"/>
          <w:u w:val="none"/>
          <w:lang w:val="en-US" w:eastAsia="zh-CN"/>
        </w:rPr>
        <w:t>应当会同网信、公安、</w:t>
      </w:r>
      <w:r>
        <w:rPr>
          <w:rFonts w:hint="eastAsia" w:ascii="仿宋_GB2312" w:hAnsi="仿宋_GB2312" w:cs="仿宋_GB2312"/>
          <w:color w:val="auto"/>
          <w:sz w:val="32"/>
          <w:u w:val="none"/>
          <w:lang w:val="en-US" w:eastAsia="zh-CN"/>
        </w:rPr>
        <w:t>国安</w:t>
      </w:r>
      <w:r>
        <w:rPr>
          <w:rFonts w:hint="eastAsia" w:ascii="仿宋_GB2312" w:hAnsi="仿宋_GB2312" w:eastAsia="仿宋_GB2312" w:cs="仿宋_GB2312"/>
          <w:color w:val="auto"/>
          <w:sz w:val="32"/>
          <w:u w:val="none"/>
          <w:lang w:val="en-US" w:eastAsia="zh-CN"/>
        </w:rPr>
        <w:t>、保密等部门，</w:t>
      </w:r>
      <w:r>
        <w:rPr>
          <w:rFonts w:hint="eastAsia"/>
          <w:color w:val="auto"/>
          <w:u w:val="none"/>
          <w:lang w:val="en-US" w:eastAsia="zh-CN"/>
        </w:rPr>
        <w:t>根据国家数据分类分级保护制度要求，制定公共数据分类分级标准规范，建立健全公共数据安全审查、风险评估、监测预警、应急演练、安全审计、封存销毁等制度，并督促指导公共管理和服务机构实施。</w:t>
      </w:r>
    </w:p>
    <w:p w14:paraId="2B4C9B03">
      <w:pPr>
        <w:pageBreakBefore w:val="0"/>
        <w:numPr>
          <w:ilvl w:val="0"/>
          <w:numId w:val="2"/>
        </w:numPr>
        <w:wordWrap/>
        <w:overflowPunct/>
        <w:topLinePunct w:val="0"/>
        <w:bidi w:val="0"/>
        <w:spacing w:line="560" w:lineRule="exact"/>
        <w:ind w:firstLine="640" w:firstLineChars="200"/>
        <w:rPr>
          <w:color w:val="auto"/>
          <w:u w:val="none"/>
        </w:rPr>
      </w:pPr>
      <w:r>
        <w:rPr>
          <w:rFonts w:hint="eastAsia" w:cs="Times New Roman"/>
          <w:color w:val="auto"/>
          <w:u w:val="none"/>
        </w:rPr>
        <w:t xml:space="preserve">  数据管理部门</w:t>
      </w:r>
      <w:r>
        <w:rPr>
          <w:rFonts w:hint="eastAsia" w:cs="Times New Roman"/>
          <w:color w:val="auto"/>
          <w:u w:val="none"/>
          <w:lang w:eastAsia="zh-CN"/>
        </w:rPr>
        <w:t>应</w:t>
      </w:r>
      <w:r>
        <w:rPr>
          <w:rFonts w:hint="eastAsia" w:ascii="仿宋_GB2312" w:hAnsi="仿宋_GB2312" w:eastAsia="仿宋_GB2312" w:cs="仿宋_GB2312"/>
          <w:color w:val="auto"/>
          <w:sz w:val="32"/>
          <w:u w:val="none"/>
          <w:lang w:val="en-US" w:eastAsia="zh-CN"/>
        </w:rPr>
        <w:t>当会同网信、公安</w:t>
      </w:r>
      <w:r>
        <w:rPr>
          <w:rFonts w:hint="eastAsia" w:cs="Times New Roman"/>
          <w:color w:val="auto"/>
          <w:u w:val="none"/>
        </w:rPr>
        <w:t>建立公共数据安全应急处置机制，指导</w:t>
      </w:r>
      <w:r>
        <w:rPr>
          <w:rFonts w:hint="eastAsia" w:cs="Times New Roman"/>
          <w:color w:val="auto"/>
          <w:u w:val="none"/>
          <w:lang w:eastAsia="zh-CN"/>
        </w:rPr>
        <w:t>公共管理和服务机构</w:t>
      </w:r>
      <w:r>
        <w:rPr>
          <w:rFonts w:cs="Times New Roman"/>
          <w:color w:val="auto"/>
          <w:u w:val="none"/>
        </w:rPr>
        <w:t>制定</w:t>
      </w:r>
      <w:r>
        <w:rPr>
          <w:rFonts w:hint="eastAsia" w:cs="Times New Roman"/>
          <w:color w:val="auto"/>
          <w:u w:val="none"/>
        </w:rPr>
        <w:t>公共</w:t>
      </w:r>
      <w:r>
        <w:rPr>
          <w:rFonts w:cs="Times New Roman"/>
          <w:color w:val="auto"/>
          <w:u w:val="none"/>
        </w:rPr>
        <w:t>数据安全</w:t>
      </w:r>
      <w:r>
        <w:rPr>
          <w:rFonts w:hint="eastAsia" w:cs="Times New Roman"/>
          <w:color w:val="auto"/>
          <w:u w:val="none"/>
        </w:rPr>
        <w:t>事件</w:t>
      </w:r>
      <w:r>
        <w:rPr>
          <w:rFonts w:cs="Times New Roman"/>
          <w:color w:val="auto"/>
          <w:u w:val="none"/>
        </w:rPr>
        <w:t>应急预案，明确应急处置组织体系与职责、事件分级、响应</w:t>
      </w:r>
      <w:r>
        <w:rPr>
          <w:rFonts w:hint="eastAsia" w:cs="Times New Roman"/>
          <w:color w:val="auto"/>
          <w:u w:val="none"/>
        </w:rPr>
        <w:t>流程</w:t>
      </w:r>
      <w:r>
        <w:rPr>
          <w:rFonts w:cs="Times New Roman"/>
          <w:color w:val="auto"/>
          <w:u w:val="none"/>
        </w:rPr>
        <w:t>、保障手段和处置措施。</w:t>
      </w:r>
    </w:p>
    <w:p w14:paraId="5C447AD4">
      <w:pPr>
        <w:pageBreakBefore w:val="0"/>
        <w:numPr>
          <w:ilvl w:val="0"/>
          <w:numId w:val="2"/>
        </w:numPr>
        <w:wordWrap/>
        <w:overflowPunct/>
        <w:topLinePunct w:val="0"/>
        <w:bidi w:val="0"/>
        <w:spacing w:line="560" w:lineRule="exact"/>
        <w:ind w:firstLine="640" w:firstLineChars="200"/>
        <w:rPr>
          <w:rFonts w:hint="eastAsia" w:ascii="Times New Roman" w:hAnsi="Times New Roman" w:eastAsia="仿宋_GB2312" w:cs="Times New Roman"/>
          <w:i w:val="0"/>
          <w:iCs w:val="0"/>
          <w:caps w:val="0"/>
          <w:color w:val="auto"/>
          <w:spacing w:val="0"/>
          <w:kern w:val="2"/>
          <w:sz w:val="32"/>
          <w:szCs w:val="22"/>
          <w:u w:val="none"/>
          <w:shd w:val="clear"/>
        </w:rPr>
      </w:pPr>
      <w:r>
        <w:rPr>
          <w:rFonts w:hint="eastAsia" w:cs="Times New Roman"/>
          <w:color w:val="auto"/>
          <w:u w:val="none"/>
          <w:lang w:val="en-US" w:eastAsia="zh-CN"/>
        </w:rPr>
        <w:t xml:space="preserve">  </w:t>
      </w:r>
      <w:r>
        <w:rPr>
          <w:rFonts w:hint="eastAsia" w:cs="Times New Roman"/>
          <w:color w:val="auto"/>
          <w:u w:val="none"/>
          <w:lang w:eastAsia="zh-CN"/>
        </w:rPr>
        <w:t>公共管理和服务机构在</w:t>
      </w:r>
      <w:r>
        <w:rPr>
          <w:rFonts w:hint="eastAsia" w:ascii="Times New Roman" w:hAnsi="Times New Roman" w:eastAsia="仿宋_GB2312" w:cs="Times New Roman"/>
          <w:i w:val="0"/>
          <w:iCs w:val="0"/>
          <w:caps w:val="0"/>
          <w:color w:val="auto"/>
          <w:spacing w:val="0"/>
          <w:kern w:val="2"/>
          <w:sz w:val="32"/>
          <w:szCs w:val="22"/>
          <w:u w:val="none"/>
          <w:shd w:val="clear"/>
        </w:rPr>
        <w:t>数据登记、共享、开放、授权运营等环节</w:t>
      </w:r>
      <w:r>
        <w:rPr>
          <w:rFonts w:hint="eastAsia" w:ascii="Times New Roman" w:hAnsi="Times New Roman" w:eastAsia="仿宋_GB2312" w:cs="Times New Roman"/>
          <w:i w:val="0"/>
          <w:iCs w:val="0"/>
          <w:caps w:val="0"/>
          <w:color w:val="auto"/>
          <w:spacing w:val="0"/>
          <w:sz w:val="32"/>
          <w:szCs w:val="22"/>
          <w:highlight w:val="none"/>
          <w:u w:val="none"/>
          <w:shd w:val="clear" w:fill="auto"/>
        </w:rPr>
        <w:t>发生数据篡改、破坏、泄露或者非法利用等情形的，应当承担安全管理责任。</w:t>
      </w:r>
    </w:p>
    <w:p w14:paraId="754299DE">
      <w:pPr>
        <w:pageBreakBefore w:val="0"/>
        <w:wordWrap/>
        <w:overflowPunct/>
        <w:topLinePunct w:val="0"/>
        <w:bidi w:val="0"/>
        <w:spacing w:line="560" w:lineRule="exact"/>
        <w:ind w:firstLine="640" w:firstLineChars="200"/>
        <w:rPr>
          <w:rFonts w:hint="eastAsia" w:cs="Times New Roman"/>
          <w:color w:val="auto"/>
          <w:u w:val="none"/>
        </w:rPr>
      </w:pPr>
      <w:r>
        <w:rPr>
          <w:rFonts w:hint="eastAsia" w:cs="Times New Roman"/>
          <w:color w:val="auto"/>
          <w:u w:val="none"/>
        </w:rPr>
        <w:t>存在重大风险或发生数据泄露、毁损、丢失等数据安全事件时，</w:t>
      </w:r>
      <w:r>
        <w:rPr>
          <w:rFonts w:hint="eastAsia" w:cs="Times New Roman"/>
          <w:color w:val="auto"/>
          <w:u w:val="none"/>
          <w:lang w:eastAsia="zh-CN"/>
        </w:rPr>
        <w:t>公共管理和服务机构</w:t>
      </w:r>
      <w:r>
        <w:rPr>
          <w:rFonts w:hint="eastAsia" w:cs="Times New Roman"/>
          <w:color w:val="auto"/>
          <w:u w:val="none"/>
        </w:rPr>
        <w:t>应当按照规定及时告知用户并立即启动数据安全事件应急处置预案，并向数据管理部门报告。</w:t>
      </w:r>
    </w:p>
    <w:p w14:paraId="191145DD">
      <w:pPr>
        <w:pageBreakBefore w:val="0"/>
        <w:numPr>
          <w:ilvl w:val="0"/>
          <w:numId w:val="2"/>
        </w:numPr>
        <w:wordWrap/>
        <w:overflowPunct/>
        <w:topLinePunct w:val="0"/>
        <w:bidi w:val="0"/>
        <w:spacing w:line="560" w:lineRule="exact"/>
        <w:ind w:firstLine="640" w:firstLineChars="200"/>
        <w:rPr>
          <w:color w:val="auto"/>
          <w:u w:val="none"/>
        </w:rPr>
      </w:pPr>
      <w:r>
        <w:rPr>
          <w:rFonts w:hint="eastAsia" w:cs="Times New Roman"/>
          <w:color w:val="auto"/>
          <w:u w:val="none"/>
          <w:lang w:val="en-US" w:eastAsia="zh-CN"/>
        </w:rPr>
        <w:t xml:space="preserve">  </w:t>
      </w:r>
      <w:r>
        <w:rPr>
          <w:rFonts w:hint="eastAsia"/>
          <w:color w:val="auto"/>
          <w:u w:val="none"/>
          <w:lang w:val="en-US" w:eastAsia="zh-CN"/>
        </w:rPr>
        <w:t>公共数据在共享、开放、授权运营过程中，涉及个人信息、商业秘密、国家秘密的，应当依法采取脱敏、加密、访问控制等安全措施，确保“数据可用不可见、数据不出域”等安全要求得到落实。</w:t>
      </w:r>
    </w:p>
    <w:p w14:paraId="7083C068">
      <w:pPr>
        <w:numPr>
          <w:ilvl w:val="0"/>
          <w:numId w:val="2"/>
        </w:numPr>
        <w:spacing w:line="560" w:lineRule="exact"/>
        <w:ind w:firstLine="640" w:firstLineChars="200"/>
        <w:rPr>
          <w:color w:val="auto"/>
          <w:u w:val="none"/>
        </w:rPr>
      </w:pPr>
      <w:r>
        <w:rPr>
          <w:rFonts w:hint="eastAsia" w:cs="Times New Roman"/>
          <w:color w:val="auto"/>
          <w:u w:val="none"/>
          <w:lang w:val="en-US" w:eastAsia="zh-CN"/>
        </w:rPr>
        <w:t xml:space="preserve">  </w:t>
      </w:r>
      <w:r>
        <w:rPr>
          <w:rFonts w:hint="eastAsia" w:cs="Times New Roman"/>
          <w:color w:val="auto"/>
          <w:u w:val="none"/>
        </w:rPr>
        <w:t>数据管理部门、</w:t>
      </w:r>
      <w:r>
        <w:rPr>
          <w:rFonts w:hint="eastAsia" w:cs="Times New Roman"/>
          <w:color w:val="auto"/>
          <w:u w:val="none"/>
          <w:lang w:eastAsia="zh-CN"/>
        </w:rPr>
        <w:t>公共管理和服务机构</w:t>
      </w:r>
      <w:r>
        <w:rPr>
          <w:rFonts w:hint="eastAsia" w:cs="Times New Roman"/>
          <w:color w:val="auto"/>
          <w:u w:val="none"/>
        </w:rPr>
        <w:t>在处理公共数据过程中，因数据汇聚、关联分析等原因，可能产生涉密或者敏感数据的，应当进行安全评估，并根据评估意见采取相应的安全措施。</w:t>
      </w:r>
    </w:p>
    <w:p w14:paraId="61879AB6">
      <w:pPr>
        <w:numPr>
          <w:ilvl w:val="0"/>
          <w:numId w:val="2"/>
        </w:numPr>
        <w:spacing w:line="560" w:lineRule="exact"/>
        <w:ind w:firstLine="640" w:firstLineChars="200"/>
        <w:rPr>
          <w:color w:val="auto"/>
          <w:u w:val="none"/>
        </w:rPr>
      </w:pPr>
      <w:r>
        <w:rPr>
          <w:rFonts w:hint="eastAsia"/>
          <w:color w:val="auto"/>
          <w:u w:val="none"/>
          <w:lang w:val="en-US" w:eastAsia="zh-CN"/>
        </w:rPr>
        <w:t xml:space="preserve">  市数据局</w:t>
      </w:r>
      <w:r>
        <w:rPr>
          <w:rFonts w:hint="eastAsia"/>
          <w:color w:val="auto"/>
          <w:u w:val="none"/>
        </w:rPr>
        <w:t>应会同网信、公安等部门</w:t>
      </w:r>
      <w:r>
        <w:rPr>
          <w:rFonts w:hint="eastAsia"/>
          <w:color w:val="auto"/>
          <w:u w:val="none"/>
          <w:lang w:val="en-US" w:eastAsia="zh-CN"/>
        </w:rPr>
        <w:t>根据国家数据分类分级保护制度要求，制定公共数据分类分级标准规范，并督促指导公共管理和服务机构实施。</w:t>
      </w:r>
    </w:p>
    <w:p w14:paraId="6156BA28">
      <w:pPr>
        <w:numPr>
          <w:ilvl w:val="0"/>
          <w:numId w:val="2"/>
        </w:numPr>
        <w:spacing w:line="560" w:lineRule="exact"/>
        <w:ind w:firstLine="640" w:firstLineChars="200"/>
        <w:rPr>
          <w:color w:val="auto"/>
          <w:u w:val="none"/>
        </w:rPr>
      </w:pPr>
      <w:r>
        <w:rPr>
          <w:rFonts w:hint="eastAsia" w:cs="Times New Roman"/>
          <w:color w:val="auto"/>
          <w:u w:val="none"/>
          <w:lang w:val="en-US" w:eastAsia="zh-CN"/>
        </w:rPr>
        <w:t xml:space="preserve"> </w:t>
      </w:r>
      <w:r>
        <w:rPr>
          <w:rFonts w:hint="eastAsia" w:cs="Times New Roman"/>
          <w:color w:val="auto"/>
          <w:u w:val="none"/>
        </w:rPr>
        <w:t xml:space="preserve"> 数据管理部门、</w:t>
      </w:r>
      <w:r>
        <w:rPr>
          <w:rFonts w:hint="eastAsia" w:cs="Times New Roman"/>
          <w:color w:val="auto"/>
          <w:u w:val="none"/>
          <w:lang w:eastAsia="zh-CN"/>
        </w:rPr>
        <w:t>公共管理和服务机构</w:t>
      </w:r>
      <w:r>
        <w:rPr>
          <w:rFonts w:hint="eastAsia" w:cs="Times New Roman"/>
          <w:color w:val="auto"/>
          <w:u w:val="none"/>
        </w:rPr>
        <w:t>委托第三方服务机构开展系统建设</w:t>
      </w:r>
      <w:r>
        <w:rPr>
          <w:rFonts w:hint="eastAsia" w:cs="Times New Roman"/>
          <w:color w:val="auto"/>
          <w:u w:val="none"/>
          <w:lang w:eastAsia="zh-CN"/>
        </w:rPr>
        <w:t>、</w:t>
      </w:r>
      <w:r>
        <w:rPr>
          <w:rFonts w:hint="eastAsia" w:cs="Times New Roman"/>
          <w:color w:val="auto"/>
          <w:u w:val="none"/>
        </w:rPr>
        <w:t>运行维护</w:t>
      </w:r>
      <w:r>
        <w:rPr>
          <w:rFonts w:hint="eastAsia" w:cs="Times New Roman"/>
          <w:color w:val="auto"/>
          <w:u w:val="none"/>
          <w:lang w:eastAsia="zh-CN"/>
        </w:rPr>
        <w:t>、</w:t>
      </w:r>
      <w:r>
        <w:rPr>
          <w:rFonts w:hint="eastAsia" w:cs="Times New Roman"/>
          <w:color w:val="auto"/>
          <w:u w:val="none"/>
          <w:lang w:val="en-US" w:eastAsia="zh-CN"/>
        </w:rPr>
        <w:t>数据加工、产品开发等工作的，</w:t>
      </w:r>
      <w:r>
        <w:rPr>
          <w:rFonts w:hint="eastAsia" w:cs="Times New Roman"/>
          <w:color w:val="auto"/>
          <w:u w:val="none"/>
        </w:rPr>
        <w:t>应当监督第三方服务机构依照法律、法规的规定和合同约定履行数据安全保护义务</w:t>
      </w:r>
      <w:r>
        <w:rPr>
          <w:rFonts w:hint="eastAsia" w:cs="Times New Roman"/>
          <w:color w:val="auto"/>
          <w:u w:val="none"/>
          <w:lang w:eastAsia="zh-CN"/>
        </w:rPr>
        <w:t>，并对其行为承担相应责任</w:t>
      </w:r>
      <w:r>
        <w:rPr>
          <w:rFonts w:hint="eastAsia" w:cs="Times New Roman"/>
          <w:color w:val="auto"/>
          <w:u w:val="none"/>
        </w:rPr>
        <w:t>。</w:t>
      </w:r>
    </w:p>
    <w:p w14:paraId="68417D2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both"/>
        <w:textAlignment w:val="auto"/>
        <w:outlineLvl w:val="0"/>
        <w:rPr>
          <w:rFonts w:hint="eastAsia" w:ascii="黑体" w:hAnsi="黑体" w:eastAsia="黑体" w:cs="黑体"/>
          <w:color w:val="auto"/>
          <w:sz w:val="32"/>
          <w:u w:val="none"/>
          <w:lang w:val="en-US" w:eastAsia="zh-CN"/>
        </w:rPr>
      </w:pPr>
    </w:p>
    <w:p w14:paraId="7FB826A9">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outlineLvl w:val="0"/>
        <w:rPr>
          <w:rFonts w:hint="eastAsia" w:ascii="黑体" w:hAnsi="黑体" w:eastAsia="黑体" w:cs="黑体"/>
          <w:color w:val="auto"/>
          <w:sz w:val="32"/>
          <w:u w:val="none"/>
          <w:lang w:val="en-US" w:eastAsia="zh-CN"/>
        </w:rPr>
      </w:pPr>
      <w:r>
        <w:rPr>
          <w:rFonts w:hint="eastAsia" w:ascii="黑体" w:hAnsi="黑体" w:eastAsia="黑体" w:cs="黑体"/>
          <w:color w:val="auto"/>
          <w:sz w:val="32"/>
          <w:u w:val="none"/>
          <w:lang w:val="en-US" w:eastAsia="zh-CN"/>
        </w:rPr>
        <w:t xml:space="preserve">  </w:t>
      </w:r>
      <w:bookmarkStart w:id="40" w:name="_Toc1689632983"/>
      <w:r>
        <w:rPr>
          <w:rFonts w:hint="eastAsia" w:ascii="黑体" w:hAnsi="黑体" w:eastAsia="黑体" w:cs="黑体"/>
          <w:color w:val="auto"/>
          <w:sz w:val="32"/>
          <w:u w:val="none"/>
          <w:lang w:val="en-US" w:eastAsia="zh-CN"/>
        </w:rPr>
        <w:t>监督管理</w:t>
      </w:r>
      <w:bookmarkEnd w:id="40"/>
    </w:p>
    <w:p w14:paraId="3659734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both"/>
        <w:textAlignment w:val="auto"/>
        <w:outlineLvl w:val="0"/>
        <w:rPr>
          <w:rFonts w:hint="eastAsia" w:ascii="黑体" w:hAnsi="黑体" w:eastAsia="黑体" w:cs="黑体"/>
          <w:color w:val="auto"/>
          <w:sz w:val="32"/>
          <w:u w:val="none"/>
          <w:lang w:val="en-US" w:eastAsia="zh-CN"/>
        </w:rPr>
      </w:pPr>
    </w:p>
    <w:p w14:paraId="7A30F37F">
      <w:pPr>
        <w:pageBreakBefore w:val="0"/>
        <w:numPr>
          <w:ilvl w:val="0"/>
          <w:numId w:val="2"/>
        </w:numPr>
        <w:wordWrap/>
        <w:overflowPunct/>
        <w:topLinePunct w:val="0"/>
        <w:bidi w:val="0"/>
        <w:spacing w:line="560" w:lineRule="exact"/>
        <w:ind w:firstLine="640" w:firstLineChars="200"/>
        <w:rPr>
          <w:rFonts w:hint="eastAsia" w:cs="Times New Roman"/>
          <w:color w:val="auto"/>
          <w:u w:val="none"/>
          <w:lang w:val="en-US" w:eastAsia="zh-CN"/>
        </w:rPr>
      </w:pPr>
      <w:r>
        <w:rPr>
          <w:rFonts w:hint="eastAsia" w:cs="Times New Roman"/>
          <w:color w:val="auto"/>
          <w:u w:val="none"/>
        </w:rPr>
        <w:t xml:space="preserve">  </w:t>
      </w:r>
      <w:r>
        <w:rPr>
          <w:rFonts w:hint="eastAsia" w:cs="Times New Roman"/>
          <w:color w:val="auto"/>
          <w:u w:val="none"/>
          <w:lang w:val="en-US" w:eastAsia="zh-CN"/>
        </w:rPr>
        <w:t>公共数据收集、目录管理</w:t>
      </w:r>
      <w:r>
        <w:rPr>
          <w:rFonts w:hint="eastAsia" w:cs="Times New Roman"/>
          <w:color w:val="auto"/>
          <w:u w:val="none"/>
        </w:rPr>
        <w:t>、</w:t>
      </w:r>
      <w:r>
        <w:rPr>
          <w:rFonts w:hint="eastAsia" w:cs="Times New Roman"/>
          <w:color w:val="auto"/>
          <w:u w:val="none"/>
          <w:lang w:eastAsia="zh-CN"/>
        </w:rPr>
        <w:t>归集、登记、治理、</w:t>
      </w:r>
      <w:r>
        <w:rPr>
          <w:rFonts w:hint="eastAsia" w:cs="Times New Roman"/>
          <w:color w:val="auto"/>
          <w:u w:val="none"/>
        </w:rPr>
        <w:t>共享、开放、授权运营、安全监管</w:t>
      </w:r>
      <w:r>
        <w:rPr>
          <w:rFonts w:hint="eastAsia" w:cs="Times New Roman"/>
          <w:color w:val="auto"/>
          <w:u w:val="none"/>
          <w:lang w:val="en-US" w:eastAsia="zh-CN"/>
        </w:rPr>
        <w:t>等情况，应作为确定政府信息化项目建设投资、运行维护经费和项目后期评价结果的重要依据。已投入运行但未按要求完成公共数据收集、编目、归集、治理、共享等公共数据管理工作的信息化项目，不予启动项目验收与新建项目批复。</w:t>
      </w:r>
    </w:p>
    <w:p w14:paraId="11C486E8">
      <w:pPr>
        <w:pageBreakBefore w:val="0"/>
        <w:wordWrap/>
        <w:overflowPunct/>
        <w:topLinePunct w:val="0"/>
        <w:bidi w:val="0"/>
        <w:spacing w:line="560" w:lineRule="exact"/>
        <w:ind w:firstLine="640" w:firstLineChars="200"/>
        <w:rPr>
          <w:rFonts w:hint="eastAsia" w:cs="Times New Roman"/>
          <w:color w:val="auto"/>
          <w:u w:val="none"/>
          <w:lang w:val="en-US" w:eastAsia="zh-CN"/>
        </w:rPr>
      </w:pPr>
      <w:r>
        <w:rPr>
          <w:rFonts w:hint="eastAsia" w:cs="Times New Roman"/>
          <w:color w:val="auto"/>
          <w:u w:val="none"/>
          <w:lang w:val="en-US" w:eastAsia="zh-CN"/>
        </w:rPr>
        <w:t>数据管理部门应定期对本级公共数据管理工作进行监督检查，对发现的问题予以通报并责令限期整改。对未按期完成整改的，由数据管理部门报告本级人民政府；对拒不整改或整改不到位的，由数据管理部门汇总情况后报请本级人民政府处理。</w:t>
      </w:r>
    </w:p>
    <w:p w14:paraId="4346C0BD">
      <w:pPr>
        <w:numPr>
          <w:ilvl w:val="0"/>
          <w:numId w:val="2"/>
        </w:numPr>
        <w:spacing w:line="560" w:lineRule="exact"/>
        <w:ind w:firstLine="640" w:firstLineChars="200"/>
        <w:rPr>
          <w:rFonts w:hint="eastAsia" w:cs="Times New Roman"/>
          <w:color w:val="auto"/>
          <w:u w:val="none"/>
          <w:lang w:val="en-US" w:eastAsia="zh-CN"/>
        </w:rPr>
      </w:pPr>
      <w:r>
        <w:rPr>
          <w:rFonts w:hint="eastAsia" w:cs="Times New Roman"/>
          <w:color w:val="auto"/>
          <w:u w:val="none"/>
        </w:rPr>
        <w:t xml:space="preserve">  </w:t>
      </w:r>
      <w:r>
        <w:rPr>
          <w:rFonts w:hint="eastAsia" w:cs="Times New Roman"/>
          <w:color w:val="auto"/>
          <w:u w:val="none"/>
          <w:lang w:val="en-US" w:eastAsia="zh-CN"/>
        </w:rPr>
        <w:t>市和县（市、区）应当建立完善包容审慎的监管机制，探索制定容错免责清单、减责清单，激发各类主体创新活力。</w:t>
      </w:r>
    </w:p>
    <w:p w14:paraId="3A23E976">
      <w:pPr>
        <w:numPr>
          <w:ilvl w:val="0"/>
          <w:numId w:val="2"/>
        </w:numPr>
        <w:spacing w:line="560" w:lineRule="exact"/>
        <w:ind w:firstLine="640" w:firstLineChars="200"/>
        <w:rPr>
          <w:rFonts w:hint="eastAsia" w:cs="Times New Roman"/>
          <w:color w:val="auto"/>
          <w:u w:val="none"/>
          <w:lang w:val="en-US" w:eastAsia="zh-CN"/>
        </w:rPr>
      </w:pPr>
      <w:r>
        <w:rPr>
          <w:rFonts w:hint="eastAsia" w:cs="Times New Roman"/>
          <w:color w:val="auto"/>
          <w:u w:val="none"/>
          <w:lang w:val="en-US" w:eastAsia="zh-CN"/>
        </w:rPr>
        <w:t xml:space="preserve">  公共管理和服务机构及其工作人员泄露、出售或者非法向他人提供公共数据管理工作过程中知悉的个人隐私、个人信息、商业秘密、保密商务信息的，或者在公共数据管理工作中玩忽职守、滥用职权、徇私舞弊的，依法给予处分；构成犯罪的，依法追究刑事责任。</w:t>
      </w:r>
    </w:p>
    <w:p w14:paraId="7E88E00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both"/>
        <w:textAlignment w:val="auto"/>
        <w:outlineLvl w:val="0"/>
        <w:rPr>
          <w:rFonts w:hint="eastAsia" w:ascii="黑体" w:hAnsi="黑体" w:eastAsia="黑体" w:cs="黑体"/>
          <w:color w:val="auto"/>
          <w:sz w:val="32"/>
          <w:u w:val="none"/>
          <w:lang w:val="en-US" w:eastAsia="zh-CN"/>
        </w:rPr>
      </w:pPr>
    </w:p>
    <w:p w14:paraId="378DC958">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outlineLvl w:val="0"/>
        <w:rPr>
          <w:rFonts w:hint="eastAsia" w:ascii="黑体" w:hAnsi="黑体" w:eastAsia="黑体" w:cs="黑体"/>
          <w:color w:val="auto"/>
          <w:sz w:val="32"/>
          <w:u w:val="none"/>
          <w:lang w:val="en-US" w:eastAsia="zh-CN"/>
        </w:rPr>
      </w:pPr>
      <w:r>
        <w:rPr>
          <w:rFonts w:hint="eastAsia" w:ascii="黑体" w:hAnsi="黑体" w:eastAsia="黑体" w:cs="黑体"/>
          <w:color w:val="auto"/>
          <w:sz w:val="32"/>
          <w:u w:val="none"/>
          <w:lang w:val="en-US" w:eastAsia="zh-CN"/>
        </w:rPr>
        <w:t xml:space="preserve"> </w:t>
      </w:r>
      <w:bookmarkStart w:id="41" w:name="_Toc1381344994"/>
      <w:r>
        <w:rPr>
          <w:rFonts w:hint="eastAsia" w:ascii="黑体" w:hAnsi="黑体" w:eastAsia="黑体" w:cs="黑体"/>
          <w:color w:val="auto"/>
          <w:sz w:val="32"/>
          <w:u w:val="none"/>
          <w:lang w:val="en-US" w:eastAsia="zh-CN"/>
        </w:rPr>
        <w:t>附 则</w:t>
      </w:r>
      <w:bookmarkEnd w:id="41"/>
    </w:p>
    <w:p w14:paraId="3E60520D">
      <w:pPr>
        <w:pStyle w:val="2"/>
        <w:pageBreakBefore w:val="0"/>
        <w:numPr>
          <w:ilvl w:val="0"/>
          <w:numId w:val="0"/>
        </w:numPr>
        <w:wordWrap/>
        <w:overflowPunct/>
        <w:topLinePunct w:val="0"/>
        <w:bidi w:val="0"/>
        <w:spacing w:before="0" w:beforeLines="0" w:after="0" w:afterLines="0" w:line="560" w:lineRule="exact"/>
        <w:ind w:leftChars="0"/>
        <w:jc w:val="both"/>
        <w:outlineLvl w:val="9"/>
        <w:rPr>
          <w:rFonts w:hint="eastAsia"/>
          <w:color w:val="auto"/>
          <w:u w:val="none"/>
          <w:lang w:val="en-US" w:eastAsia="zh-CN"/>
        </w:rPr>
      </w:pPr>
    </w:p>
    <w:p w14:paraId="7046A318">
      <w:pPr>
        <w:pageBreakBefore w:val="0"/>
        <w:numPr>
          <w:ilvl w:val="0"/>
          <w:numId w:val="2"/>
        </w:numPr>
        <w:wordWrap/>
        <w:overflowPunct/>
        <w:topLinePunct w:val="0"/>
        <w:bidi w:val="0"/>
        <w:spacing w:line="560" w:lineRule="exact"/>
        <w:ind w:firstLine="640" w:firstLineChars="200"/>
        <w:rPr>
          <w:color w:val="auto"/>
          <w:u w:val="none"/>
        </w:rPr>
      </w:pPr>
      <w:r>
        <w:rPr>
          <w:rFonts w:hint="eastAsia" w:cs="Times New Roman"/>
          <w:color w:val="auto"/>
          <w:u w:val="none"/>
          <w:lang w:val="en-US" w:eastAsia="zh-CN"/>
        </w:rPr>
        <w:t xml:space="preserve"> </w:t>
      </w:r>
      <w:r>
        <w:rPr>
          <w:rFonts w:hint="eastAsia" w:ascii="仿宋_GB2312" w:hAnsi="仿宋_GB2312" w:eastAsia="仿宋_GB2312" w:cs="仿宋_GB2312"/>
          <w:color w:val="auto"/>
          <w:sz w:val="32"/>
          <w:szCs w:val="32"/>
          <w:u w:val="none"/>
        </w:rPr>
        <w:t>本</w:t>
      </w:r>
      <w:r>
        <w:rPr>
          <w:rFonts w:hint="eastAsia" w:ascii="仿宋_GB2312" w:hAnsi="仿宋_GB2312" w:cs="仿宋_GB2312"/>
          <w:color w:val="auto"/>
          <w:sz w:val="32"/>
          <w:szCs w:val="32"/>
          <w:u w:val="none"/>
          <w:lang w:eastAsia="zh-CN"/>
        </w:rPr>
        <w:t>办法</w:t>
      </w:r>
      <w:r>
        <w:rPr>
          <w:rFonts w:hint="eastAsia" w:ascii="仿宋_GB2312" w:hAnsi="仿宋_GB2312" w:eastAsia="仿宋_GB2312" w:cs="仿宋_GB2312"/>
          <w:color w:val="auto"/>
          <w:sz w:val="32"/>
          <w:szCs w:val="32"/>
          <w:u w:val="none"/>
        </w:rPr>
        <w:t>由</w:t>
      </w:r>
      <w:r>
        <w:rPr>
          <w:rFonts w:hint="eastAsia" w:ascii="仿宋_GB2312" w:hAnsi="仿宋_GB2312" w:eastAsia="仿宋_GB2312" w:cs="仿宋_GB2312"/>
          <w:color w:val="auto"/>
          <w:sz w:val="32"/>
          <w:szCs w:val="32"/>
          <w:u w:val="none"/>
          <w:lang w:eastAsia="zh-CN"/>
        </w:rPr>
        <w:t>市数据局</w:t>
      </w:r>
      <w:r>
        <w:rPr>
          <w:rFonts w:hint="eastAsia" w:ascii="仿宋_GB2312" w:hAnsi="仿宋_GB2312" w:eastAsia="仿宋_GB2312" w:cs="仿宋_GB2312"/>
          <w:color w:val="auto"/>
          <w:sz w:val="32"/>
          <w:szCs w:val="32"/>
          <w:u w:val="none"/>
        </w:rPr>
        <w:t>负责解释。</w:t>
      </w:r>
    </w:p>
    <w:p w14:paraId="2F41349B">
      <w:pPr>
        <w:pageBreakBefore w:val="0"/>
        <w:numPr>
          <w:ilvl w:val="0"/>
          <w:numId w:val="2"/>
        </w:numPr>
        <w:wordWrap/>
        <w:overflowPunct/>
        <w:topLinePunct w:val="0"/>
        <w:bidi w:val="0"/>
        <w:spacing w:line="560" w:lineRule="exact"/>
        <w:ind w:firstLine="640" w:firstLineChars="200"/>
        <w:rPr>
          <w:color w:val="auto"/>
          <w:u w:val="none"/>
        </w:rPr>
      </w:pPr>
      <w:r>
        <w:rPr>
          <w:rFonts w:hint="eastAsia" w:cs="Times New Roman"/>
          <w:color w:val="auto"/>
          <w:u w:val="none"/>
          <w:lang w:val="en-US" w:eastAsia="zh-CN"/>
        </w:rPr>
        <w:t xml:space="preserve"> </w:t>
      </w:r>
      <w:r>
        <w:rPr>
          <w:rFonts w:hint="eastAsia" w:cs="Times New Roman"/>
          <w:color w:val="auto"/>
          <w:u w:val="none"/>
          <w:lang w:eastAsia="zh-CN"/>
        </w:rPr>
        <w:t>各县（市、区）参照本办法执行。</w:t>
      </w:r>
    </w:p>
    <w:p w14:paraId="0F69AC26">
      <w:pPr>
        <w:pageBreakBefore w:val="0"/>
        <w:numPr>
          <w:ilvl w:val="0"/>
          <w:numId w:val="2"/>
        </w:numPr>
        <w:wordWrap/>
        <w:overflowPunct/>
        <w:topLinePunct w:val="0"/>
        <w:bidi w:val="0"/>
        <w:spacing w:line="560" w:lineRule="exact"/>
        <w:ind w:firstLine="640" w:firstLineChars="200"/>
        <w:rPr>
          <w:color w:val="auto"/>
          <w:u w:val="none"/>
        </w:rPr>
      </w:pPr>
      <w:r>
        <w:rPr>
          <w:rFonts w:hint="eastAsia" w:cs="Times New Roman"/>
          <w:color w:val="auto"/>
          <w:u w:val="none"/>
          <w:lang w:val="en-US" w:eastAsia="zh-CN"/>
        </w:rPr>
        <w:t xml:space="preserve"> </w:t>
      </w:r>
      <w:r>
        <w:rPr>
          <w:rFonts w:hint="eastAsia" w:cs="Times New Roman"/>
          <w:color w:val="auto"/>
          <w:u w:val="none"/>
        </w:rPr>
        <w:t>本办法自XX年XX月XX日起施行</w:t>
      </w:r>
      <w:r>
        <w:rPr>
          <w:rFonts w:hint="eastAsia" w:cs="Times New Roman"/>
          <w:color w:val="auto"/>
          <w:u w:val="none"/>
          <w:lang w:eastAsia="zh-CN"/>
        </w:rPr>
        <w:t>，</w:t>
      </w:r>
      <w:r>
        <w:rPr>
          <w:rFonts w:hint="eastAsia" w:ascii="仿宋_GB2312" w:hAnsi="仿宋_GB2312" w:eastAsia="仿宋_GB2312" w:cs="仿宋_GB2312"/>
          <w:color w:val="auto"/>
          <w:sz w:val="32"/>
          <w:szCs w:val="32"/>
          <w:u w:val="none"/>
        </w:rPr>
        <w:t>有效期至XX年XX月XX日。</w:t>
      </w:r>
      <w:r>
        <w:rPr>
          <w:rFonts w:hint="eastAsia" w:ascii="仿宋_GB2312" w:hAnsi="仿宋_GB2312" w:eastAsia="仿宋_GB2312" w:cs="仿宋_GB2312"/>
          <w:color w:val="auto"/>
          <w:sz w:val="32"/>
          <w:szCs w:val="32"/>
          <w:u w:val="none"/>
          <w:lang w:eastAsia="zh-CN"/>
        </w:rPr>
        <w:t>国家、省</w:t>
      </w:r>
      <w:r>
        <w:rPr>
          <w:rFonts w:hint="eastAsia" w:ascii="仿宋_GB2312" w:hAnsi="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lang w:eastAsia="zh-CN"/>
        </w:rPr>
        <w:t>对公共数据管理另有规定的，从其规定。</w:t>
      </w: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4ECF5">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0AC0A">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DAAD">
    <w:pPr>
      <w:pStyle w:val="7"/>
      <w:jc w:val="center"/>
      <w:rPr>
        <w:rFonts w:hint="eastAsia" w:ascii="宋体" w:hAnsi="宋体" w:eastAsia="宋体"/>
        <w:sz w:val="28"/>
      </w:rPr>
    </w:pPr>
    <w:r>
      <w:rPr>
        <w:rFonts w:hint="eastAsia" w:ascii="宋体" w:hAnsi="宋体" w:eastAsia="宋体"/>
        <w:sz w:val="28"/>
      </w:rPr>
      <w:t xml:space="preserve">— </w:t>
    </w:r>
    <w:r>
      <w:rPr>
        <w:rFonts w:hint="eastAsia" w:ascii="宋体" w:hAnsi="宋体" w:eastAsia="宋体"/>
        <w:sz w:val="28"/>
      </w:rPr>
      <w:fldChar w:fldCharType="begin"/>
    </w:r>
    <w:r>
      <w:rPr>
        <w:rFonts w:hint="eastAsia" w:ascii="宋体" w:hAnsi="宋体" w:eastAsia="宋体"/>
        <w:sz w:val="28"/>
      </w:rPr>
      <w:instrText xml:space="preserve"> PAGE \* Arabic \* MERGEFORMAT </w:instrText>
    </w:r>
    <w:r>
      <w:rPr>
        <w:rFonts w:hint="eastAsia" w:ascii="宋体" w:hAnsi="宋体" w:eastAsia="宋体"/>
        <w:sz w:val="28"/>
      </w:rPr>
      <w:fldChar w:fldCharType="separate"/>
    </w:r>
    <w:r>
      <w:rPr>
        <w:rFonts w:hint="eastAsia" w:ascii="宋体" w:hAnsi="宋体" w:eastAsia="宋体"/>
        <w:sz w:val="28"/>
      </w:rPr>
      <w:t>14</w:t>
    </w:r>
    <w:r>
      <w:rPr>
        <w:rFonts w:hint="eastAsia" w:ascii="宋体" w:hAnsi="宋体" w:eastAsia="宋体"/>
        <w:sz w:val="28"/>
      </w:rPr>
      <w:fldChar w:fldCharType="end"/>
    </w:r>
    <w:r>
      <w:rPr>
        <w:rFonts w:hint="eastAsia"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26EE8">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53460">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ED6D5"/>
    <w:multiLevelType w:val="singleLevel"/>
    <w:tmpl w:val="896ED6D5"/>
    <w:lvl w:ilvl="0" w:tentative="0">
      <w:start w:val="1"/>
      <w:numFmt w:val="chineseCounting"/>
      <w:suff w:val="nothing"/>
      <w:lvlText w:val="（%1）"/>
      <w:lvlJc w:val="left"/>
      <w:rPr>
        <w:rFonts w:hint="eastAsia"/>
      </w:rPr>
    </w:lvl>
  </w:abstractNum>
  <w:abstractNum w:abstractNumId="1">
    <w:nsid w:val="8CD2F196"/>
    <w:multiLevelType w:val="singleLevel"/>
    <w:tmpl w:val="8CD2F196"/>
    <w:lvl w:ilvl="0" w:tentative="0">
      <w:start w:val="2"/>
      <w:numFmt w:val="chineseCounting"/>
      <w:suff w:val="nothing"/>
      <w:lvlText w:val="（%1）"/>
      <w:lvlJc w:val="left"/>
      <w:rPr>
        <w:rFonts w:hint="eastAsia"/>
      </w:rPr>
    </w:lvl>
  </w:abstractNum>
  <w:abstractNum w:abstractNumId="2">
    <w:nsid w:val="905BEF06"/>
    <w:multiLevelType w:val="singleLevel"/>
    <w:tmpl w:val="905BEF06"/>
    <w:lvl w:ilvl="0" w:tentative="0">
      <w:start w:val="1"/>
      <w:numFmt w:val="chineseCounting"/>
      <w:suff w:val="nothing"/>
      <w:lvlText w:val="（%1）"/>
      <w:lvlJc w:val="left"/>
      <w:pPr>
        <w:ind w:left="0" w:firstLine="40"/>
      </w:pPr>
      <w:rPr>
        <w:rFonts w:hint="eastAsia"/>
      </w:rPr>
    </w:lvl>
  </w:abstractNum>
  <w:abstractNum w:abstractNumId="3">
    <w:nsid w:val="979EFBC5"/>
    <w:multiLevelType w:val="singleLevel"/>
    <w:tmpl w:val="979EFBC5"/>
    <w:lvl w:ilvl="0" w:tentative="0">
      <w:start w:val="1"/>
      <w:numFmt w:val="chineseCounting"/>
      <w:suff w:val="space"/>
      <w:lvlText w:val="第%1章"/>
      <w:lvlJc w:val="left"/>
      <w:pPr>
        <w:tabs>
          <w:tab w:val="left" w:pos="0"/>
        </w:tabs>
      </w:pPr>
      <w:rPr>
        <w:rFonts w:hint="eastAsia" w:eastAsia="黑体"/>
        <w:sz w:val="32"/>
      </w:rPr>
    </w:lvl>
  </w:abstractNum>
  <w:abstractNum w:abstractNumId="4">
    <w:nsid w:val="BCF3A876"/>
    <w:multiLevelType w:val="singleLevel"/>
    <w:tmpl w:val="BCF3A876"/>
    <w:lvl w:ilvl="0" w:tentative="0">
      <w:start w:val="1"/>
      <w:numFmt w:val="chineseCounting"/>
      <w:suff w:val="nothing"/>
      <w:lvlText w:val="第%1条"/>
      <w:lvlJc w:val="left"/>
      <w:pPr>
        <w:ind w:left="0" w:firstLine="40"/>
      </w:pPr>
      <w:rPr>
        <w:rFonts w:hint="eastAsia" w:ascii="Times New Roman" w:hAnsi="Times New Roman" w:eastAsia="黑体"/>
        <w:strike w:val="0"/>
        <w:dstrike w:val="0"/>
        <w:sz w:val="32"/>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0ZDRiM2JkODk3ZDk4NjljNWNjN2EyNjlhNzQ1MTcifQ=="/>
  </w:docVars>
  <w:rsids>
    <w:rsidRoot w:val="57AE6B91"/>
    <w:rsid w:val="000748AC"/>
    <w:rsid w:val="000C0F29"/>
    <w:rsid w:val="000F5F5C"/>
    <w:rsid w:val="00147AB3"/>
    <w:rsid w:val="002F1BB1"/>
    <w:rsid w:val="00371D53"/>
    <w:rsid w:val="00484AD5"/>
    <w:rsid w:val="00493E22"/>
    <w:rsid w:val="004B1DCE"/>
    <w:rsid w:val="006D642C"/>
    <w:rsid w:val="00797E24"/>
    <w:rsid w:val="00831B5A"/>
    <w:rsid w:val="00873857"/>
    <w:rsid w:val="008928BF"/>
    <w:rsid w:val="0094423F"/>
    <w:rsid w:val="009A6F98"/>
    <w:rsid w:val="00A66CCD"/>
    <w:rsid w:val="00AD10E6"/>
    <w:rsid w:val="00B17681"/>
    <w:rsid w:val="00B17FDB"/>
    <w:rsid w:val="00B71638"/>
    <w:rsid w:val="00BA0BEC"/>
    <w:rsid w:val="00C234BD"/>
    <w:rsid w:val="00C5768A"/>
    <w:rsid w:val="00CB40CE"/>
    <w:rsid w:val="00D26C7D"/>
    <w:rsid w:val="00D32937"/>
    <w:rsid w:val="00D53D75"/>
    <w:rsid w:val="00D86488"/>
    <w:rsid w:val="00DF3269"/>
    <w:rsid w:val="00E166CF"/>
    <w:rsid w:val="00E544B1"/>
    <w:rsid w:val="00E85B60"/>
    <w:rsid w:val="00F427C3"/>
    <w:rsid w:val="00F92303"/>
    <w:rsid w:val="010C3581"/>
    <w:rsid w:val="01176EA7"/>
    <w:rsid w:val="01307497"/>
    <w:rsid w:val="013C4DA0"/>
    <w:rsid w:val="013C66CE"/>
    <w:rsid w:val="0142677D"/>
    <w:rsid w:val="01465CE2"/>
    <w:rsid w:val="017C4304"/>
    <w:rsid w:val="01AE15BA"/>
    <w:rsid w:val="020517D9"/>
    <w:rsid w:val="020C3715"/>
    <w:rsid w:val="021B1804"/>
    <w:rsid w:val="02324FB9"/>
    <w:rsid w:val="02384D50"/>
    <w:rsid w:val="02485020"/>
    <w:rsid w:val="02685614"/>
    <w:rsid w:val="026D6C03"/>
    <w:rsid w:val="026E3484"/>
    <w:rsid w:val="028D614F"/>
    <w:rsid w:val="0295355F"/>
    <w:rsid w:val="029A2A09"/>
    <w:rsid w:val="02BE01B7"/>
    <w:rsid w:val="02D61B95"/>
    <w:rsid w:val="02DF199C"/>
    <w:rsid w:val="02E17AE0"/>
    <w:rsid w:val="02F62AAB"/>
    <w:rsid w:val="03215E7E"/>
    <w:rsid w:val="034C30C3"/>
    <w:rsid w:val="038623F5"/>
    <w:rsid w:val="03BF0642"/>
    <w:rsid w:val="03C90F4A"/>
    <w:rsid w:val="03E52ED2"/>
    <w:rsid w:val="03EA08A3"/>
    <w:rsid w:val="03EB0910"/>
    <w:rsid w:val="03F02E3A"/>
    <w:rsid w:val="04277299"/>
    <w:rsid w:val="042F4233"/>
    <w:rsid w:val="046E4464"/>
    <w:rsid w:val="047B4E76"/>
    <w:rsid w:val="04825DCF"/>
    <w:rsid w:val="04846944"/>
    <w:rsid w:val="04BA65BD"/>
    <w:rsid w:val="04BF25E2"/>
    <w:rsid w:val="04E80048"/>
    <w:rsid w:val="04EE6171"/>
    <w:rsid w:val="04F9027B"/>
    <w:rsid w:val="05045FA7"/>
    <w:rsid w:val="054700DE"/>
    <w:rsid w:val="05A30D71"/>
    <w:rsid w:val="05AD600A"/>
    <w:rsid w:val="05B17B43"/>
    <w:rsid w:val="05B76009"/>
    <w:rsid w:val="05BC5C44"/>
    <w:rsid w:val="06106271"/>
    <w:rsid w:val="061821C8"/>
    <w:rsid w:val="061B6B64"/>
    <w:rsid w:val="06373F2B"/>
    <w:rsid w:val="063F6C84"/>
    <w:rsid w:val="064415F4"/>
    <w:rsid w:val="06B17456"/>
    <w:rsid w:val="06D10CBB"/>
    <w:rsid w:val="06D51014"/>
    <w:rsid w:val="06EA7832"/>
    <w:rsid w:val="06F21F49"/>
    <w:rsid w:val="06FA0DFD"/>
    <w:rsid w:val="071171B7"/>
    <w:rsid w:val="0748600C"/>
    <w:rsid w:val="074C5ECE"/>
    <w:rsid w:val="07562AAA"/>
    <w:rsid w:val="075C5614"/>
    <w:rsid w:val="075E026A"/>
    <w:rsid w:val="07716FC5"/>
    <w:rsid w:val="078B7FFB"/>
    <w:rsid w:val="07967398"/>
    <w:rsid w:val="07BD3408"/>
    <w:rsid w:val="07FC1127"/>
    <w:rsid w:val="080E095B"/>
    <w:rsid w:val="080F2686"/>
    <w:rsid w:val="08155714"/>
    <w:rsid w:val="082543D6"/>
    <w:rsid w:val="082A7958"/>
    <w:rsid w:val="085E53BC"/>
    <w:rsid w:val="08880DCC"/>
    <w:rsid w:val="088B62D2"/>
    <w:rsid w:val="088F087C"/>
    <w:rsid w:val="08AE1E9F"/>
    <w:rsid w:val="08B1198F"/>
    <w:rsid w:val="08BF4690"/>
    <w:rsid w:val="08CA572C"/>
    <w:rsid w:val="08E729FB"/>
    <w:rsid w:val="09775CC9"/>
    <w:rsid w:val="09853696"/>
    <w:rsid w:val="098608AA"/>
    <w:rsid w:val="09A11A04"/>
    <w:rsid w:val="09A3577C"/>
    <w:rsid w:val="09B64B07"/>
    <w:rsid w:val="09CB16BA"/>
    <w:rsid w:val="09DC0EB0"/>
    <w:rsid w:val="09E36EBB"/>
    <w:rsid w:val="09F32273"/>
    <w:rsid w:val="0A116172"/>
    <w:rsid w:val="0A4F320E"/>
    <w:rsid w:val="0A9304B6"/>
    <w:rsid w:val="0A960596"/>
    <w:rsid w:val="0AA95014"/>
    <w:rsid w:val="0ABD4BA8"/>
    <w:rsid w:val="0AE50463"/>
    <w:rsid w:val="0B0B35D9"/>
    <w:rsid w:val="0B291CB1"/>
    <w:rsid w:val="0B696658"/>
    <w:rsid w:val="0B7C4362"/>
    <w:rsid w:val="0B815649"/>
    <w:rsid w:val="0B8B0F5A"/>
    <w:rsid w:val="0BE609D9"/>
    <w:rsid w:val="0BEB474C"/>
    <w:rsid w:val="0C0A0A79"/>
    <w:rsid w:val="0C1B6EB5"/>
    <w:rsid w:val="0C300E1D"/>
    <w:rsid w:val="0C57284E"/>
    <w:rsid w:val="0C69676D"/>
    <w:rsid w:val="0C6A19F4"/>
    <w:rsid w:val="0C6C62F9"/>
    <w:rsid w:val="0CA57465"/>
    <w:rsid w:val="0CC65773"/>
    <w:rsid w:val="0CEF5F4F"/>
    <w:rsid w:val="0D1473CD"/>
    <w:rsid w:val="0D266AA7"/>
    <w:rsid w:val="0D50151B"/>
    <w:rsid w:val="0D51169D"/>
    <w:rsid w:val="0D9637BE"/>
    <w:rsid w:val="0DB65122"/>
    <w:rsid w:val="0DB83FE3"/>
    <w:rsid w:val="0DCB34F3"/>
    <w:rsid w:val="0DE24882"/>
    <w:rsid w:val="0DE411D2"/>
    <w:rsid w:val="0DE42ED3"/>
    <w:rsid w:val="0E0C5732"/>
    <w:rsid w:val="0E43199A"/>
    <w:rsid w:val="0E462B7A"/>
    <w:rsid w:val="0E4906AC"/>
    <w:rsid w:val="0E4C1550"/>
    <w:rsid w:val="0E553E22"/>
    <w:rsid w:val="0E664FCA"/>
    <w:rsid w:val="0E6F0323"/>
    <w:rsid w:val="0EBC7D8C"/>
    <w:rsid w:val="0EDC0874"/>
    <w:rsid w:val="0EE11B9F"/>
    <w:rsid w:val="0EE46AFC"/>
    <w:rsid w:val="0EF00994"/>
    <w:rsid w:val="0EF10D38"/>
    <w:rsid w:val="0F0E428C"/>
    <w:rsid w:val="0F370802"/>
    <w:rsid w:val="0F550707"/>
    <w:rsid w:val="0F5933A7"/>
    <w:rsid w:val="0F8542DF"/>
    <w:rsid w:val="0F9B1638"/>
    <w:rsid w:val="0FB75ADD"/>
    <w:rsid w:val="0FC85F3C"/>
    <w:rsid w:val="0FD8005B"/>
    <w:rsid w:val="0FDF3286"/>
    <w:rsid w:val="0FF11F36"/>
    <w:rsid w:val="1010343F"/>
    <w:rsid w:val="101C0036"/>
    <w:rsid w:val="1027222B"/>
    <w:rsid w:val="103435D2"/>
    <w:rsid w:val="10414BA7"/>
    <w:rsid w:val="104E54D8"/>
    <w:rsid w:val="10637A13"/>
    <w:rsid w:val="10667A54"/>
    <w:rsid w:val="107D580A"/>
    <w:rsid w:val="109C2F25"/>
    <w:rsid w:val="10B4026F"/>
    <w:rsid w:val="10C62B44"/>
    <w:rsid w:val="10E32902"/>
    <w:rsid w:val="10E77058"/>
    <w:rsid w:val="10EE1409"/>
    <w:rsid w:val="11445A6F"/>
    <w:rsid w:val="11477335"/>
    <w:rsid w:val="114F2CDB"/>
    <w:rsid w:val="11F61BFA"/>
    <w:rsid w:val="120E3797"/>
    <w:rsid w:val="121A2F96"/>
    <w:rsid w:val="121D5045"/>
    <w:rsid w:val="122B7BDE"/>
    <w:rsid w:val="12333415"/>
    <w:rsid w:val="12440F4B"/>
    <w:rsid w:val="124941D2"/>
    <w:rsid w:val="12605E9D"/>
    <w:rsid w:val="126973A9"/>
    <w:rsid w:val="129F0AAB"/>
    <w:rsid w:val="12A52565"/>
    <w:rsid w:val="12A96EF4"/>
    <w:rsid w:val="12AF34E6"/>
    <w:rsid w:val="12CB3C9E"/>
    <w:rsid w:val="1301226A"/>
    <w:rsid w:val="131C20FB"/>
    <w:rsid w:val="132773C1"/>
    <w:rsid w:val="13493F43"/>
    <w:rsid w:val="13623239"/>
    <w:rsid w:val="13795A9E"/>
    <w:rsid w:val="1382348A"/>
    <w:rsid w:val="139B3968"/>
    <w:rsid w:val="13AA194B"/>
    <w:rsid w:val="13AE73E5"/>
    <w:rsid w:val="13B22BBF"/>
    <w:rsid w:val="13BE541D"/>
    <w:rsid w:val="13CB2B57"/>
    <w:rsid w:val="13ED0BA8"/>
    <w:rsid w:val="13EE1CEA"/>
    <w:rsid w:val="145E7A8B"/>
    <w:rsid w:val="14797FD0"/>
    <w:rsid w:val="148137BC"/>
    <w:rsid w:val="14846827"/>
    <w:rsid w:val="148A43CC"/>
    <w:rsid w:val="149C7998"/>
    <w:rsid w:val="14A51F13"/>
    <w:rsid w:val="14B96CAE"/>
    <w:rsid w:val="14C40F66"/>
    <w:rsid w:val="14CF1B1B"/>
    <w:rsid w:val="14CF422A"/>
    <w:rsid w:val="15017AE9"/>
    <w:rsid w:val="150C16E6"/>
    <w:rsid w:val="150F3AF8"/>
    <w:rsid w:val="1528251A"/>
    <w:rsid w:val="153E0A4F"/>
    <w:rsid w:val="15475B55"/>
    <w:rsid w:val="155E37E7"/>
    <w:rsid w:val="157E34B3"/>
    <w:rsid w:val="15A07014"/>
    <w:rsid w:val="15A07BB3"/>
    <w:rsid w:val="15CC1BB7"/>
    <w:rsid w:val="15DF11BA"/>
    <w:rsid w:val="15E265A9"/>
    <w:rsid w:val="15EA273C"/>
    <w:rsid w:val="1600454E"/>
    <w:rsid w:val="16370002"/>
    <w:rsid w:val="165C67D2"/>
    <w:rsid w:val="167C35DD"/>
    <w:rsid w:val="16947ABB"/>
    <w:rsid w:val="16B074D0"/>
    <w:rsid w:val="16C65B18"/>
    <w:rsid w:val="16FA09A5"/>
    <w:rsid w:val="170C591A"/>
    <w:rsid w:val="17387531"/>
    <w:rsid w:val="177C50CC"/>
    <w:rsid w:val="177E3C0A"/>
    <w:rsid w:val="179B5CE4"/>
    <w:rsid w:val="17C24058"/>
    <w:rsid w:val="17FA6CE6"/>
    <w:rsid w:val="181B5077"/>
    <w:rsid w:val="18294E05"/>
    <w:rsid w:val="184B770B"/>
    <w:rsid w:val="18686C39"/>
    <w:rsid w:val="186A20C2"/>
    <w:rsid w:val="18717C5F"/>
    <w:rsid w:val="187B64CC"/>
    <w:rsid w:val="18982F6D"/>
    <w:rsid w:val="18D0564C"/>
    <w:rsid w:val="18E26884"/>
    <w:rsid w:val="19086F4B"/>
    <w:rsid w:val="192C5E41"/>
    <w:rsid w:val="196F198B"/>
    <w:rsid w:val="19742C91"/>
    <w:rsid w:val="19AB02DA"/>
    <w:rsid w:val="19AE0A7E"/>
    <w:rsid w:val="19B35F83"/>
    <w:rsid w:val="19B47531"/>
    <w:rsid w:val="19C46AE9"/>
    <w:rsid w:val="19C57049"/>
    <w:rsid w:val="19F213C2"/>
    <w:rsid w:val="19FC69EA"/>
    <w:rsid w:val="1A0A20B0"/>
    <w:rsid w:val="1A266AA0"/>
    <w:rsid w:val="1A2E5A87"/>
    <w:rsid w:val="1A41636C"/>
    <w:rsid w:val="1A4F3A78"/>
    <w:rsid w:val="1A6E1990"/>
    <w:rsid w:val="1A6F6194"/>
    <w:rsid w:val="1A7731BB"/>
    <w:rsid w:val="1A82318C"/>
    <w:rsid w:val="1AA500EE"/>
    <w:rsid w:val="1AD4591A"/>
    <w:rsid w:val="1AD83689"/>
    <w:rsid w:val="1ADC6DA1"/>
    <w:rsid w:val="1ADD121D"/>
    <w:rsid w:val="1AE41750"/>
    <w:rsid w:val="1AED60B6"/>
    <w:rsid w:val="1B356450"/>
    <w:rsid w:val="1B44092D"/>
    <w:rsid w:val="1B481CDF"/>
    <w:rsid w:val="1B7350C7"/>
    <w:rsid w:val="1B746952"/>
    <w:rsid w:val="1BB466E4"/>
    <w:rsid w:val="1BE12964"/>
    <w:rsid w:val="1BE907AC"/>
    <w:rsid w:val="1C4A0471"/>
    <w:rsid w:val="1C662D65"/>
    <w:rsid w:val="1C732888"/>
    <w:rsid w:val="1CA051CF"/>
    <w:rsid w:val="1CB22616"/>
    <w:rsid w:val="1CD4207C"/>
    <w:rsid w:val="1CFF6195"/>
    <w:rsid w:val="1D2B2568"/>
    <w:rsid w:val="1D3823E6"/>
    <w:rsid w:val="1D3D6432"/>
    <w:rsid w:val="1D4F1A4B"/>
    <w:rsid w:val="1D681A07"/>
    <w:rsid w:val="1D7B31AC"/>
    <w:rsid w:val="1D81675B"/>
    <w:rsid w:val="1D8D60CF"/>
    <w:rsid w:val="1D9F6537"/>
    <w:rsid w:val="1DC32E76"/>
    <w:rsid w:val="1DDC3DD2"/>
    <w:rsid w:val="1DDE2173"/>
    <w:rsid w:val="1DE97F49"/>
    <w:rsid w:val="1E0F11DA"/>
    <w:rsid w:val="1E110AAE"/>
    <w:rsid w:val="1E135668"/>
    <w:rsid w:val="1E65624F"/>
    <w:rsid w:val="1E6C24FF"/>
    <w:rsid w:val="1E765930"/>
    <w:rsid w:val="1ED61CF8"/>
    <w:rsid w:val="1EEB4284"/>
    <w:rsid w:val="1EF92CA6"/>
    <w:rsid w:val="1F1F19FC"/>
    <w:rsid w:val="1F5921F5"/>
    <w:rsid w:val="1F6C2351"/>
    <w:rsid w:val="1FEDCD09"/>
    <w:rsid w:val="200F5637"/>
    <w:rsid w:val="201D3A46"/>
    <w:rsid w:val="202A40A9"/>
    <w:rsid w:val="20360CA0"/>
    <w:rsid w:val="203E3F9C"/>
    <w:rsid w:val="204B441F"/>
    <w:rsid w:val="205F63D3"/>
    <w:rsid w:val="20671B36"/>
    <w:rsid w:val="206F33CE"/>
    <w:rsid w:val="206F597F"/>
    <w:rsid w:val="20834A92"/>
    <w:rsid w:val="208606BA"/>
    <w:rsid w:val="20AB6760"/>
    <w:rsid w:val="20B76214"/>
    <w:rsid w:val="20C4005A"/>
    <w:rsid w:val="20E942F0"/>
    <w:rsid w:val="210727E0"/>
    <w:rsid w:val="212339B6"/>
    <w:rsid w:val="213F26B4"/>
    <w:rsid w:val="2146195F"/>
    <w:rsid w:val="2157569F"/>
    <w:rsid w:val="215C0D0E"/>
    <w:rsid w:val="2164697A"/>
    <w:rsid w:val="219857D3"/>
    <w:rsid w:val="21A03D15"/>
    <w:rsid w:val="21A12149"/>
    <w:rsid w:val="21A62C0E"/>
    <w:rsid w:val="21CD18EF"/>
    <w:rsid w:val="21CF536C"/>
    <w:rsid w:val="21EF25D9"/>
    <w:rsid w:val="220529A0"/>
    <w:rsid w:val="220D63B8"/>
    <w:rsid w:val="222A586C"/>
    <w:rsid w:val="225418B2"/>
    <w:rsid w:val="227E6ED8"/>
    <w:rsid w:val="22CD71E5"/>
    <w:rsid w:val="22EA4691"/>
    <w:rsid w:val="22EE0A57"/>
    <w:rsid w:val="236D3A27"/>
    <w:rsid w:val="239345FF"/>
    <w:rsid w:val="23CD6D26"/>
    <w:rsid w:val="23E00853"/>
    <w:rsid w:val="23EB2FAD"/>
    <w:rsid w:val="23FB655A"/>
    <w:rsid w:val="240371E6"/>
    <w:rsid w:val="241E5CD3"/>
    <w:rsid w:val="2435301D"/>
    <w:rsid w:val="244435F3"/>
    <w:rsid w:val="24526181"/>
    <w:rsid w:val="245A3DCF"/>
    <w:rsid w:val="2465272D"/>
    <w:rsid w:val="24724271"/>
    <w:rsid w:val="247A570E"/>
    <w:rsid w:val="249F4C5C"/>
    <w:rsid w:val="24D6219A"/>
    <w:rsid w:val="2504136D"/>
    <w:rsid w:val="25050C41"/>
    <w:rsid w:val="25072445"/>
    <w:rsid w:val="250C351F"/>
    <w:rsid w:val="251D5F8B"/>
    <w:rsid w:val="25302162"/>
    <w:rsid w:val="25390C6D"/>
    <w:rsid w:val="25710DD0"/>
    <w:rsid w:val="25853C40"/>
    <w:rsid w:val="25C96113"/>
    <w:rsid w:val="25D01AAB"/>
    <w:rsid w:val="26030FFB"/>
    <w:rsid w:val="26075EA7"/>
    <w:rsid w:val="264834DB"/>
    <w:rsid w:val="264D6D44"/>
    <w:rsid w:val="267B4C87"/>
    <w:rsid w:val="267E6EFD"/>
    <w:rsid w:val="26A10E3D"/>
    <w:rsid w:val="26A256CB"/>
    <w:rsid w:val="26B119D0"/>
    <w:rsid w:val="26D7660D"/>
    <w:rsid w:val="26D97AE9"/>
    <w:rsid w:val="271D5750"/>
    <w:rsid w:val="275B0223"/>
    <w:rsid w:val="275E73AA"/>
    <w:rsid w:val="276239DF"/>
    <w:rsid w:val="2767173F"/>
    <w:rsid w:val="27675D13"/>
    <w:rsid w:val="27736336"/>
    <w:rsid w:val="27737BD1"/>
    <w:rsid w:val="27771F82"/>
    <w:rsid w:val="277D71B5"/>
    <w:rsid w:val="27891FA0"/>
    <w:rsid w:val="27AE7A6C"/>
    <w:rsid w:val="27AF2CD5"/>
    <w:rsid w:val="27BF552C"/>
    <w:rsid w:val="27C12F77"/>
    <w:rsid w:val="27C9523F"/>
    <w:rsid w:val="27CF71D4"/>
    <w:rsid w:val="27D473D4"/>
    <w:rsid w:val="27EB66C9"/>
    <w:rsid w:val="28025D85"/>
    <w:rsid w:val="28234C46"/>
    <w:rsid w:val="2825076A"/>
    <w:rsid w:val="282A31F1"/>
    <w:rsid w:val="28603155"/>
    <w:rsid w:val="286C0340"/>
    <w:rsid w:val="28734E32"/>
    <w:rsid w:val="28940FA3"/>
    <w:rsid w:val="28B3473C"/>
    <w:rsid w:val="28C12409"/>
    <w:rsid w:val="28D10901"/>
    <w:rsid w:val="2903193C"/>
    <w:rsid w:val="29116B08"/>
    <w:rsid w:val="29193384"/>
    <w:rsid w:val="29303854"/>
    <w:rsid w:val="294D3731"/>
    <w:rsid w:val="295D68B3"/>
    <w:rsid w:val="297468DC"/>
    <w:rsid w:val="297D6742"/>
    <w:rsid w:val="29BF3AB4"/>
    <w:rsid w:val="2A0F77B2"/>
    <w:rsid w:val="2A1A518F"/>
    <w:rsid w:val="2A2441F7"/>
    <w:rsid w:val="2A3F341C"/>
    <w:rsid w:val="2A4312E2"/>
    <w:rsid w:val="2A5B5071"/>
    <w:rsid w:val="2A7908B3"/>
    <w:rsid w:val="2A9632CC"/>
    <w:rsid w:val="2AA4277F"/>
    <w:rsid w:val="2AA6546E"/>
    <w:rsid w:val="2ACB5C6E"/>
    <w:rsid w:val="2ADB7F53"/>
    <w:rsid w:val="2AEF16F8"/>
    <w:rsid w:val="2AF84B68"/>
    <w:rsid w:val="2B0B0F15"/>
    <w:rsid w:val="2B163EC5"/>
    <w:rsid w:val="2B3C649C"/>
    <w:rsid w:val="2B6C2EBC"/>
    <w:rsid w:val="2B9A19FE"/>
    <w:rsid w:val="2B9F0D41"/>
    <w:rsid w:val="2BA7537B"/>
    <w:rsid w:val="2BDC25A8"/>
    <w:rsid w:val="2BF02146"/>
    <w:rsid w:val="2BFA0C65"/>
    <w:rsid w:val="2C004619"/>
    <w:rsid w:val="2C2E20E8"/>
    <w:rsid w:val="2C5F3CD5"/>
    <w:rsid w:val="2C6D5730"/>
    <w:rsid w:val="2C7B2BF2"/>
    <w:rsid w:val="2C972AC7"/>
    <w:rsid w:val="2C9A4954"/>
    <w:rsid w:val="2CA837AC"/>
    <w:rsid w:val="2CC729E4"/>
    <w:rsid w:val="2D1E6D44"/>
    <w:rsid w:val="2D2019F7"/>
    <w:rsid w:val="2D447488"/>
    <w:rsid w:val="2DA14A73"/>
    <w:rsid w:val="2DAA1B0D"/>
    <w:rsid w:val="2DBA6724"/>
    <w:rsid w:val="2DCA7074"/>
    <w:rsid w:val="2DD74EF3"/>
    <w:rsid w:val="2DDE0ED0"/>
    <w:rsid w:val="2E0C7795"/>
    <w:rsid w:val="2E351396"/>
    <w:rsid w:val="2E3734F7"/>
    <w:rsid w:val="2EB76898"/>
    <w:rsid w:val="2EBC5996"/>
    <w:rsid w:val="2EE538D4"/>
    <w:rsid w:val="2F137A1C"/>
    <w:rsid w:val="2F540059"/>
    <w:rsid w:val="2F6616D3"/>
    <w:rsid w:val="2F66268A"/>
    <w:rsid w:val="2F8D40EC"/>
    <w:rsid w:val="2FA747F7"/>
    <w:rsid w:val="2FB54843"/>
    <w:rsid w:val="2FBB3835"/>
    <w:rsid w:val="2FC50073"/>
    <w:rsid w:val="2FC72AEF"/>
    <w:rsid w:val="2FDB716E"/>
    <w:rsid w:val="2FE6B843"/>
    <w:rsid w:val="2FE807C0"/>
    <w:rsid w:val="2FF06D75"/>
    <w:rsid w:val="2FF9C187"/>
    <w:rsid w:val="30074904"/>
    <w:rsid w:val="3019063E"/>
    <w:rsid w:val="305A5E42"/>
    <w:rsid w:val="306B25BE"/>
    <w:rsid w:val="306B4987"/>
    <w:rsid w:val="30816961"/>
    <w:rsid w:val="30927E12"/>
    <w:rsid w:val="30C8448F"/>
    <w:rsid w:val="30DF4001"/>
    <w:rsid w:val="30E331E4"/>
    <w:rsid w:val="30E44DEA"/>
    <w:rsid w:val="31226582"/>
    <w:rsid w:val="313C6FBC"/>
    <w:rsid w:val="31603DCF"/>
    <w:rsid w:val="316A0414"/>
    <w:rsid w:val="316D2048"/>
    <w:rsid w:val="317F2A03"/>
    <w:rsid w:val="31815AF3"/>
    <w:rsid w:val="31932498"/>
    <w:rsid w:val="31B92EF6"/>
    <w:rsid w:val="31E57E30"/>
    <w:rsid w:val="31E66C61"/>
    <w:rsid w:val="32132BEF"/>
    <w:rsid w:val="32741E3A"/>
    <w:rsid w:val="32904240"/>
    <w:rsid w:val="32CE2FBA"/>
    <w:rsid w:val="32DF350F"/>
    <w:rsid w:val="32E97244"/>
    <w:rsid w:val="32F0038F"/>
    <w:rsid w:val="32F04CDF"/>
    <w:rsid w:val="32F12D0D"/>
    <w:rsid w:val="33497B0A"/>
    <w:rsid w:val="33670EFD"/>
    <w:rsid w:val="337A0A4C"/>
    <w:rsid w:val="337A5602"/>
    <w:rsid w:val="338D69D1"/>
    <w:rsid w:val="33AD497E"/>
    <w:rsid w:val="33B0446E"/>
    <w:rsid w:val="33D15DFC"/>
    <w:rsid w:val="33DC08A6"/>
    <w:rsid w:val="33DC5366"/>
    <w:rsid w:val="341943E5"/>
    <w:rsid w:val="341F36A6"/>
    <w:rsid w:val="342728EE"/>
    <w:rsid w:val="34561BE4"/>
    <w:rsid w:val="346005B2"/>
    <w:rsid w:val="346E55E0"/>
    <w:rsid w:val="34840F9D"/>
    <w:rsid w:val="34897627"/>
    <w:rsid w:val="349842EA"/>
    <w:rsid w:val="34A73A96"/>
    <w:rsid w:val="34AD4D1F"/>
    <w:rsid w:val="34E97C37"/>
    <w:rsid w:val="34FF462A"/>
    <w:rsid w:val="3509757B"/>
    <w:rsid w:val="354F3995"/>
    <w:rsid w:val="355D6BE9"/>
    <w:rsid w:val="35B64D10"/>
    <w:rsid w:val="35C828C9"/>
    <w:rsid w:val="35CE2CFC"/>
    <w:rsid w:val="36046B41"/>
    <w:rsid w:val="361D3A04"/>
    <w:rsid w:val="36370E76"/>
    <w:rsid w:val="36443374"/>
    <w:rsid w:val="36703F22"/>
    <w:rsid w:val="3679323D"/>
    <w:rsid w:val="36C57C87"/>
    <w:rsid w:val="36C97D20"/>
    <w:rsid w:val="36CB7408"/>
    <w:rsid w:val="36E763F9"/>
    <w:rsid w:val="36F6663C"/>
    <w:rsid w:val="36F8797A"/>
    <w:rsid w:val="36FB5BD7"/>
    <w:rsid w:val="3739139C"/>
    <w:rsid w:val="37400B0D"/>
    <w:rsid w:val="374721C9"/>
    <w:rsid w:val="376D5696"/>
    <w:rsid w:val="377D4B7F"/>
    <w:rsid w:val="37A9460F"/>
    <w:rsid w:val="37DF37A4"/>
    <w:rsid w:val="37F35283"/>
    <w:rsid w:val="380F20AB"/>
    <w:rsid w:val="381303E5"/>
    <w:rsid w:val="38372745"/>
    <w:rsid w:val="38393E83"/>
    <w:rsid w:val="387758ED"/>
    <w:rsid w:val="387939C8"/>
    <w:rsid w:val="388A771C"/>
    <w:rsid w:val="388E4A6D"/>
    <w:rsid w:val="38902E00"/>
    <w:rsid w:val="38A02D03"/>
    <w:rsid w:val="38A807CE"/>
    <w:rsid w:val="38BB3D7A"/>
    <w:rsid w:val="38CC3AF8"/>
    <w:rsid w:val="38D1678A"/>
    <w:rsid w:val="38EB4869"/>
    <w:rsid w:val="390560E6"/>
    <w:rsid w:val="393873DF"/>
    <w:rsid w:val="39392C0F"/>
    <w:rsid w:val="393A559A"/>
    <w:rsid w:val="394925BC"/>
    <w:rsid w:val="39494261"/>
    <w:rsid w:val="39700FE6"/>
    <w:rsid w:val="3A0B6DAD"/>
    <w:rsid w:val="3A121F53"/>
    <w:rsid w:val="3A4413AF"/>
    <w:rsid w:val="3A48749B"/>
    <w:rsid w:val="3A57481F"/>
    <w:rsid w:val="3A5820E6"/>
    <w:rsid w:val="3A746F8F"/>
    <w:rsid w:val="3A7F7882"/>
    <w:rsid w:val="3A88383C"/>
    <w:rsid w:val="3A930129"/>
    <w:rsid w:val="3AA32AA0"/>
    <w:rsid w:val="3B3B24A5"/>
    <w:rsid w:val="3B5D4B93"/>
    <w:rsid w:val="3B691AD2"/>
    <w:rsid w:val="3B7F41C3"/>
    <w:rsid w:val="3B887FEA"/>
    <w:rsid w:val="3B8E4187"/>
    <w:rsid w:val="3B964B03"/>
    <w:rsid w:val="3B9D3E94"/>
    <w:rsid w:val="3BE610FE"/>
    <w:rsid w:val="3BEA45A1"/>
    <w:rsid w:val="3BFD6AA2"/>
    <w:rsid w:val="3C177780"/>
    <w:rsid w:val="3C500B5A"/>
    <w:rsid w:val="3C574020"/>
    <w:rsid w:val="3C700C3E"/>
    <w:rsid w:val="3C9C6C02"/>
    <w:rsid w:val="3CAE41B3"/>
    <w:rsid w:val="3CBB3B2E"/>
    <w:rsid w:val="3CC054B6"/>
    <w:rsid w:val="3CD3200E"/>
    <w:rsid w:val="3CF96766"/>
    <w:rsid w:val="3CFC6A55"/>
    <w:rsid w:val="3D07310D"/>
    <w:rsid w:val="3D4223AD"/>
    <w:rsid w:val="3D672041"/>
    <w:rsid w:val="3D8347F4"/>
    <w:rsid w:val="3D9170BE"/>
    <w:rsid w:val="3DB06507"/>
    <w:rsid w:val="3DB99357"/>
    <w:rsid w:val="3DC840D8"/>
    <w:rsid w:val="3DCB7B9F"/>
    <w:rsid w:val="3DCD41ED"/>
    <w:rsid w:val="3DD347E3"/>
    <w:rsid w:val="3DD5344F"/>
    <w:rsid w:val="3DED635A"/>
    <w:rsid w:val="3DFF88D9"/>
    <w:rsid w:val="3E1B267F"/>
    <w:rsid w:val="3E341F24"/>
    <w:rsid w:val="3E46012D"/>
    <w:rsid w:val="3E5D0E9D"/>
    <w:rsid w:val="3E6714FC"/>
    <w:rsid w:val="3E6C6EAB"/>
    <w:rsid w:val="3E6DD31D"/>
    <w:rsid w:val="3E8533D8"/>
    <w:rsid w:val="3E860BED"/>
    <w:rsid w:val="3ED65F9E"/>
    <w:rsid w:val="3EDB73BB"/>
    <w:rsid w:val="3EDDEBA6"/>
    <w:rsid w:val="3F3754B7"/>
    <w:rsid w:val="3F3DAECF"/>
    <w:rsid w:val="3F5600B8"/>
    <w:rsid w:val="3FB07F0A"/>
    <w:rsid w:val="3FB93CC0"/>
    <w:rsid w:val="3FD01F04"/>
    <w:rsid w:val="3FD57736"/>
    <w:rsid w:val="3FD772DD"/>
    <w:rsid w:val="3FFF132C"/>
    <w:rsid w:val="40381640"/>
    <w:rsid w:val="403C2FC9"/>
    <w:rsid w:val="403F7FD1"/>
    <w:rsid w:val="40476670"/>
    <w:rsid w:val="405B1DFD"/>
    <w:rsid w:val="409D391C"/>
    <w:rsid w:val="409F0B47"/>
    <w:rsid w:val="409F7D44"/>
    <w:rsid w:val="40A20EFE"/>
    <w:rsid w:val="40B914A8"/>
    <w:rsid w:val="40C47EE8"/>
    <w:rsid w:val="40DC4AF4"/>
    <w:rsid w:val="40E51BFB"/>
    <w:rsid w:val="4114428E"/>
    <w:rsid w:val="411B561D"/>
    <w:rsid w:val="414D67D0"/>
    <w:rsid w:val="4153520E"/>
    <w:rsid w:val="418E3994"/>
    <w:rsid w:val="41935534"/>
    <w:rsid w:val="41AC44C7"/>
    <w:rsid w:val="41B45A71"/>
    <w:rsid w:val="41C42C3A"/>
    <w:rsid w:val="41CD246C"/>
    <w:rsid w:val="41EE0F58"/>
    <w:rsid w:val="41F8770C"/>
    <w:rsid w:val="42287CA9"/>
    <w:rsid w:val="423746D8"/>
    <w:rsid w:val="423A6674"/>
    <w:rsid w:val="424633EC"/>
    <w:rsid w:val="42584F0C"/>
    <w:rsid w:val="42674891"/>
    <w:rsid w:val="42967273"/>
    <w:rsid w:val="42ED3256"/>
    <w:rsid w:val="42EF2FFB"/>
    <w:rsid w:val="432554B9"/>
    <w:rsid w:val="433B45BA"/>
    <w:rsid w:val="43424558"/>
    <w:rsid w:val="43B87060"/>
    <w:rsid w:val="43BE622F"/>
    <w:rsid w:val="43CA1935"/>
    <w:rsid w:val="43CE3D23"/>
    <w:rsid w:val="43E22445"/>
    <w:rsid w:val="43E72782"/>
    <w:rsid w:val="444650E6"/>
    <w:rsid w:val="44957B12"/>
    <w:rsid w:val="449C4CC6"/>
    <w:rsid w:val="44B4487D"/>
    <w:rsid w:val="451D55F4"/>
    <w:rsid w:val="453F180C"/>
    <w:rsid w:val="4542321E"/>
    <w:rsid w:val="45482758"/>
    <w:rsid w:val="4548798E"/>
    <w:rsid w:val="45620133"/>
    <w:rsid w:val="45667082"/>
    <w:rsid w:val="457269B9"/>
    <w:rsid w:val="45845018"/>
    <w:rsid w:val="45850603"/>
    <w:rsid w:val="45A249F5"/>
    <w:rsid w:val="45AA0617"/>
    <w:rsid w:val="45CD5324"/>
    <w:rsid w:val="45D6033A"/>
    <w:rsid w:val="45EF121D"/>
    <w:rsid w:val="461A53EA"/>
    <w:rsid w:val="465B64BB"/>
    <w:rsid w:val="4692064E"/>
    <w:rsid w:val="46A84312"/>
    <w:rsid w:val="46AF075C"/>
    <w:rsid w:val="46BC0675"/>
    <w:rsid w:val="46D0064A"/>
    <w:rsid w:val="46D53F9C"/>
    <w:rsid w:val="46DD15C6"/>
    <w:rsid w:val="46E719AA"/>
    <w:rsid w:val="46FC6733"/>
    <w:rsid w:val="472307F4"/>
    <w:rsid w:val="474879F3"/>
    <w:rsid w:val="474B29D4"/>
    <w:rsid w:val="476C1DDD"/>
    <w:rsid w:val="476E0C2F"/>
    <w:rsid w:val="47825543"/>
    <w:rsid w:val="47C577F2"/>
    <w:rsid w:val="47DA7DD8"/>
    <w:rsid w:val="480E287E"/>
    <w:rsid w:val="48125CBD"/>
    <w:rsid w:val="4813493B"/>
    <w:rsid w:val="481672C9"/>
    <w:rsid w:val="4840749F"/>
    <w:rsid w:val="484F2050"/>
    <w:rsid w:val="484F3DFE"/>
    <w:rsid w:val="485816C0"/>
    <w:rsid w:val="48623B31"/>
    <w:rsid w:val="48925923"/>
    <w:rsid w:val="489A4C0C"/>
    <w:rsid w:val="48A21B6A"/>
    <w:rsid w:val="48C52312"/>
    <w:rsid w:val="48C66B22"/>
    <w:rsid w:val="48E94252"/>
    <w:rsid w:val="48F7300D"/>
    <w:rsid w:val="49137521"/>
    <w:rsid w:val="49507445"/>
    <w:rsid w:val="49A9147C"/>
    <w:rsid w:val="49AE2575"/>
    <w:rsid w:val="49C80153"/>
    <w:rsid w:val="49FD6207"/>
    <w:rsid w:val="4A001B11"/>
    <w:rsid w:val="4A0B1FA6"/>
    <w:rsid w:val="4A250237"/>
    <w:rsid w:val="4A5576F2"/>
    <w:rsid w:val="4A6859CC"/>
    <w:rsid w:val="4A6F415E"/>
    <w:rsid w:val="4A912A40"/>
    <w:rsid w:val="4AB80380"/>
    <w:rsid w:val="4ABB1CB6"/>
    <w:rsid w:val="4ABD17D6"/>
    <w:rsid w:val="4AC277CD"/>
    <w:rsid w:val="4AC51770"/>
    <w:rsid w:val="4AC74F56"/>
    <w:rsid w:val="4AC948A7"/>
    <w:rsid w:val="4AD45E42"/>
    <w:rsid w:val="4AD473ED"/>
    <w:rsid w:val="4ADB4452"/>
    <w:rsid w:val="4AF62A68"/>
    <w:rsid w:val="4AFE2EA3"/>
    <w:rsid w:val="4B066F33"/>
    <w:rsid w:val="4B0C3B2A"/>
    <w:rsid w:val="4B0F0E2B"/>
    <w:rsid w:val="4B185266"/>
    <w:rsid w:val="4B436A0B"/>
    <w:rsid w:val="4B4E9585"/>
    <w:rsid w:val="4B4F574D"/>
    <w:rsid w:val="4B57215C"/>
    <w:rsid w:val="4B7A02A7"/>
    <w:rsid w:val="4B8F50B8"/>
    <w:rsid w:val="4B9F566E"/>
    <w:rsid w:val="4BA223DA"/>
    <w:rsid w:val="4BA80DA3"/>
    <w:rsid w:val="4BC32B39"/>
    <w:rsid w:val="4BD55B17"/>
    <w:rsid w:val="4BE0710B"/>
    <w:rsid w:val="4BE40D01"/>
    <w:rsid w:val="4BF165EF"/>
    <w:rsid w:val="4BF771A4"/>
    <w:rsid w:val="4C6E7D48"/>
    <w:rsid w:val="4C89261F"/>
    <w:rsid w:val="4CD80866"/>
    <w:rsid w:val="4CF05BAA"/>
    <w:rsid w:val="4CFF4044"/>
    <w:rsid w:val="4D2465DC"/>
    <w:rsid w:val="4D2E0486"/>
    <w:rsid w:val="4D4872B8"/>
    <w:rsid w:val="4D760922"/>
    <w:rsid w:val="4D804545"/>
    <w:rsid w:val="4D8128A7"/>
    <w:rsid w:val="4DD231EA"/>
    <w:rsid w:val="4DEF4F00"/>
    <w:rsid w:val="4E2E0329"/>
    <w:rsid w:val="4EDF00FE"/>
    <w:rsid w:val="4EE53BFB"/>
    <w:rsid w:val="4EF54433"/>
    <w:rsid w:val="4EF83441"/>
    <w:rsid w:val="4F0B10BA"/>
    <w:rsid w:val="4F1F5F8F"/>
    <w:rsid w:val="4F26120E"/>
    <w:rsid w:val="4F2C729B"/>
    <w:rsid w:val="4F42646A"/>
    <w:rsid w:val="4F544C68"/>
    <w:rsid w:val="4F601AD1"/>
    <w:rsid w:val="4F6A4986"/>
    <w:rsid w:val="4F740CAC"/>
    <w:rsid w:val="4F7648C7"/>
    <w:rsid w:val="4F7978D6"/>
    <w:rsid w:val="4F815FE9"/>
    <w:rsid w:val="4FB4344F"/>
    <w:rsid w:val="4FD51B83"/>
    <w:rsid w:val="4FDA4BAF"/>
    <w:rsid w:val="50087F2A"/>
    <w:rsid w:val="501871CB"/>
    <w:rsid w:val="50213B5F"/>
    <w:rsid w:val="503B258B"/>
    <w:rsid w:val="50865DB4"/>
    <w:rsid w:val="50D5351B"/>
    <w:rsid w:val="50ED0658"/>
    <w:rsid w:val="51022355"/>
    <w:rsid w:val="511F280A"/>
    <w:rsid w:val="51343BB8"/>
    <w:rsid w:val="514242E3"/>
    <w:rsid w:val="515046A0"/>
    <w:rsid w:val="515E48D1"/>
    <w:rsid w:val="515F0EC4"/>
    <w:rsid w:val="517B4E91"/>
    <w:rsid w:val="51C551FE"/>
    <w:rsid w:val="52312AE5"/>
    <w:rsid w:val="52750532"/>
    <w:rsid w:val="52AA000A"/>
    <w:rsid w:val="52BE405A"/>
    <w:rsid w:val="52C8125D"/>
    <w:rsid w:val="531554D6"/>
    <w:rsid w:val="53242F2F"/>
    <w:rsid w:val="532D11DF"/>
    <w:rsid w:val="532F0606"/>
    <w:rsid w:val="53575126"/>
    <w:rsid w:val="53603363"/>
    <w:rsid w:val="536574A1"/>
    <w:rsid w:val="536C4A8A"/>
    <w:rsid w:val="538D778E"/>
    <w:rsid w:val="539349F0"/>
    <w:rsid w:val="539B439B"/>
    <w:rsid w:val="53B37000"/>
    <w:rsid w:val="53B86353"/>
    <w:rsid w:val="53BF4472"/>
    <w:rsid w:val="53C94F00"/>
    <w:rsid w:val="53DB2D1F"/>
    <w:rsid w:val="53E03C18"/>
    <w:rsid w:val="53E750B0"/>
    <w:rsid w:val="54363EAB"/>
    <w:rsid w:val="544337D2"/>
    <w:rsid w:val="544762D1"/>
    <w:rsid w:val="546D5D37"/>
    <w:rsid w:val="548D4512"/>
    <w:rsid w:val="55142068"/>
    <w:rsid w:val="552C6322"/>
    <w:rsid w:val="555920AA"/>
    <w:rsid w:val="55800A3E"/>
    <w:rsid w:val="55897DC8"/>
    <w:rsid w:val="55970A7A"/>
    <w:rsid w:val="559B4392"/>
    <w:rsid w:val="55B11733"/>
    <w:rsid w:val="55BF7337"/>
    <w:rsid w:val="55C23E61"/>
    <w:rsid w:val="55C82B5B"/>
    <w:rsid w:val="55DA2E0F"/>
    <w:rsid w:val="560B1CE9"/>
    <w:rsid w:val="56151261"/>
    <w:rsid w:val="56151F01"/>
    <w:rsid w:val="5633540E"/>
    <w:rsid w:val="56424FA2"/>
    <w:rsid w:val="56596BEE"/>
    <w:rsid w:val="565F7902"/>
    <w:rsid w:val="5682624E"/>
    <w:rsid w:val="568630E0"/>
    <w:rsid w:val="568A3EE1"/>
    <w:rsid w:val="56966EBC"/>
    <w:rsid w:val="56AA573B"/>
    <w:rsid w:val="56AA78C1"/>
    <w:rsid w:val="56B07C71"/>
    <w:rsid w:val="56F4413E"/>
    <w:rsid w:val="570A526A"/>
    <w:rsid w:val="571A1A7B"/>
    <w:rsid w:val="573A3ECB"/>
    <w:rsid w:val="57483ABD"/>
    <w:rsid w:val="57584816"/>
    <w:rsid w:val="576D0B28"/>
    <w:rsid w:val="57AE6B91"/>
    <w:rsid w:val="57E5335E"/>
    <w:rsid w:val="57E53AFB"/>
    <w:rsid w:val="581C4814"/>
    <w:rsid w:val="58301B41"/>
    <w:rsid w:val="583C0B8D"/>
    <w:rsid w:val="584966A3"/>
    <w:rsid w:val="58781AD7"/>
    <w:rsid w:val="587A07F0"/>
    <w:rsid w:val="588C2399"/>
    <w:rsid w:val="58935F89"/>
    <w:rsid w:val="58944849"/>
    <w:rsid w:val="58D17192"/>
    <w:rsid w:val="590429E2"/>
    <w:rsid w:val="59237BE5"/>
    <w:rsid w:val="593257A1"/>
    <w:rsid w:val="594C5522"/>
    <w:rsid w:val="594E4C34"/>
    <w:rsid w:val="597055F0"/>
    <w:rsid w:val="59806267"/>
    <w:rsid w:val="5991748B"/>
    <w:rsid w:val="59967ADE"/>
    <w:rsid w:val="59A13DC4"/>
    <w:rsid w:val="59CC09DF"/>
    <w:rsid w:val="59D8505B"/>
    <w:rsid w:val="59E55277"/>
    <w:rsid w:val="5A46503A"/>
    <w:rsid w:val="5A5D2762"/>
    <w:rsid w:val="5A6C2882"/>
    <w:rsid w:val="5A8E3E36"/>
    <w:rsid w:val="5ABA6DE3"/>
    <w:rsid w:val="5AE9391C"/>
    <w:rsid w:val="5B042454"/>
    <w:rsid w:val="5B2827D1"/>
    <w:rsid w:val="5B560498"/>
    <w:rsid w:val="5BD112A2"/>
    <w:rsid w:val="5BFE4C3A"/>
    <w:rsid w:val="5C35003B"/>
    <w:rsid w:val="5C5B3B46"/>
    <w:rsid w:val="5C5D63B6"/>
    <w:rsid w:val="5C602395"/>
    <w:rsid w:val="5C6077E9"/>
    <w:rsid w:val="5CB53DD7"/>
    <w:rsid w:val="5CC36F85"/>
    <w:rsid w:val="5CD54DC2"/>
    <w:rsid w:val="5D323FC2"/>
    <w:rsid w:val="5D5D144B"/>
    <w:rsid w:val="5D601299"/>
    <w:rsid w:val="5D737A5F"/>
    <w:rsid w:val="5DA705CF"/>
    <w:rsid w:val="5DA768D4"/>
    <w:rsid w:val="5DBE6F4B"/>
    <w:rsid w:val="5DC65CED"/>
    <w:rsid w:val="5DE45DB0"/>
    <w:rsid w:val="5DEEA255"/>
    <w:rsid w:val="5E221DD5"/>
    <w:rsid w:val="5E2BF331"/>
    <w:rsid w:val="5E363374"/>
    <w:rsid w:val="5E677C9B"/>
    <w:rsid w:val="5E6D4FB1"/>
    <w:rsid w:val="5E6E3037"/>
    <w:rsid w:val="5EA902B4"/>
    <w:rsid w:val="5EB66A16"/>
    <w:rsid w:val="5EBC6258"/>
    <w:rsid w:val="5EE5708A"/>
    <w:rsid w:val="5EF01166"/>
    <w:rsid w:val="5EFB53BE"/>
    <w:rsid w:val="5F0F67CA"/>
    <w:rsid w:val="5F3136BA"/>
    <w:rsid w:val="5F340612"/>
    <w:rsid w:val="5F5A2E0E"/>
    <w:rsid w:val="5F7077C2"/>
    <w:rsid w:val="5F72003E"/>
    <w:rsid w:val="5F887EC9"/>
    <w:rsid w:val="5F9061AD"/>
    <w:rsid w:val="5FBE42CB"/>
    <w:rsid w:val="5FEB0458"/>
    <w:rsid w:val="5FEB1BA3"/>
    <w:rsid w:val="5FFA2BA8"/>
    <w:rsid w:val="60065E0F"/>
    <w:rsid w:val="609B32A8"/>
    <w:rsid w:val="60A24FBB"/>
    <w:rsid w:val="60B46A9C"/>
    <w:rsid w:val="60B53531"/>
    <w:rsid w:val="60F875EA"/>
    <w:rsid w:val="6166248C"/>
    <w:rsid w:val="61693D2A"/>
    <w:rsid w:val="61727C3A"/>
    <w:rsid w:val="618C4BB6"/>
    <w:rsid w:val="619921F5"/>
    <w:rsid w:val="61D9000B"/>
    <w:rsid w:val="61ED009B"/>
    <w:rsid w:val="61FD5DEE"/>
    <w:rsid w:val="62424FD1"/>
    <w:rsid w:val="624B188D"/>
    <w:rsid w:val="624B75E6"/>
    <w:rsid w:val="62784B89"/>
    <w:rsid w:val="62B148AF"/>
    <w:rsid w:val="62C3746A"/>
    <w:rsid w:val="62E706F2"/>
    <w:rsid w:val="62F023F1"/>
    <w:rsid w:val="630567BB"/>
    <w:rsid w:val="630622FD"/>
    <w:rsid w:val="63155F18"/>
    <w:rsid w:val="631C2CEF"/>
    <w:rsid w:val="635A1E99"/>
    <w:rsid w:val="63A40E94"/>
    <w:rsid w:val="63BD5799"/>
    <w:rsid w:val="63BFED3E"/>
    <w:rsid w:val="63C455F9"/>
    <w:rsid w:val="63D3192F"/>
    <w:rsid w:val="63DD23E0"/>
    <w:rsid w:val="63FF73F0"/>
    <w:rsid w:val="64063AB3"/>
    <w:rsid w:val="6419363A"/>
    <w:rsid w:val="6429427D"/>
    <w:rsid w:val="64406FC4"/>
    <w:rsid w:val="64520C49"/>
    <w:rsid w:val="647575DF"/>
    <w:rsid w:val="64A433B8"/>
    <w:rsid w:val="64C57E34"/>
    <w:rsid w:val="64C900EC"/>
    <w:rsid w:val="64CE09BD"/>
    <w:rsid w:val="64E37E45"/>
    <w:rsid w:val="64EB57C1"/>
    <w:rsid w:val="64F03F1C"/>
    <w:rsid w:val="65085608"/>
    <w:rsid w:val="65130235"/>
    <w:rsid w:val="65426D6C"/>
    <w:rsid w:val="656E033F"/>
    <w:rsid w:val="65786B21"/>
    <w:rsid w:val="657C227E"/>
    <w:rsid w:val="65905D2A"/>
    <w:rsid w:val="659550EE"/>
    <w:rsid w:val="65A6011A"/>
    <w:rsid w:val="65A71921"/>
    <w:rsid w:val="65B07B14"/>
    <w:rsid w:val="65BA4B55"/>
    <w:rsid w:val="65F04A1A"/>
    <w:rsid w:val="65F55B30"/>
    <w:rsid w:val="660539AC"/>
    <w:rsid w:val="66065FEC"/>
    <w:rsid w:val="661029C7"/>
    <w:rsid w:val="662A7F2C"/>
    <w:rsid w:val="66640F85"/>
    <w:rsid w:val="66787731"/>
    <w:rsid w:val="66981E16"/>
    <w:rsid w:val="66B16911"/>
    <w:rsid w:val="66C607F3"/>
    <w:rsid w:val="66D24120"/>
    <w:rsid w:val="66F72C0F"/>
    <w:rsid w:val="672D1356"/>
    <w:rsid w:val="6759400B"/>
    <w:rsid w:val="678F5A5E"/>
    <w:rsid w:val="67B94715"/>
    <w:rsid w:val="67BA7FBE"/>
    <w:rsid w:val="67CD70FF"/>
    <w:rsid w:val="67D06CA0"/>
    <w:rsid w:val="67FFC19C"/>
    <w:rsid w:val="681851DA"/>
    <w:rsid w:val="6848469A"/>
    <w:rsid w:val="68555008"/>
    <w:rsid w:val="686E1B85"/>
    <w:rsid w:val="68BC0BE4"/>
    <w:rsid w:val="68E871AA"/>
    <w:rsid w:val="692844CB"/>
    <w:rsid w:val="693C4BF0"/>
    <w:rsid w:val="695A702C"/>
    <w:rsid w:val="69847DDF"/>
    <w:rsid w:val="699778EA"/>
    <w:rsid w:val="69A65FD4"/>
    <w:rsid w:val="69B82DF4"/>
    <w:rsid w:val="69BB70A1"/>
    <w:rsid w:val="69C55155"/>
    <w:rsid w:val="69C97F64"/>
    <w:rsid w:val="69DA57C5"/>
    <w:rsid w:val="69E563B1"/>
    <w:rsid w:val="69FA3ABF"/>
    <w:rsid w:val="6A105D98"/>
    <w:rsid w:val="6A1614AE"/>
    <w:rsid w:val="6A204DBF"/>
    <w:rsid w:val="6A270980"/>
    <w:rsid w:val="6A4733BB"/>
    <w:rsid w:val="6A53595B"/>
    <w:rsid w:val="6A722F26"/>
    <w:rsid w:val="6A791BD4"/>
    <w:rsid w:val="6A8353C1"/>
    <w:rsid w:val="6A8B4D12"/>
    <w:rsid w:val="6A8E0AB1"/>
    <w:rsid w:val="6AA7701A"/>
    <w:rsid w:val="6ABE0BDB"/>
    <w:rsid w:val="6AC63F9C"/>
    <w:rsid w:val="6ADC3314"/>
    <w:rsid w:val="6AE12B83"/>
    <w:rsid w:val="6B272C8C"/>
    <w:rsid w:val="6B2C6F32"/>
    <w:rsid w:val="6B466851"/>
    <w:rsid w:val="6B4B70B7"/>
    <w:rsid w:val="6B9D3D98"/>
    <w:rsid w:val="6BB535D3"/>
    <w:rsid w:val="6BBD18FB"/>
    <w:rsid w:val="6BCA4800"/>
    <w:rsid w:val="6BCD6FF8"/>
    <w:rsid w:val="6BE87462"/>
    <w:rsid w:val="6C005CE7"/>
    <w:rsid w:val="6C06571A"/>
    <w:rsid w:val="6C1442C8"/>
    <w:rsid w:val="6C1B20D8"/>
    <w:rsid w:val="6C4E6E90"/>
    <w:rsid w:val="6C5C7932"/>
    <w:rsid w:val="6C7F16C7"/>
    <w:rsid w:val="6C893880"/>
    <w:rsid w:val="6C9B698B"/>
    <w:rsid w:val="6CAF38B6"/>
    <w:rsid w:val="6CBA7124"/>
    <w:rsid w:val="6D216A4E"/>
    <w:rsid w:val="6D2739D2"/>
    <w:rsid w:val="6D3179D4"/>
    <w:rsid w:val="6D392803"/>
    <w:rsid w:val="6D5C531B"/>
    <w:rsid w:val="6D641E4C"/>
    <w:rsid w:val="6D78499E"/>
    <w:rsid w:val="6D836E95"/>
    <w:rsid w:val="6D8766AE"/>
    <w:rsid w:val="6D893CB3"/>
    <w:rsid w:val="6D997745"/>
    <w:rsid w:val="6DB24634"/>
    <w:rsid w:val="6E1B015A"/>
    <w:rsid w:val="6E4C770B"/>
    <w:rsid w:val="6E5C7F04"/>
    <w:rsid w:val="6EB84995"/>
    <w:rsid w:val="6EC000C9"/>
    <w:rsid w:val="6EDF9BB3"/>
    <w:rsid w:val="6EFE45C9"/>
    <w:rsid w:val="6F076F23"/>
    <w:rsid w:val="6F0C6523"/>
    <w:rsid w:val="6F15337F"/>
    <w:rsid w:val="6F4E28DB"/>
    <w:rsid w:val="6F5E369C"/>
    <w:rsid w:val="6F7B0C62"/>
    <w:rsid w:val="6F7E7D36"/>
    <w:rsid w:val="6F7F90C0"/>
    <w:rsid w:val="6F926B42"/>
    <w:rsid w:val="6FD157E2"/>
    <w:rsid w:val="6FD430CB"/>
    <w:rsid w:val="6FD61C8C"/>
    <w:rsid w:val="6FE07923"/>
    <w:rsid w:val="6FFC58A5"/>
    <w:rsid w:val="6FFE44FF"/>
    <w:rsid w:val="6FFE9CC9"/>
    <w:rsid w:val="70216174"/>
    <w:rsid w:val="70573B13"/>
    <w:rsid w:val="706209E2"/>
    <w:rsid w:val="706B7C59"/>
    <w:rsid w:val="70A42689"/>
    <w:rsid w:val="70AD4475"/>
    <w:rsid w:val="70EB1300"/>
    <w:rsid w:val="711723F4"/>
    <w:rsid w:val="711F107F"/>
    <w:rsid w:val="714479C8"/>
    <w:rsid w:val="715D46EB"/>
    <w:rsid w:val="71960823"/>
    <w:rsid w:val="71B44B4E"/>
    <w:rsid w:val="71C13E4C"/>
    <w:rsid w:val="71D945B4"/>
    <w:rsid w:val="71E30361"/>
    <w:rsid w:val="71FA5AA8"/>
    <w:rsid w:val="71FC773A"/>
    <w:rsid w:val="7238501D"/>
    <w:rsid w:val="7243638A"/>
    <w:rsid w:val="727A676B"/>
    <w:rsid w:val="728D4703"/>
    <w:rsid w:val="72A17C99"/>
    <w:rsid w:val="72C81C0D"/>
    <w:rsid w:val="72DE65CF"/>
    <w:rsid w:val="72F721AA"/>
    <w:rsid w:val="7304677F"/>
    <w:rsid w:val="73165394"/>
    <w:rsid w:val="731A2A07"/>
    <w:rsid w:val="7333597E"/>
    <w:rsid w:val="735013B2"/>
    <w:rsid w:val="73567A6E"/>
    <w:rsid w:val="7367032E"/>
    <w:rsid w:val="736FB59F"/>
    <w:rsid w:val="73750B81"/>
    <w:rsid w:val="73820C2B"/>
    <w:rsid w:val="73A23B01"/>
    <w:rsid w:val="73C90B38"/>
    <w:rsid w:val="73CD0149"/>
    <w:rsid w:val="73CE2E42"/>
    <w:rsid w:val="73EA4D92"/>
    <w:rsid w:val="73FE4F2A"/>
    <w:rsid w:val="74024296"/>
    <w:rsid w:val="74057648"/>
    <w:rsid w:val="74174EE1"/>
    <w:rsid w:val="744278D9"/>
    <w:rsid w:val="74591FEB"/>
    <w:rsid w:val="745E6304"/>
    <w:rsid w:val="74604001"/>
    <w:rsid w:val="746D4619"/>
    <w:rsid w:val="74A77A24"/>
    <w:rsid w:val="74B7386D"/>
    <w:rsid w:val="75042155"/>
    <w:rsid w:val="7505293C"/>
    <w:rsid w:val="752C1004"/>
    <w:rsid w:val="754577D4"/>
    <w:rsid w:val="756D26A7"/>
    <w:rsid w:val="759A405B"/>
    <w:rsid w:val="759C014B"/>
    <w:rsid w:val="759D1561"/>
    <w:rsid w:val="759D26FD"/>
    <w:rsid w:val="75A86778"/>
    <w:rsid w:val="75AE56CA"/>
    <w:rsid w:val="75BFD472"/>
    <w:rsid w:val="75C52B44"/>
    <w:rsid w:val="7614205F"/>
    <w:rsid w:val="763F191E"/>
    <w:rsid w:val="764C7A4B"/>
    <w:rsid w:val="769A71E9"/>
    <w:rsid w:val="76B8042F"/>
    <w:rsid w:val="76BE1FCB"/>
    <w:rsid w:val="76E54D52"/>
    <w:rsid w:val="76FA416F"/>
    <w:rsid w:val="76FD98C3"/>
    <w:rsid w:val="771E09AE"/>
    <w:rsid w:val="77375BFC"/>
    <w:rsid w:val="774F0E20"/>
    <w:rsid w:val="77530922"/>
    <w:rsid w:val="77606172"/>
    <w:rsid w:val="776B44D0"/>
    <w:rsid w:val="777117DC"/>
    <w:rsid w:val="777971DA"/>
    <w:rsid w:val="777DC1BC"/>
    <w:rsid w:val="777FCFA4"/>
    <w:rsid w:val="77DF3D95"/>
    <w:rsid w:val="77E844CE"/>
    <w:rsid w:val="77F455A9"/>
    <w:rsid w:val="782D326F"/>
    <w:rsid w:val="782E1F3B"/>
    <w:rsid w:val="78422C86"/>
    <w:rsid w:val="78731750"/>
    <w:rsid w:val="7875446D"/>
    <w:rsid w:val="78CA7072"/>
    <w:rsid w:val="78DD2BDC"/>
    <w:rsid w:val="78F021F0"/>
    <w:rsid w:val="791E4ED2"/>
    <w:rsid w:val="792F71B0"/>
    <w:rsid w:val="794E3ADA"/>
    <w:rsid w:val="795073E0"/>
    <w:rsid w:val="797B5781"/>
    <w:rsid w:val="79CE55C0"/>
    <w:rsid w:val="79D7762B"/>
    <w:rsid w:val="79F47A30"/>
    <w:rsid w:val="79F9B5AD"/>
    <w:rsid w:val="7A0F57DB"/>
    <w:rsid w:val="7A94376E"/>
    <w:rsid w:val="7ABC688D"/>
    <w:rsid w:val="7AC322A6"/>
    <w:rsid w:val="7ACA2089"/>
    <w:rsid w:val="7AD97CFC"/>
    <w:rsid w:val="7ADD49ED"/>
    <w:rsid w:val="7AE95FD6"/>
    <w:rsid w:val="7B783090"/>
    <w:rsid w:val="7B7F1B5A"/>
    <w:rsid w:val="7B9B1ED2"/>
    <w:rsid w:val="7BB10004"/>
    <w:rsid w:val="7BD209F2"/>
    <w:rsid w:val="7BEB5B3A"/>
    <w:rsid w:val="7BEDC0A4"/>
    <w:rsid w:val="7C062723"/>
    <w:rsid w:val="7C1F3828"/>
    <w:rsid w:val="7C35622C"/>
    <w:rsid w:val="7C3A5E88"/>
    <w:rsid w:val="7C455A16"/>
    <w:rsid w:val="7C457B7C"/>
    <w:rsid w:val="7C765833"/>
    <w:rsid w:val="7C7A50AC"/>
    <w:rsid w:val="7C8E608F"/>
    <w:rsid w:val="7CA55A57"/>
    <w:rsid w:val="7CA91CA5"/>
    <w:rsid w:val="7CAC1243"/>
    <w:rsid w:val="7CAD744B"/>
    <w:rsid w:val="7CBC7408"/>
    <w:rsid w:val="7CE47EF6"/>
    <w:rsid w:val="7CEC7892"/>
    <w:rsid w:val="7CFC2CB7"/>
    <w:rsid w:val="7D1670F6"/>
    <w:rsid w:val="7D3F5670"/>
    <w:rsid w:val="7D441FCB"/>
    <w:rsid w:val="7D9F2B56"/>
    <w:rsid w:val="7D9F4F59"/>
    <w:rsid w:val="7DA42A95"/>
    <w:rsid w:val="7DA619A7"/>
    <w:rsid w:val="7DFF74BF"/>
    <w:rsid w:val="7E00242E"/>
    <w:rsid w:val="7E0A558D"/>
    <w:rsid w:val="7E0B01EB"/>
    <w:rsid w:val="7E1A0838"/>
    <w:rsid w:val="7E1C5F55"/>
    <w:rsid w:val="7E3F1E63"/>
    <w:rsid w:val="7E5A37C3"/>
    <w:rsid w:val="7E5E614D"/>
    <w:rsid w:val="7E674B22"/>
    <w:rsid w:val="7E6E2528"/>
    <w:rsid w:val="7E8E2BE6"/>
    <w:rsid w:val="7E9528BE"/>
    <w:rsid w:val="7EB61FC3"/>
    <w:rsid w:val="7EC210C0"/>
    <w:rsid w:val="7EC65EC0"/>
    <w:rsid w:val="7EE65C2A"/>
    <w:rsid w:val="7EEF8811"/>
    <w:rsid w:val="7EF7512E"/>
    <w:rsid w:val="7EFF1385"/>
    <w:rsid w:val="7F0834F6"/>
    <w:rsid w:val="7F175946"/>
    <w:rsid w:val="7F1F13ED"/>
    <w:rsid w:val="7F450B7D"/>
    <w:rsid w:val="7F6A28B4"/>
    <w:rsid w:val="7F6E0F00"/>
    <w:rsid w:val="7F712B93"/>
    <w:rsid w:val="7F7F2A5B"/>
    <w:rsid w:val="7F84143B"/>
    <w:rsid w:val="7F951DA9"/>
    <w:rsid w:val="7F9E7405"/>
    <w:rsid w:val="7FBB179D"/>
    <w:rsid w:val="7FBD7923"/>
    <w:rsid w:val="7FBE1C0F"/>
    <w:rsid w:val="7FCF2242"/>
    <w:rsid w:val="7FD7437E"/>
    <w:rsid w:val="7FF1A93E"/>
    <w:rsid w:val="7FF64055"/>
    <w:rsid w:val="7FFEE4EB"/>
    <w:rsid w:val="82BF19FE"/>
    <w:rsid w:val="887FA214"/>
    <w:rsid w:val="937935D8"/>
    <w:rsid w:val="97FB4ADA"/>
    <w:rsid w:val="9B791A3A"/>
    <w:rsid w:val="9F7E02B2"/>
    <w:rsid w:val="ABDF2CEF"/>
    <w:rsid w:val="AFFFB3A9"/>
    <w:rsid w:val="B3F36017"/>
    <w:rsid w:val="B65A8DF9"/>
    <w:rsid w:val="B96BFC7A"/>
    <w:rsid w:val="BAFF271C"/>
    <w:rsid w:val="BBDC5ED4"/>
    <w:rsid w:val="BD3FFD1B"/>
    <w:rsid w:val="BED38751"/>
    <w:rsid w:val="BF5D01B7"/>
    <w:rsid w:val="BFD600BA"/>
    <w:rsid w:val="BFEF5BE9"/>
    <w:rsid w:val="CFDAC1DC"/>
    <w:rsid w:val="CFF7045C"/>
    <w:rsid w:val="D0FE6C1C"/>
    <w:rsid w:val="D59FB6A5"/>
    <w:rsid w:val="DAE11D74"/>
    <w:rsid w:val="DBCE6B2D"/>
    <w:rsid w:val="DBEF3F8B"/>
    <w:rsid w:val="DEDB5E7A"/>
    <w:rsid w:val="DF564ECD"/>
    <w:rsid w:val="DF9C4047"/>
    <w:rsid w:val="DFD1803D"/>
    <w:rsid w:val="DFDF1218"/>
    <w:rsid w:val="DFF7973E"/>
    <w:rsid w:val="E47AECC7"/>
    <w:rsid w:val="E4FAB5D6"/>
    <w:rsid w:val="EEED2CCC"/>
    <w:rsid w:val="EF7CFE77"/>
    <w:rsid w:val="EFBB95EF"/>
    <w:rsid w:val="EFFB3EDC"/>
    <w:rsid w:val="F6F7CED1"/>
    <w:rsid w:val="F6FF58CC"/>
    <w:rsid w:val="F73FA717"/>
    <w:rsid w:val="F792038B"/>
    <w:rsid w:val="F7BF290D"/>
    <w:rsid w:val="F7CB49E8"/>
    <w:rsid w:val="F7FBD415"/>
    <w:rsid w:val="F877CEBF"/>
    <w:rsid w:val="F8F3A5B2"/>
    <w:rsid w:val="FABE7ECD"/>
    <w:rsid w:val="FBFEBF55"/>
    <w:rsid w:val="FC7E9F82"/>
    <w:rsid w:val="FCFF05D6"/>
    <w:rsid w:val="FEB7DAEF"/>
    <w:rsid w:val="FEFA2FD3"/>
    <w:rsid w:val="FF7FE4E4"/>
    <w:rsid w:val="FFA75D0F"/>
    <w:rsid w:val="FFAD7626"/>
    <w:rsid w:val="FFB5883E"/>
    <w:rsid w:val="FFDDE7F7"/>
    <w:rsid w:val="FFF5EFE7"/>
    <w:rsid w:val="FFF78687"/>
    <w:rsid w:val="FFFE1834"/>
    <w:rsid w:val="FFFFDE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2">
    <w:name w:val="heading 1"/>
    <w:basedOn w:val="3"/>
    <w:next w:val="1"/>
    <w:qFormat/>
    <w:uiPriority w:val="9"/>
    <w:pPr>
      <w:keepNext/>
      <w:keepLines/>
      <w:spacing w:before="50" w:beforeLines="50" w:after="50" w:afterLines="50" w:line="360" w:lineRule="auto"/>
      <w:jc w:val="center"/>
      <w:outlineLvl w:val="0"/>
    </w:pPr>
    <w:rPr>
      <w:rFonts w:eastAsia="黑体"/>
      <w:bCs/>
      <w:kern w:val="44"/>
      <w:szCs w:val="44"/>
    </w:rPr>
  </w:style>
  <w:style w:type="paragraph" w:styleId="4">
    <w:name w:val="heading 2"/>
    <w:basedOn w:val="1"/>
    <w:next w:val="1"/>
    <w:link w:val="27"/>
    <w:semiHidden/>
    <w:unhideWhenUsed/>
    <w:qFormat/>
    <w:uiPriority w:val="9"/>
    <w:pPr>
      <w:keepNext/>
      <w:keepLines/>
      <w:spacing w:before="260" w:beforeLines="0" w:beforeAutospacing="0" w:after="260" w:afterLines="0" w:afterAutospacing="0" w:line="413" w:lineRule="auto"/>
      <w:outlineLvl w:val="1"/>
    </w:pPr>
    <w:rPr>
      <w:rFonts w:ascii="Arial" w:hAnsi="Arial" w:eastAsia="仿宋"/>
      <w:b/>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keepNext w:val="0"/>
      <w:keepLines w:val="0"/>
      <w:widowControl w:val="0"/>
      <w:suppressLineNumbers w:val="0"/>
      <w:spacing w:before="120" w:beforeLines="0" w:beforeAutospacing="0" w:line="240" w:lineRule="atLeast"/>
      <w:jc w:val="both"/>
    </w:pPr>
    <w:rPr>
      <w:rFonts w:hint="default" w:ascii="Arial" w:hAnsi="Arial" w:eastAsia="仿宋_GB2312" w:cs="Times New Roman"/>
      <w:spacing w:val="-6"/>
      <w:kern w:val="2"/>
      <w:sz w:val="24"/>
      <w:szCs w:val="24"/>
      <w:lang w:val="en-US" w:eastAsia="zh-CN" w:bidi="ar"/>
    </w:rPr>
  </w:style>
  <w:style w:type="paragraph" w:styleId="5">
    <w:name w:val="annotation text"/>
    <w:basedOn w:val="1"/>
    <w:link w:val="22"/>
    <w:qFormat/>
    <w:uiPriority w:val="0"/>
    <w:pPr>
      <w:jc w:val="left"/>
    </w:pPr>
  </w:style>
  <w:style w:type="paragraph" w:styleId="6">
    <w:name w:val="Body Text Indent 2"/>
    <w:basedOn w:val="1"/>
    <w:next w:val="1"/>
    <w:qFormat/>
    <w:uiPriority w:val="0"/>
    <w:pPr>
      <w:spacing w:after="120" w:line="480" w:lineRule="auto"/>
      <w:ind w:left="200" w:leftChars="200"/>
    </w:pPr>
    <w:rPr>
      <w:rFonts w:eastAsia="宋体"/>
      <w:sz w:val="21"/>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pPr>
      <w:spacing w:line="660" w:lineRule="exact"/>
      <w:ind w:firstLine="200" w:firstLineChars="200"/>
    </w:pPr>
  </w:style>
  <w:style w:type="paragraph" w:styleId="10">
    <w:name w:val="toc 2"/>
    <w:basedOn w:val="1"/>
    <w:next w:val="1"/>
    <w:qFormat/>
    <w:uiPriority w:val="0"/>
    <w:pPr>
      <w:ind w:left="420" w:leftChars="200"/>
    </w:p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23"/>
    <w:qFormat/>
    <w:uiPriority w:val="0"/>
    <w:rPr>
      <w:b/>
      <w:bCs/>
    </w:rPr>
  </w:style>
  <w:style w:type="character" w:styleId="16">
    <w:name w:val="Strong"/>
    <w:basedOn w:val="15"/>
    <w:qFormat/>
    <w:uiPriority w:val="22"/>
    <w:rPr>
      <w:b/>
      <w:bCs/>
    </w:rPr>
  </w:style>
  <w:style w:type="character" w:styleId="17">
    <w:name w:val="Emphasis"/>
    <w:basedOn w:val="15"/>
    <w:qFormat/>
    <w:uiPriority w:val="0"/>
    <w:rPr>
      <w:i/>
    </w:rPr>
  </w:style>
  <w:style w:type="character" w:styleId="18">
    <w:name w:val="Hyperlink"/>
    <w:basedOn w:val="15"/>
    <w:unhideWhenUsed/>
    <w:qFormat/>
    <w:uiPriority w:val="99"/>
    <w:rPr>
      <w:color w:val="0026E5" w:themeColor="hyperlink"/>
      <w:u w:val="single"/>
      <w14:textFill>
        <w14:solidFill>
          <w14:schemeClr w14:val="hlink"/>
        </w14:solidFill>
      </w14:textFill>
    </w:rPr>
  </w:style>
  <w:style w:type="character" w:styleId="19">
    <w:name w:val="annotation reference"/>
    <w:basedOn w:val="15"/>
    <w:qFormat/>
    <w:uiPriority w:val="0"/>
    <w:rPr>
      <w:sz w:val="21"/>
      <w:szCs w:val="21"/>
    </w:rPr>
  </w:style>
  <w:style w:type="paragraph" w:customStyle="1" w:styleId="20">
    <w:name w:val="TOC 标题1"/>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Cs w:val="0"/>
      <w:color w:val="2E54A1" w:themeColor="accent1" w:themeShade="BF"/>
      <w:kern w:val="0"/>
      <w:szCs w:val="32"/>
    </w:rPr>
  </w:style>
  <w:style w:type="paragraph" w:customStyle="1" w:styleId="2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2">
    <w:name w:val="批注文字 字符"/>
    <w:basedOn w:val="15"/>
    <w:link w:val="5"/>
    <w:qFormat/>
    <w:uiPriority w:val="0"/>
    <w:rPr>
      <w:kern w:val="2"/>
      <w:sz w:val="21"/>
      <w:szCs w:val="22"/>
    </w:rPr>
  </w:style>
  <w:style w:type="character" w:customStyle="1" w:styleId="23">
    <w:name w:val="批注主题 字符"/>
    <w:basedOn w:val="22"/>
    <w:link w:val="13"/>
    <w:qFormat/>
    <w:uiPriority w:val="0"/>
    <w:rPr>
      <w:b/>
      <w:bCs/>
      <w:kern w:val="2"/>
      <w:sz w:val="21"/>
      <w:szCs w:val="22"/>
    </w:rPr>
  </w:style>
  <w:style w:type="paragraph" w:customStyle="1" w:styleId="24">
    <w:name w:val="Revision"/>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25">
    <w:name w:val="普通(网站)1"/>
    <w:basedOn w:val="1"/>
    <w:qFormat/>
    <w:uiPriority w:val="0"/>
    <w:pPr>
      <w:spacing w:before="100" w:beforeAutospacing="1" w:after="100" w:afterAutospacing="1" w:line="240" w:lineRule="auto"/>
      <w:ind w:firstLine="200" w:firstLineChars="200"/>
    </w:pPr>
    <w:rPr>
      <w:rFonts w:ascii="宋体" w:hAnsi="宋体" w:eastAsia="宋体" w:cs="宋体"/>
      <w:color w:val="auto"/>
      <w:kern w:val="0"/>
      <w:sz w:val="24"/>
      <w:szCs w:val="24"/>
    </w:rPr>
  </w:style>
  <w:style w:type="paragraph" w:styleId="26">
    <w:name w:val="List Paragraph"/>
    <w:basedOn w:val="1"/>
    <w:qFormat/>
    <w:uiPriority w:val="34"/>
    <w:pPr>
      <w:spacing w:after="160" w:line="278" w:lineRule="auto"/>
      <w:ind w:firstLine="420" w:firstLineChars="200"/>
    </w:pPr>
    <w:rPr>
      <w:rFonts w:ascii="等线" w:hAnsi="等线" w:eastAsia="等线" w:cs="宋体"/>
      <w:sz w:val="21"/>
      <w:szCs w:val="22"/>
      <w14:ligatures w14:val="standardContextual"/>
    </w:rPr>
  </w:style>
  <w:style w:type="character" w:customStyle="1" w:styleId="27">
    <w:name w:val="标题 2 Char"/>
    <w:link w:val="4"/>
    <w:qFormat/>
    <w:uiPriority w:val="0"/>
    <w:rPr>
      <w:rFonts w:ascii="Arial" w:hAnsi="Arial" w:eastAsia="仿宋"/>
      <w:b/>
      <w:sz w:val="32"/>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8788</Words>
  <Characters>8803</Characters>
  <Lines>71</Lines>
  <Paragraphs>20</Paragraphs>
  <TotalTime>0</TotalTime>
  <ScaleCrop>false</ScaleCrop>
  <LinksUpToDate>false</LinksUpToDate>
  <CharactersWithSpaces>8981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2024-09-06T08:57:00Z</dcterms:created>
  <dc:creator>夜倒喝频丈</dc:creator>
  <cp:lastModifiedBy>高丽英</cp:lastModifiedBy>
  <cp:lastPrinted>2025-12-05T10:14:00Z</cp:lastPrinted>
  <dcterms:modified xsi:type="dcterms:W3CDTF">2025-12-05T16:17:25Z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B987ED4A860B1DCDA5FE276987F9682F_43</vt:lpwstr>
  </property>
  <property fmtid="{D5CDD505-2E9C-101B-9397-08002B2CF9AE}" pid="4" name="KSOTemplateDocerSaveRecord">
    <vt:lpwstr>eyJoZGlkIjoiOTMwNDc2ZDBlMzA2MGExN2IzNzI5NGM5ZDhlYmI3NWMiLCJ1c2VySWQiOiIxMzE4NTY2NzE3In0=</vt:lpwstr>
  </property>
</Properties>
</file>