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E4E2DB">
      <w:pPr>
        <w:keepNext w:val="0"/>
        <w:keepLines w:val="0"/>
        <w:pageBreakBefore w:val="0"/>
        <w:widowControl w:val="0"/>
        <w:kinsoku/>
        <w:wordWrap w:val="0"/>
        <w:overflowPunct/>
        <w:topLinePunct w:val="0"/>
        <w:autoSpaceDE/>
        <w:autoSpaceDN/>
        <w:bidi w:val="0"/>
        <w:adjustRightInd/>
        <w:snapToGrid/>
        <w:spacing w:before="0" w:after="0" w:line="600" w:lineRule="exact"/>
        <w:jc w:val="left"/>
        <w:textAlignment w:val="auto"/>
        <w:rPr>
          <w:rFonts w:hint="eastAsia" w:ascii="方正黑体_GBK" w:hAnsi="方正黑体_GBK" w:eastAsia="方正黑体_GBK" w:cs="方正黑体_GBK"/>
          <w:b w:val="0"/>
          <w:bCs/>
          <w:color w:val="000000"/>
          <w:sz w:val="32"/>
          <w:szCs w:val="32"/>
          <w:lang w:val="en-US" w:eastAsia="zh-CN"/>
        </w:rPr>
      </w:pPr>
      <w:bookmarkStart w:id="0" w:name="_GoBack"/>
      <w:bookmarkEnd w:id="0"/>
      <w:r>
        <w:rPr>
          <w:rFonts w:hint="eastAsia" w:ascii="方正黑体_GBK" w:hAnsi="方正黑体_GBK" w:eastAsia="方正黑体_GBK" w:cs="方正黑体_GBK"/>
          <w:b w:val="0"/>
          <w:bCs/>
          <w:color w:val="000000"/>
          <w:sz w:val="32"/>
          <w:szCs w:val="32"/>
          <w:lang w:val="en-US" w:eastAsia="zh-CN"/>
        </w:rPr>
        <w:t>附件</w:t>
      </w:r>
    </w:p>
    <w:p w14:paraId="24145FCC">
      <w:pPr>
        <w:keepNext w:val="0"/>
        <w:keepLines w:val="0"/>
        <w:pageBreakBefore w:val="0"/>
        <w:widowControl w:val="0"/>
        <w:kinsoku/>
        <w:wordWrap w:val="0"/>
        <w:overflowPunct/>
        <w:topLinePunct w:val="0"/>
        <w:autoSpaceDE/>
        <w:autoSpaceDN/>
        <w:bidi w:val="0"/>
        <w:adjustRightInd/>
        <w:snapToGrid/>
        <w:spacing w:before="0" w:after="0" w:line="600" w:lineRule="exact"/>
        <w:jc w:val="center"/>
        <w:textAlignment w:val="auto"/>
        <w:rPr>
          <w:rFonts w:hint="eastAsia" w:ascii="方正小标宋简体" w:hAnsi="方正小标宋简体" w:eastAsia="方正小标宋简体" w:cs="方正小标宋简体"/>
          <w:b w:val="0"/>
          <w:bCs/>
          <w:color w:val="000000"/>
          <w:sz w:val="44"/>
          <w:szCs w:val="44"/>
        </w:rPr>
      </w:pPr>
    </w:p>
    <w:p w14:paraId="075AC51B">
      <w:pPr>
        <w:keepNext w:val="0"/>
        <w:keepLines w:val="0"/>
        <w:pageBreakBefore w:val="0"/>
        <w:widowControl w:val="0"/>
        <w:kinsoku/>
        <w:wordWrap w:val="0"/>
        <w:overflowPunct/>
        <w:topLinePunct w:val="0"/>
        <w:autoSpaceDE/>
        <w:autoSpaceDN/>
        <w:bidi w:val="0"/>
        <w:adjustRightInd/>
        <w:snapToGrid/>
        <w:spacing w:before="0" w:after="0" w:line="600" w:lineRule="exact"/>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color w:val="000000"/>
          <w:sz w:val="44"/>
          <w:szCs w:val="44"/>
        </w:rPr>
        <w:t>小型餐饮场所防火技术要点</w:t>
      </w:r>
    </w:p>
    <w:p w14:paraId="0E7AD5F6">
      <w:pPr>
        <w:keepNext w:val="0"/>
        <w:keepLines w:val="0"/>
        <w:pageBreakBefore w:val="0"/>
        <w:widowControl w:val="0"/>
        <w:kinsoku/>
        <w:wordWrap w:val="0"/>
        <w:overflowPunct/>
        <w:topLinePunct w:val="0"/>
        <w:autoSpaceDE/>
        <w:autoSpaceDN/>
        <w:bidi w:val="0"/>
        <w:adjustRightInd/>
        <w:snapToGrid/>
        <w:spacing w:before="0" w:after="0" w:line="600" w:lineRule="exact"/>
        <w:ind w:firstLine="0"/>
        <w:jc w:val="distribute"/>
        <w:textAlignment w:val="auto"/>
        <w:rPr>
          <w:rFonts w:hint="default" w:ascii="Times New Roman" w:hAnsi="Times New Roman" w:eastAsia="方正仿宋_GBK" w:cs="Times New Roman"/>
          <w:color w:val="000000"/>
          <w:sz w:val="32"/>
          <w:szCs w:val="32"/>
        </w:rPr>
      </w:pPr>
    </w:p>
    <w:p w14:paraId="6FA45C92">
      <w:pPr>
        <w:keepNext w:val="0"/>
        <w:keepLines w:val="0"/>
        <w:pageBreakBefore w:val="0"/>
        <w:widowControl w:val="0"/>
        <w:kinsoku/>
        <w:wordWrap w:val="0"/>
        <w:overflowPunct/>
        <w:topLinePunct w:val="0"/>
        <w:autoSpaceDE/>
        <w:autoSpaceDN/>
        <w:bidi w:val="0"/>
        <w:adjustRightInd/>
        <w:snapToGrid/>
        <w:spacing w:before="0" w:after="0" w:line="600" w:lineRule="exact"/>
        <w:ind w:left="20" w:right="20" w:firstLine="720"/>
        <w:jc w:val="distribute"/>
        <w:textAlignment w:val="auto"/>
        <w:rPr>
          <w:rFonts w:hint="default" w:ascii="Times New Roman" w:hAnsi="Times New Roman" w:eastAsia="方正仿宋_GBK" w:cs="Times New Roman"/>
          <w:color w:val="000000"/>
          <w:sz w:val="32"/>
          <w:szCs w:val="32"/>
        </w:rPr>
      </w:pPr>
      <w:r>
        <w:rPr>
          <w:rFonts w:hint="eastAsia" w:ascii="方正黑体_GBK" w:hAnsi="方正黑体_GBK" w:eastAsia="方正黑体_GBK" w:cs="方正黑体_GBK"/>
          <w:color w:val="000000"/>
          <w:sz w:val="32"/>
          <w:szCs w:val="32"/>
        </w:rPr>
        <w:t>一、确保疏散通道畅通。</w:t>
      </w:r>
      <w:r>
        <w:rPr>
          <w:rFonts w:hint="default" w:ascii="Times New Roman" w:hAnsi="Times New Roman" w:eastAsia="方正仿宋_GBK" w:cs="Times New Roman"/>
          <w:color w:val="000000"/>
          <w:sz w:val="32"/>
          <w:szCs w:val="32"/>
        </w:rPr>
        <w:t>小型餐饮场所的疏散门应采用平开</w:t>
      </w:r>
    </w:p>
    <w:p w14:paraId="7A827F3C">
      <w:pPr>
        <w:keepNext w:val="0"/>
        <w:keepLines w:val="0"/>
        <w:pageBreakBefore w:val="0"/>
        <w:widowControl w:val="0"/>
        <w:kinsoku/>
        <w:wordWrap w:val="0"/>
        <w:overflowPunct/>
        <w:topLinePunct w:val="0"/>
        <w:autoSpaceDE/>
        <w:autoSpaceDN/>
        <w:bidi w:val="0"/>
        <w:adjustRightInd/>
        <w:snapToGrid/>
        <w:spacing w:before="0" w:after="0" w:line="600" w:lineRule="exact"/>
        <w:ind w:right="20"/>
        <w:jc w:val="distribute"/>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门，通向屋顶的门应从内部易于开启；外窗应易开启或易击碎、易</w:t>
      </w:r>
    </w:p>
    <w:p w14:paraId="2FA51B7E">
      <w:pPr>
        <w:keepNext w:val="0"/>
        <w:keepLines w:val="0"/>
        <w:pageBreakBefore w:val="0"/>
        <w:widowControl w:val="0"/>
        <w:kinsoku/>
        <w:wordWrap w:val="0"/>
        <w:overflowPunct/>
        <w:topLinePunct w:val="0"/>
        <w:autoSpaceDE/>
        <w:autoSpaceDN/>
        <w:bidi w:val="0"/>
        <w:adjustRightInd/>
        <w:snapToGrid/>
        <w:spacing w:before="0" w:after="0" w:line="600" w:lineRule="exact"/>
        <w:ind w:right="20"/>
        <w:jc w:val="distribute"/>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破拆，面积不宜小于1㎡，且不得设置影响逃生和灭火救援的障碍</w:t>
      </w:r>
    </w:p>
    <w:p w14:paraId="3BB9945F">
      <w:pPr>
        <w:keepNext w:val="0"/>
        <w:keepLines w:val="0"/>
        <w:pageBreakBefore w:val="0"/>
        <w:widowControl w:val="0"/>
        <w:kinsoku/>
        <w:wordWrap w:val="0"/>
        <w:overflowPunct/>
        <w:topLinePunct w:val="0"/>
        <w:autoSpaceDE/>
        <w:autoSpaceDN/>
        <w:bidi w:val="0"/>
        <w:adjustRightInd/>
        <w:snapToGrid/>
        <w:spacing w:before="0" w:after="0" w:line="600" w:lineRule="exact"/>
        <w:ind w:right="20"/>
        <w:jc w:val="distribute"/>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物，相关要求可参照消防救援口设置标准；鼓励在二层及以上对外</w:t>
      </w:r>
    </w:p>
    <w:p w14:paraId="6CE82EDD">
      <w:pPr>
        <w:keepNext w:val="0"/>
        <w:keepLines w:val="0"/>
        <w:pageBreakBefore w:val="0"/>
        <w:widowControl w:val="0"/>
        <w:kinsoku/>
        <w:wordWrap w:val="0"/>
        <w:overflowPunct/>
        <w:topLinePunct w:val="0"/>
        <w:autoSpaceDE/>
        <w:autoSpaceDN/>
        <w:bidi w:val="0"/>
        <w:adjustRightInd/>
        <w:snapToGrid/>
        <w:spacing w:before="0" w:after="0" w:line="600" w:lineRule="exact"/>
        <w:ind w:right="20"/>
        <w:jc w:val="distribute"/>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营业、设有外窗的厅、室设置用于固定逃生缓降器、逃生绳等逃生</w:t>
      </w:r>
    </w:p>
    <w:p w14:paraId="22940E9E">
      <w:pPr>
        <w:keepNext w:val="0"/>
        <w:keepLines w:val="0"/>
        <w:pageBreakBefore w:val="0"/>
        <w:widowControl w:val="0"/>
        <w:kinsoku/>
        <w:wordWrap w:val="0"/>
        <w:overflowPunct/>
        <w:topLinePunct w:val="0"/>
        <w:autoSpaceDE/>
        <w:autoSpaceDN/>
        <w:bidi w:val="0"/>
        <w:adjustRightInd/>
        <w:snapToGrid/>
        <w:spacing w:before="0" w:after="0" w:line="600" w:lineRule="exact"/>
        <w:ind w:right="20"/>
        <w:jc w:val="left"/>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辅助器材的锚固装置，并在显著位置设置相应标识。</w:t>
      </w:r>
    </w:p>
    <w:p w14:paraId="5A5938EC">
      <w:pPr>
        <w:keepNext w:val="0"/>
        <w:keepLines w:val="0"/>
        <w:pageBreakBefore w:val="0"/>
        <w:widowControl w:val="0"/>
        <w:kinsoku/>
        <w:wordWrap w:val="0"/>
        <w:overflowPunct/>
        <w:topLinePunct w:val="0"/>
        <w:autoSpaceDE/>
        <w:autoSpaceDN/>
        <w:bidi w:val="0"/>
        <w:adjustRightInd/>
        <w:snapToGrid/>
        <w:spacing w:before="0" w:after="0" w:line="600" w:lineRule="exact"/>
        <w:ind w:left="20" w:right="20" w:firstLine="720"/>
        <w:jc w:val="distribute"/>
        <w:textAlignment w:val="auto"/>
        <w:rPr>
          <w:rFonts w:hint="default" w:ascii="Times New Roman" w:hAnsi="Times New Roman" w:eastAsia="方正仿宋_GBK" w:cs="Times New Roman"/>
          <w:color w:val="000000"/>
          <w:sz w:val="32"/>
          <w:szCs w:val="32"/>
        </w:rPr>
      </w:pPr>
      <w:r>
        <w:rPr>
          <w:rFonts w:hint="default" w:ascii="方正黑体_GBK" w:hAnsi="方正黑体_GBK" w:eastAsia="方正黑体_GBK" w:cs="方正黑体_GBK"/>
          <w:color w:val="000000"/>
          <w:sz w:val="32"/>
          <w:szCs w:val="32"/>
        </w:rPr>
        <w:t>二、严控室内外可燃装饰装修。</w:t>
      </w:r>
      <w:r>
        <w:rPr>
          <w:rFonts w:hint="default" w:ascii="Times New Roman" w:hAnsi="Times New Roman" w:eastAsia="方正仿宋_GBK" w:cs="Times New Roman"/>
          <w:color w:val="000000"/>
          <w:sz w:val="32"/>
          <w:szCs w:val="32"/>
        </w:rPr>
        <w:t>小型餐饮场所室内外装饰装</w:t>
      </w:r>
    </w:p>
    <w:p w14:paraId="2AE01B0A">
      <w:pPr>
        <w:keepNext w:val="0"/>
        <w:keepLines w:val="0"/>
        <w:pageBreakBefore w:val="0"/>
        <w:widowControl w:val="0"/>
        <w:kinsoku/>
        <w:wordWrap w:val="0"/>
        <w:overflowPunct/>
        <w:topLinePunct w:val="0"/>
        <w:autoSpaceDE/>
        <w:autoSpaceDN/>
        <w:bidi w:val="0"/>
        <w:adjustRightInd/>
        <w:snapToGrid/>
        <w:spacing w:before="0" w:after="0" w:line="600" w:lineRule="exact"/>
        <w:ind w:right="20"/>
        <w:jc w:val="distribute"/>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修应符合国家消防技术标准，当场所营业面积大于100㎡时，顶</w:t>
      </w:r>
    </w:p>
    <w:p w14:paraId="3BC63FFF">
      <w:pPr>
        <w:keepNext w:val="0"/>
        <w:keepLines w:val="0"/>
        <w:pageBreakBefore w:val="0"/>
        <w:widowControl w:val="0"/>
        <w:kinsoku/>
        <w:wordWrap w:val="0"/>
        <w:overflowPunct/>
        <w:topLinePunct w:val="0"/>
        <w:autoSpaceDE/>
        <w:autoSpaceDN/>
        <w:bidi w:val="0"/>
        <w:adjustRightInd/>
        <w:snapToGrid/>
        <w:spacing w:before="0" w:after="0" w:line="600" w:lineRule="exact"/>
        <w:ind w:right="20"/>
        <w:jc w:val="distribute"/>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棚应采用不燃材料，地面、墙面、隔断应采用不燃或难燃材料；外墙广告牌、灯箱等宜采用不燃材料制作，且不应妨碍人员逃生、排烟</w:t>
      </w:r>
    </w:p>
    <w:p w14:paraId="78549A20">
      <w:pPr>
        <w:keepNext w:val="0"/>
        <w:keepLines w:val="0"/>
        <w:pageBreakBefore w:val="0"/>
        <w:widowControl w:val="0"/>
        <w:kinsoku/>
        <w:wordWrap w:val="0"/>
        <w:overflowPunct/>
        <w:topLinePunct w:val="0"/>
        <w:autoSpaceDE/>
        <w:autoSpaceDN/>
        <w:bidi w:val="0"/>
        <w:adjustRightInd/>
        <w:snapToGrid/>
        <w:spacing w:before="0" w:after="0" w:line="600" w:lineRule="exact"/>
        <w:ind w:right="2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sz w:val="32"/>
          <w:szCs w:val="32"/>
        </w:rPr>
        <w:t>和灭火救援，不应改变或破坏建筑立面防火构造。</w:t>
      </w:r>
    </w:p>
    <w:p w14:paraId="15B80790">
      <w:pPr>
        <w:keepNext w:val="0"/>
        <w:keepLines w:val="0"/>
        <w:pageBreakBefore w:val="0"/>
        <w:widowControl w:val="0"/>
        <w:kinsoku/>
        <w:wordWrap w:val="0"/>
        <w:overflowPunct/>
        <w:topLinePunct w:val="0"/>
        <w:autoSpaceDE/>
        <w:autoSpaceDN/>
        <w:bidi w:val="0"/>
        <w:adjustRightInd/>
        <w:snapToGrid/>
        <w:spacing w:before="0" w:after="0" w:line="600" w:lineRule="exact"/>
        <w:ind w:left="20" w:right="20" w:firstLine="720"/>
        <w:jc w:val="distribute"/>
        <w:textAlignment w:val="auto"/>
        <w:rPr>
          <w:rFonts w:hint="default" w:ascii="Times New Roman" w:hAnsi="Times New Roman" w:eastAsia="方正仿宋_GBK" w:cs="Times New Roman"/>
          <w:color w:val="000000"/>
          <w:sz w:val="32"/>
          <w:szCs w:val="32"/>
        </w:rPr>
      </w:pPr>
      <w:r>
        <w:rPr>
          <w:rFonts w:hint="default" w:ascii="方正黑体_GBK" w:hAnsi="方正黑体_GBK" w:eastAsia="方正黑体_GBK" w:cs="方正黑体_GBK"/>
          <w:color w:val="000000"/>
          <w:sz w:val="32"/>
          <w:szCs w:val="32"/>
        </w:rPr>
        <w:t>三、保障厨房安全。</w:t>
      </w:r>
      <w:r>
        <w:rPr>
          <w:rFonts w:hint="default" w:ascii="Times New Roman" w:hAnsi="Times New Roman" w:eastAsia="方正仿宋_GBK" w:cs="Times New Roman"/>
          <w:color w:val="000000"/>
          <w:sz w:val="32"/>
          <w:szCs w:val="32"/>
        </w:rPr>
        <w:t>小型餐饮场所的厨房宜靠外墙布置，使用燃气的部位应具有自然通风条件或设置机械通风设施；使用明火</w:t>
      </w:r>
    </w:p>
    <w:p w14:paraId="2854A0F1">
      <w:pPr>
        <w:keepNext w:val="0"/>
        <w:keepLines w:val="0"/>
        <w:pageBreakBefore w:val="0"/>
        <w:widowControl w:val="0"/>
        <w:kinsoku/>
        <w:wordWrap w:val="0"/>
        <w:overflowPunct/>
        <w:topLinePunct w:val="0"/>
        <w:autoSpaceDE/>
        <w:autoSpaceDN/>
        <w:bidi w:val="0"/>
        <w:adjustRightInd/>
        <w:snapToGrid/>
        <w:spacing w:before="0" w:after="0" w:line="600" w:lineRule="exact"/>
        <w:ind w:right="20"/>
        <w:jc w:val="distribute"/>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的加工区应采用耐火极限不低于2.00h的隔墙及乙级防火门、窗</w:t>
      </w:r>
    </w:p>
    <w:p w14:paraId="61C4F567">
      <w:pPr>
        <w:keepNext w:val="0"/>
        <w:keepLines w:val="0"/>
        <w:pageBreakBefore w:val="0"/>
        <w:widowControl w:val="0"/>
        <w:kinsoku/>
        <w:wordWrap w:val="0"/>
        <w:overflowPunct/>
        <w:topLinePunct w:val="0"/>
        <w:autoSpaceDE/>
        <w:autoSpaceDN/>
        <w:bidi w:val="0"/>
        <w:adjustRightInd/>
        <w:snapToGrid/>
        <w:spacing w:before="0" w:after="0" w:line="600" w:lineRule="exact"/>
        <w:ind w:right="2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sz w:val="32"/>
          <w:szCs w:val="32"/>
        </w:rPr>
        <w:t>与其他部位分隔；场所营业期间不得进行电焊、气焊（割）、喷灯、砂轮等动火施工作业。</w:t>
      </w:r>
    </w:p>
    <w:p w14:paraId="7F13C4E2">
      <w:pPr>
        <w:keepNext w:val="0"/>
        <w:keepLines w:val="0"/>
        <w:pageBreakBefore w:val="0"/>
        <w:widowControl w:val="0"/>
        <w:kinsoku/>
        <w:wordWrap w:val="0"/>
        <w:overflowPunct/>
        <w:topLinePunct w:val="0"/>
        <w:autoSpaceDE/>
        <w:autoSpaceDN/>
        <w:bidi w:val="0"/>
        <w:adjustRightInd/>
        <w:snapToGrid/>
        <w:spacing w:before="0" w:after="0" w:line="600" w:lineRule="exact"/>
        <w:ind w:left="20" w:right="20" w:firstLine="720"/>
        <w:jc w:val="distribute"/>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厨房禁止同时使用两种及以上气体、液体燃料；燃气引入管应设置手动快速切断阀门；充装量不小于50kg的液化石油气容器应</w:t>
      </w:r>
    </w:p>
    <w:p w14:paraId="5930515E">
      <w:pPr>
        <w:keepNext w:val="0"/>
        <w:keepLines w:val="0"/>
        <w:pageBreakBefore w:val="0"/>
        <w:widowControl w:val="0"/>
        <w:kinsoku/>
        <w:wordWrap w:val="0"/>
        <w:overflowPunct/>
        <w:topLinePunct w:val="0"/>
        <w:autoSpaceDE/>
        <w:autoSpaceDN/>
        <w:bidi w:val="0"/>
        <w:adjustRightInd/>
        <w:snapToGrid/>
        <w:spacing w:before="0" w:after="0" w:line="600" w:lineRule="exact"/>
        <w:ind w:right="20"/>
        <w:jc w:val="distribute"/>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设置在所服务建筑外的单层专用房间内；使用丙类液体燃料的，液</w:t>
      </w:r>
    </w:p>
    <w:p w14:paraId="14E1602C">
      <w:pPr>
        <w:keepNext w:val="0"/>
        <w:keepLines w:val="0"/>
        <w:pageBreakBefore w:val="0"/>
        <w:widowControl w:val="0"/>
        <w:kinsoku/>
        <w:wordWrap w:val="0"/>
        <w:overflowPunct/>
        <w:topLinePunct w:val="0"/>
        <w:autoSpaceDE/>
        <w:autoSpaceDN/>
        <w:bidi w:val="0"/>
        <w:adjustRightInd/>
        <w:snapToGrid/>
        <w:spacing w:before="0" w:after="0" w:line="600" w:lineRule="exact"/>
        <w:ind w:right="20"/>
        <w:jc w:val="distribute"/>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体燃料储存容器应设置专门的储存间，储存间应采用耐火极限不</w:t>
      </w:r>
    </w:p>
    <w:p w14:paraId="783D68DA">
      <w:pPr>
        <w:keepNext w:val="0"/>
        <w:keepLines w:val="0"/>
        <w:pageBreakBefore w:val="0"/>
        <w:widowControl w:val="0"/>
        <w:kinsoku/>
        <w:wordWrap w:val="0"/>
        <w:overflowPunct/>
        <w:topLinePunct w:val="0"/>
        <w:autoSpaceDE/>
        <w:autoSpaceDN/>
        <w:bidi w:val="0"/>
        <w:adjustRightInd/>
        <w:snapToGrid/>
        <w:spacing w:before="0" w:after="0" w:line="600" w:lineRule="exact"/>
        <w:ind w:right="20"/>
        <w:jc w:val="distribute"/>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低于3.00h的防火隔墙与其他区域分隔，确有困难的，应设置在室</w:t>
      </w:r>
    </w:p>
    <w:p w14:paraId="424AB03D">
      <w:pPr>
        <w:keepNext w:val="0"/>
        <w:keepLines w:val="0"/>
        <w:pageBreakBefore w:val="0"/>
        <w:widowControl w:val="0"/>
        <w:kinsoku/>
        <w:wordWrap w:val="0"/>
        <w:overflowPunct/>
        <w:topLinePunct w:val="0"/>
        <w:autoSpaceDE/>
        <w:autoSpaceDN/>
        <w:bidi w:val="0"/>
        <w:adjustRightInd/>
        <w:snapToGrid/>
        <w:spacing w:before="0" w:after="0" w:line="600" w:lineRule="exact"/>
        <w:ind w:right="20"/>
        <w:jc w:val="distribute"/>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外安全区域；场所营业期间不得对液体燃料管道、灶具、燃烧器等</w:t>
      </w:r>
    </w:p>
    <w:p w14:paraId="5714AD95">
      <w:pPr>
        <w:keepNext w:val="0"/>
        <w:keepLines w:val="0"/>
        <w:pageBreakBefore w:val="0"/>
        <w:widowControl w:val="0"/>
        <w:kinsoku/>
        <w:wordWrap w:val="0"/>
        <w:overflowPunct/>
        <w:topLinePunct w:val="0"/>
        <w:autoSpaceDE/>
        <w:autoSpaceDN/>
        <w:bidi w:val="0"/>
        <w:adjustRightInd/>
        <w:snapToGrid/>
        <w:spacing w:before="0" w:after="0" w:line="600" w:lineRule="exact"/>
        <w:ind w:right="20"/>
        <w:jc w:val="distribute"/>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进行维护，不得进行加注作业，维护时应关闭燃料管道上的所有阀</w:t>
      </w:r>
    </w:p>
    <w:p w14:paraId="0751FBE6">
      <w:pPr>
        <w:keepNext w:val="0"/>
        <w:keepLines w:val="0"/>
        <w:pageBreakBefore w:val="0"/>
        <w:widowControl w:val="0"/>
        <w:kinsoku/>
        <w:wordWrap w:val="0"/>
        <w:overflowPunct/>
        <w:topLinePunct w:val="0"/>
        <w:autoSpaceDE/>
        <w:autoSpaceDN/>
        <w:bidi w:val="0"/>
        <w:adjustRightInd/>
        <w:snapToGrid/>
        <w:spacing w:before="0" w:after="0" w:line="600" w:lineRule="exact"/>
        <w:ind w:right="20"/>
        <w:jc w:val="distribute"/>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门；用餐区域内严禁违规存放、使用液化天然气气瓶、压缩天然气</w:t>
      </w:r>
    </w:p>
    <w:p w14:paraId="7D4B5032">
      <w:pPr>
        <w:keepNext w:val="0"/>
        <w:keepLines w:val="0"/>
        <w:pageBreakBefore w:val="0"/>
        <w:widowControl w:val="0"/>
        <w:kinsoku/>
        <w:wordWrap w:val="0"/>
        <w:overflowPunct/>
        <w:topLinePunct w:val="0"/>
        <w:autoSpaceDE/>
        <w:autoSpaceDN/>
        <w:bidi w:val="0"/>
        <w:adjustRightInd/>
        <w:snapToGrid/>
        <w:spacing w:before="0" w:after="0" w:line="600" w:lineRule="exact"/>
        <w:ind w:right="20"/>
        <w:jc w:val="left"/>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气瓶、液化石油气气瓶及液体燃料。</w:t>
      </w:r>
    </w:p>
    <w:p w14:paraId="7C5D5972">
      <w:pPr>
        <w:keepNext w:val="0"/>
        <w:keepLines w:val="0"/>
        <w:pageBreakBefore w:val="0"/>
        <w:widowControl w:val="0"/>
        <w:kinsoku/>
        <w:wordWrap w:val="0"/>
        <w:overflowPunct/>
        <w:topLinePunct w:val="0"/>
        <w:autoSpaceDE/>
        <w:autoSpaceDN/>
        <w:bidi w:val="0"/>
        <w:adjustRightInd/>
        <w:snapToGrid/>
        <w:spacing w:before="0" w:after="0" w:line="600" w:lineRule="exact"/>
        <w:ind w:right="20" w:firstLine="640" w:firstLineChars="200"/>
        <w:jc w:val="distribute"/>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厨房灶具应在安全使用年限之内，灶具、阀门、连接软管应符</w:t>
      </w:r>
    </w:p>
    <w:p w14:paraId="10A788AF">
      <w:pPr>
        <w:keepNext w:val="0"/>
        <w:keepLines w:val="0"/>
        <w:pageBreakBefore w:val="0"/>
        <w:widowControl w:val="0"/>
        <w:kinsoku/>
        <w:wordWrap w:val="0"/>
        <w:overflowPunct/>
        <w:topLinePunct w:val="0"/>
        <w:autoSpaceDE/>
        <w:autoSpaceDN/>
        <w:bidi w:val="0"/>
        <w:adjustRightInd/>
        <w:snapToGrid/>
        <w:spacing w:before="0" w:after="0" w:line="600" w:lineRule="exact"/>
        <w:ind w:right="20"/>
        <w:jc w:val="distribute"/>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合国家标准要求；鼓励设置灶台自动灭火装置；排油烟道应采用不</w:t>
      </w:r>
    </w:p>
    <w:p w14:paraId="16AFB556">
      <w:pPr>
        <w:keepNext w:val="0"/>
        <w:keepLines w:val="0"/>
        <w:pageBreakBefore w:val="0"/>
        <w:widowControl w:val="0"/>
        <w:kinsoku/>
        <w:wordWrap w:val="0"/>
        <w:overflowPunct/>
        <w:topLinePunct w:val="0"/>
        <w:autoSpaceDE/>
        <w:autoSpaceDN/>
        <w:bidi w:val="0"/>
        <w:adjustRightInd/>
        <w:snapToGrid/>
        <w:spacing w:before="0" w:after="0" w:line="600" w:lineRule="exact"/>
        <w:ind w:right="20"/>
        <w:jc w:val="distribute"/>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燃材料建造，周围0.5m范围内不应设置可燃物，宜每季度清洗</w:t>
      </w:r>
    </w:p>
    <w:p w14:paraId="7512A7BE">
      <w:pPr>
        <w:keepNext w:val="0"/>
        <w:keepLines w:val="0"/>
        <w:pageBreakBefore w:val="0"/>
        <w:widowControl w:val="0"/>
        <w:kinsoku/>
        <w:wordWrap w:val="0"/>
        <w:overflowPunct/>
        <w:topLinePunct w:val="0"/>
        <w:autoSpaceDE/>
        <w:autoSpaceDN/>
        <w:bidi w:val="0"/>
        <w:adjustRightInd/>
        <w:snapToGrid/>
        <w:spacing w:before="0" w:after="0" w:line="600" w:lineRule="exact"/>
        <w:ind w:right="3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1次。</w:t>
      </w:r>
    </w:p>
    <w:p w14:paraId="31C66CDC">
      <w:pPr>
        <w:keepNext w:val="0"/>
        <w:keepLines w:val="0"/>
        <w:pageBreakBefore w:val="0"/>
        <w:widowControl w:val="0"/>
        <w:kinsoku/>
        <w:wordWrap w:val="0"/>
        <w:overflowPunct/>
        <w:topLinePunct w:val="0"/>
        <w:autoSpaceDE/>
        <w:autoSpaceDN/>
        <w:bidi w:val="0"/>
        <w:adjustRightInd/>
        <w:snapToGrid/>
        <w:spacing w:before="0" w:after="0" w:line="600" w:lineRule="exact"/>
        <w:ind w:right="300"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使用燃气的厨房应设置可燃气体探测报警装置，使用直接排</w:t>
      </w:r>
    </w:p>
    <w:p w14:paraId="28601885">
      <w:pPr>
        <w:keepNext w:val="0"/>
        <w:keepLines w:val="0"/>
        <w:pageBreakBefore w:val="0"/>
        <w:widowControl w:val="0"/>
        <w:kinsoku/>
        <w:wordWrap w:val="0"/>
        <w:overflowPunct/>
        <w:topLinePunct w:val="0"/>
        <w:autoSpaceDE/>
        <w:autoSpaceDN/>
        <w:bidi w:val="0"/>
        <w:adjustRightInd/>
        <w:snapToGrid/>
        <w:spacing w:before="0" w:after="0" w:line="600" w:lineRule="exact"/>
        <w:ind w:right="3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sz w:val="32"/>
          <w:szCs w:val="32"/>
        </w:rPr>
        <w:t>气式燃具的场所应安装机械排气装置；厨房内应设置灭火毯、灭火器等消防器材，员工应熟练掌握使用方法。</w:t>
      </w:r>
    </w:p>
    <w:p w14:paraId="4D4DD582">
      <w:pPr>
        <w:keepNext w:val="0"/>
        <w:keepLines w:val="0"/>
        <w:pageBreakBefore w:val="0"/>
        <w:widowControl w:val="0"/>
        <w:kinsoku/>
        <w:wordWrap w:val="0"/>
        <w:overflowPunct/>
        <w:topLinePunct w:val="0"/>
        <w:autoSpaceDE/>
        <w:autoSpaceDN/>
        <w:bidi w:val="0"/>
        <w:adjustRightInd/>
        <w:snapToGrid/>
        <w:spacing w:before="0" w:after="0" w:line="600" w:lineRule="exact"/>
        <w:ind w:left="20" w:right="300" w:firstLine="680"/>
        <w:jc w:val="distribute"/>
        <w:textAlignment w:val="auto"/>
        <w:rPr>
          <w:rFonts w:hint="default" w:ascii="Times New Roman" w:hAnsi="Times New Roman" w:eastAsia="方正仿宋_GBK" w:cs="Times New Roman"/>
          <w:color w:val="000000"/>
          <w:sz w:val="32"/>
          <w:szCs w:val="32"/>
        </w:rPr>
      </w:pPr>
      <w:r>
        <w:rPr>
          <w:rFonts w:hint="default" w:ascii="方正黑体_GBK" w:hAnsi="方正黑体_GBK" w:eastAsia="方正黑体_GBK" w:cs="方正黑体_GBK"/>
          <w:color w:val="000000"/>
          <w:sz w:val="32"/>
          <w:szCs w:val="32"/>
        </w:rPr>
        <w:t>四、强化消防设施设置。</w:t>
      </w:r>
      <w:r>
        <w:rPr>
          <w:rFonts w:hint="default" w:ascii="Times New Roman" w:hAnsi="Times New Roman" w:eastAsia="方正仿宋_GBK" w:cs="Times New Roman"/>
          <w:color w:val="000000"/>
          <w:sz w:val="32"/>
          <w:szCs w:val="32"/>
        </w:rPr>
        <w:t>小型餐饮场所未设置固定消防设施</w:t>
      </w:r>
    </w:p>
    <w:p w14:paraId="7BF946E5">
      <w:pPr>
        <w:keepNext w:val="0"/>
        <w:keepLines w:val="0"/>
        <w:pageBreakBefore w:val="0"/>
        <w:widowControl w:val="0"/>
        <w:kinsoku/>
        <w:wordWrap w:val="0"/>
        <w:overflowPunct/>
        <w:topLinePunct w:val="0"/>
        <w:autoSpaceDE/>
        <w:autoSpaceDN/>
        <w:bidi w:val="0"/>
        <w:adjustRightInd/>
        <w:snapToGrid/>
        <w:spacing w:before="0" w:after="0" w:line="600" w:lineRule="exact"/>
        <w:ind w:right="300"/>
        <w:jc w:val="distribute"/>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的，鼓励设置简易喷淋灭火系统、消防软管卷盘、具有声光或语音报警功能的独立式感烟火灾探测报警器和火灾一键警报疏散装</w:t>
      </w:r>
    </w:p>
    <w:p w14:paraId="7622F13B">
      <w:pPr>
        <w:keepNext w:val="0"/>
        <w:keepLines w:val="0"/>
        <w:pageBreakBefore w:val="0"/>
        <w:widowControl w:val="0"/>
        <w:kinsoku/>
        <w:wordWrap w:val="0"/>
        <w:overflowPunct/>
        <w:topLinePunct w:val="0"/>
        <w:autoSpaceDE/>
        <w:autoSpaceDN/>
        <w:bidi w:val="0"/>
        <w:adjustRightInd/>
        <w:snapToGrid/>
        <w:spacing w:before="0" w:after="0" w:line="600" w:lineRule="exact"/>
        <w:ind w:right="3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sz w:val="32"/>
          <w:szCs w:val="32"/>
        </w:rPr>
        <w:t>置；场所内应配置灭火器，鼓励配置过滤式消防自救呼吸器、逃生绳、毛巾、手电筒等疏散逃生辅助器材。设置的消防设施器材应确保完好有效。</w:t>
      </w:r>
    </w:p>
    <w:p w14:paraId="1FFE9B3A">
      <w:pPr>
        <w:keepNext w:val="0"/>
        <w:keepLines w:val="0"/>
        <w:pageBreakBefore w:val="0"/>
        <w:widowControl w:val="0"/>
        <w:kinsoku/>
        <w:wordWrap w:val="0"/>
        <w:overflowPunct/>
        <w:topLinePunct w:val="0"/>
        <w:autoSpaceDE/>
        <w:autoSpaceDN/>
        <w:bidi w:val="0"/>
        <w:adjustRightInd/>
        <w:snapToGrid/>
        <w:spacing w:before="0" w:after="0" w:line="600" w:lineRule="exact"/>
        <w:ind w:left="20" w:right="300" w:firstLine="680"/>
        <w:jc w:val="distribute"/>
        <w:textAlignment w:val="auto"/>
        <w:rPr>
          <w:rFonts w:hint="default" w:ascii="Times New Roman" w:hAnsi="Times New Roman" w:eastAsia="方正仿宋_GBK" w:cs="Times New Roman"/>
          <w:color w:val="000000"/>
          <w:sz w:val="32"/>
          <w:szCs w:val="32"/>
        </w:rPr>
      </w:pPr>
      <w:r>
        <w:rPr>
          <w:rFonts w:hint="default" w:ascii="方正黑体_GBK" w:hAnsi="方正黑体_GBK" w:eastAsia="方正黑体_GBK" w:cs="方正黑体_GBK"/>
          <w:color w:val="000000"/>
          <w:sz w:val="32"/>
          <w:szCs w:val="32"/>
        </w:rPr>
        <w:t>五、加强人员培训演练。</w:t>
      </w:r>
      <w:r>
        <w:rPr>
          <w:rFonts w:hint="default" w:ascii="Times New Roman" w:hAnsi="Times New Roman" w:eastAsia="方正仿宋_GBK" w:cs="Times New Roman"/>
          <w:color w:val="000000"/>
          <w:sz w:val="32"/>
          <w:szCs w:val="32"/>
        </w:rPr>
        <w:t>小型餐饮场所应结合自身火灾防控</w:t>
      </w:r>
    </w:p>
    <w:p w14:paraId="02191E45">
      <w:pPr>
        <w:keepNext w:val="0"/>
        <w:keepLines w:val="0"/>
        <w:pageBreakBefore w:val="0"/>
        <w:widowControl w:val="0"/>
        <w:kinsoku/>
        <w:wordWrap w:val="0"/>
        <w:overflowPunct/>
        <w:topLinePunct w:val="0"/>
        <w:autoSpaceDE/>
        <w:autoSpaceDN/>
        <w:bidi w:val="0"/>
        <w:adjustRightInd/>
        <w:snapToGrid/>
        <w:spacing w:before="0" w:after="0" w:line="600" w:lineRule="exact"/>
        <w:ind w:right="300"/>
        <w:jc w:val="distribute"/>
        <w:textAlignment w:val="auto"/>
        <w:rPr>
          <w:rFonts w:hint="default" w:ascii="Times New Roman" w:hAnsi="Times New Roman" w:eastAsia="方正仿宋_GBK" w:cs="Times New Roman"/>
          <w:sz w:val="32"/>
          <w:szCs w:val="32"/>
        </w:rPr>
        <w:sectPr>
          <w:pgSz w:w="11900" w:h="17380"/>
          <w:pgMar w:top="2160" w:right="1200" w:bottom="1920" w:left="1200" w:header="1080" w:footer="960" w:gutter="0"/>
          <w:cols w:space="720" w:num="1"/>
        </w:sectPr>
      </w:pPr>
      <w:r>
        <w:rPr>
          <w:rFonts w:hint="default" w:ascii="Times New Roman" w:hAnsi="Times New Roman" w:eastAsia="方正仿宋_GBK" w:cs="Times New Roman"/>
          <w:color w:val="000000"/>
          <w:sz w:val="32"/>
          <w:szCs w:val="32"/>
        </w:rPr>
        <w:t>需求制定针对性的灭火和应急疏散预案。每年应当组织开展1次</w:t>
      </w:r>
    </w:p>
    <w:p w14:paraId="25D254B3">
      <w:pPr>
        <w:keepNext w:val="0"/>
        <w:keepLines w:val="0"/>
        <w:pageBreakBefore w:val="0"/>
        <w:widowControl w:val="0"/>
        <w:kinsoku/>
        <w:wordWrap w:val="0"/>
        <w:overflowPunct/>
        <w:topLinePunct w:val="0"/>
        <w:autoSpaceDE/>
        <w:autoSpaceDN/>
        <w:bidi w:val="0"/>
        <w:adjustRightInd/>
        <w:snapToGrid/>
        <w:spacing w:before="0" w:after="0" w:line="600" w:lineRule="exact"/>
        <w:ind w:left="40" w:right="240" w:firstLine="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sz w:val="32"/>
          <w:szCs w:val="32"/>
        </w:rPr>
        <w:t>全员防火、灭火和疏散逃生基本技能实操实训和实战化演练，确保发生火灾后第一时间拨打火警电话报警、扑救初起火灾，同时能够组织引导场所内人员安全疏散。</w:t>
      </w:r>
    </w:p>
    <w:p w14:paraId="40788D03">
      <w:pPr>
        <w:keepNext w:val="0"/>
        <w:keepLines w:val="0"/>
        <w:pageBreakBefore w:val="0"/>
        <w:widowControl w:val="0"/>
        <w:kinsoku/>
        <w:wordWrap w:val="0"/>
        <w:overflowPunct/>
        <w:topLinePunct w:val="0"/>
        <w:autoSpaceDE/>
        <w:autoSpaceDN/>
        <w:bidi w:val="0"/>
        <w:adjustRightInd/>
        <w:snapToGrid/>
        <w:spacing w:before="0" w:after="0" w:line="600" w:lineRule="exact"/>
        <w:ind w:left="40" w:right="240" w:firstLine="660"/>
        <w:jc w:val="distribute"/>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注：本文件中的小型餐饮场所指独立建造，每层建筑面积不大于200㎡且建筑层数不大于三层，提供经营性餐饮服务的单、多</w:t>
      </w:r>
    </w:p>
    <w:p w14:paraId="0802EEFD">
      <w:pPr>
        <w:keepNext w:val="0"/>
        <w:keepLines w:val="0"/>
        <w:pageBreakBefore w:val="0"/>
        <w:widowControl w:val="0"/>
        <w:kinsoku/>
        <w:wordWrap w:val="0"/>
        <w:overflowPunct/>
        <w:topLinePunct w:val="0"/>
        <w:autoSpaceDE/>
        <w:autoSpaceDN/>
        <w:bidi w:val="0"/>
        <w:adjustRightInd/>
        <w:snapToGrid/>
        <w:spacing w:before="0" w:after="0" w:line="600" w:lineRule="exact"/>
        <w:ind w:right="240"/>
        <w:jc w:val="distribute"/>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层商业建筑；或者采用分隔单元形式设置在建筑的首层至三层（可以是其中的某一层或任意多层），场所安全出口直接通向室外安全区域，每层建筑面积不大于200㎡，提供经营性餐饮服务的商业</w:t>
      </w:r>
    </w:p>
    <w:p w14:paraId="029E6DA9">
      <w:pPr>
        <w:keepNext w:val="0"/>
        <w:keepLines w:val="0"/>
        <w:pageBreakBefore w:val="0"/>
        <w:widowControl w:val="0"/>
        <w:kinsoku/>
        <w:wordWrap w:val="0"/>
        <w:overflowPunct/>
        <w:topLinePunct w:val="0"/>
        <w:autoSpaceDE/>
        <w:autoSpaceDN/>
        <w:bidi w:val="0"/>
        <w:adjustRightInd/>
        <w:snapToGrid/>
        <w:spacing w:before="0" w:after="0" w:line="600" w:lineRule="exact"/>
        <w:ind w:right="240"/>
        <w:jc w:val="left"/>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用房。</w:t>
      </w:r>
    </w:p>
    <w:p w14:paraId="0EB3937F"/>
    <w:sectPr>
      <w:headerReference r:id="rId3" w:type="default"/>
      <w:footerReference r:id="rId4" w:type="default"/>
      <w:type w:val="continuous"/>
      <w:pgSz w:w="11900" w:h="16840"/>
      <w:pgMar w:top="1920" w:right="1200" w:bottom="720" w:left="1200" w:header="960" w:footer="36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12A1D6E1-968D-43D9-B96F-0F33A5F9951E}"/>
  </w:font>
  <w:font w:name="方正黑体_GBK">
    <w:altName w:val="微软雅黑"/>
    <w:panose1 w:val="02000000000000000000"/>
    <w:charset w:val="86"/>
    <w:family w:val="auto"/>
    <w:pitch w:val="default"/>
    <w:sig w:usb0="00000001" w:usb1="08000000" w:usb2="00000000" w:usb3="00000000" w:csb0="00040000" w:csb1="00000000"/>
    <w:embedRegular r:id="rId2" w:fontKey="{42B2F878-09D5-4898-AC25-B1FB924F9EA2}"/>
  </w:font>
  <w:font w:name="方正小标宋简体">
    <w:panose1 w:val="03000509000000000000"/>
    <w:charset w:val="86"/>
    <w:family w:val="auto"/>
    <w:pitch w:val="default"/>
    <w:sig w:usb0="00000001" w:usb1="080E0000" w:usb2="00000000" w:usb3="00000000" w:csb0="00040000" w:csb1="00000000"/>
  </w:font>
  <w:font w:name="方正仿宋_GBK">
    <w:panose1 w:val="02000000000000000000"/>
    <w:charset w:val="86"/>
    <w:family w:val="auto"/>
    <w:pitch w:val="default"/>
    <w:sig w:usb0="A00002BF" w:usb1="38CF7CFA" w:usb2="00082016" w:usb3="00000000" w:csb0="00040001" w:csb1="00000000"/>
    <w:embedRegular r:id="rId3" w:fontKey="{D6D3701E-A458-4C1B-B338-ABFD08C130F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9E3BBE">
    <w:pPr>
      <w:spacing w:line="119" w:lineRule="auto"/>
      <w:ind w:firstLine="40"/>
      <w:jc w:val="lef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D3461E"/>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FD70D8"/>
    <w:rsid w:val="03E75803"/>
    <w:rsid w:val="06CE65E8"/>
    <w:rsid w:val="0A736E49"/>
    <w:rsid w:val="0ADF338E"/>
    <w:rsid w:val="0FFF4660"/>
    <w:rsid w:val="17F71407"/>
    <w:rsid w:val="18B1F97B"/>
    <w:rsid w:val="18D75BE2"/>
    <w:rsid w:val="18EFC901"/>
    <w:rsid w:val="1BBC2BD2"/>
    <w:rsid w:val="1BFB2DB5"/>
    <w:rsid w:val="1D3CF5AD"/>
    <w:rsid w:val="1EDD18BE"/>
    <w:rsid w:val="1EFB84A9"/>
    <w:rsid w:val="1F3BF604"/>
    <w:rsid w:val="1FBBB0F6"/>
    <w:rsid w:val="1FDA6D7F"/>
    <w:rsid w:val="1FDF6125"/>
    <w:rsid w:val="1FF3DF6F"/>
    <w:rsid w:val="1FFF3FE5"/>
    <w:rsid w:val="1FFFD6FC"/>
    <w:rsid w:val="21AC2576"/>
    <w:rsid w:val="27B771D5"/>
    <w:rsid w:val="27EE1992"/>
    <w:rsid w:val="2CE446A9"/>
    <w:rsid w:val="2CFDA712"/>
    <w:rsid w:val="2E45F81C"/>
    <w:rsid w:val="2EC9FC52"/>
    <w:rsid w:val="2F6A7291"/>
    <w:rsid w:val="2FC65CF8"/>
    <w:rsid w:val="2FFD70D8"/>
    <w:rsid w:val="2FFEBB6A"/>
    <w:rsid w:val="31BFA9B0"/>
    <w:rsid w:val="36EE4666"/>
    <w:rsid w:val="37759B3D"/>
    <w:rsid w:val="38AE2554"/>
    <w:rsid w:val="396F70C8"/>
    <w:rsid w:val="3AD9675C"/>
    <w:rsid w:val="3BB6D691"/>
    <w:rsid w:val="3BFD1912"/>
    <w:rsid w:val="3DEB0D67"/>
    <w:rsid w:val="3DEFCACC"/>
    <w:rsid w:val="3DF7F51B"/>
    <w:rsid w:val="3E4F455D"/>
    <w:rsid w:val="3EB773B1"/>
    <w:rsid w:val="3ED71BF0"/>
    <w:rsid w:val="3EE7966C"/>
    <w:rsid w:val="3EF96899"/>
    <w:rsid w:val="3F27C4DF"/>
    <w:rsid w:val="3F5A5D03"/>
    <w:rsid w:val="3F5D42F0"/>
    <w:rsid w:val="3F66BB70"/>
    <w:rsid w:val="3F6F03B8"/>
    <w:rsid w:val="3F70A74E"/>
    <w:rsid w:val="3FCD4963"/>
    <w:rsid w:val="3FEAE49A"/>
    <w:rsid w:val="3FEF119A"/>
    <w:rsid w:val="3FF57501"/>
    <w:rsid w:val="3FF9753E"/>
    <w:rsid w:val="3FFED1FC"/>
    <w:rsid w:val="43FF16C8"/>
    <w:rsid w:val="453B939A"/>
    <w:rsid w:val="47EF1B2E"/>
    <w:rsid w:val="4975DC39"/>
    <w:rsid w:val="49FFEE1A"/>
    <w:rsid w:val="4CEFFE24"/>
    <w:rsid w:val="4DBFEA6A"/>
    <w:rsid w:val="4DD48B2A"/>
    <w:rsid w:val="4DFFD0C4"/>
    <w:rsid w:val="4E9FD005"/>
    <w:rsid w:val="4F1F627C"/>
    <w:rsid w:val="4F9B255F"/>
    <w:rsid w:val="4FDCB8C7"/>
    <w:rsid w:val="4FEB833D"/>
    <w:rsid w:val="4FEEE618"/>
    <w:rsid w:val="4FF929E1"/>
    <w:rsid w:val="4FFEBC01"/>
    <w:rsid w:val="53F76362"/>
    <w:rsid w:val="547DF6BE"/>
    <w:rsid w:val="54D9F8E6"/>
    <w:rsid w:val="55BFBBA7"/>
    <w:rsid w:val="55E69324"/>
    <w:rsid w:val="56FBFEA2"/>
    <w:rsid w:val="57AC9A13"/>
    <w:rsid w:val="57BE4C6D"/>
    <w:rsid w:val="57FD6666"/>
    <w:rsid w:val="57FE4A57"/>
    <w:rsid w:val="58DDD060"/>
    <w:rsid w:val="59EFCDF1"/>
    <w:rsid w:val="5AF14726"/>
    <w:rsid w:val="5AFBD644"/>
    <w:rsid w:val="5B675C8F"/>
    <w:rsid w:val="5BBD3425"/>
    <w:rsid w:val="5C677C67"/>
    <w:rsid w:val="5CFD543B"/>
    <w:rsid w:val="5D3B36C1"/>
    <w:rsid w:val="5D3F7F14"/>
    <w:rsid w:val="5D7DDDA0"/>
    <w:rsid w:val="5DBF5405"/>
    <w:rsid w:val="5DFD5B30"/>
    <w:rsid w:val="5ED51686"/>
    <w:rsid w:val="5ED9D744"/>
    <w:rsid w:val="5EEFE433"/>
    <w:rsid w:val="5EF3E230"/>
    <w:rsid w:val="5EFF3C9A"/>
    <w:rsid w:val="5F5F5106"/>
    <w:rsid w:val="5F795178"/>
    <w:rsid w:val="5FBF50CD"/>
    <w:rsid w:val="5FD53BDC"/>
    <w:rsid w:val="5FDBF37B"/>
    <w:rsid w:val="5FDEA817"/>
    <w:rsid w:val="5FEBD306"/>
    <w:rsid w:val="5FFF8B95"/>
    <w:rsid w:val="61F7D135"/>
    <w:rsid w:val="62DF757C"/>
    <w:rsid w:val="634D0426"/>
    <w:rsid w:val="63EF1A3B"/>
    <w:rsid w:val="63FDE6BB"/>
    <w:rsid w:val="63FF3F56"/>
    <w:rsid w:val="657F55B3"/>
    <w:rsid w:val="65AC650C"/>
    <w:rsid w:val="65AFCB8D"/>
    <w:rsid w:val="667F719C"/>
    <w:rsid w:val="67095473"/>
    <w:rsid w:val="67F63EEF"/>
    <w:rsid w:val="67F84A3D"/>
    <w:rsid w:val="67FFA9FE"/>
    <w:rsid w:val="67FFE139"/>
    <w:rsid w:val="69BA9276"/>
    <w:rsid w:val="6AFD6C31"/>
    <w:rsid w:val="6B3B0DAC"/>
    <w:rsid w:val="6B78F8D2"/>
    <w:rsid w:val="6BCE67E3"/>
    <w:rsid w:val="6BFEE399"/>
    <w:rsid w:val="6BFF8E82"/>
    <w:rsid w:val="6BFFEC62"/>
    <w:rsid w:val="6C3C7013"/>
    <w:rsid w:val="6CD960AE"/>
    <w:rsid w:val="6CF608AE"/>
    <w:rsid w:val="6DCF2574"/>
    <w:rsid w:val="6DDDCB0E"/>
    <w:rsid w:val="6DDFE6C3"/>
    <w:rsid w:val="6DFEB31D"/>
    <w:rsid w:val="6DFF2FA0"/>
    <w:rsid w:val="6E77D5E7"/>
    <w:rsid w:val="6EAF2D98"/>
    <w:rsid w:val="6EB52E8E"/>
    <w:rsid w:val="6EB63754"/>
    <w:rsid w:val="6EF702A6"/>
    <w:rsid w:val="6F3FBFAF"/>
    <w:rsid w:val="6F7DE04C"/>
    <w:rsid w:val="6F7FDABB"/>
    <w:rsid w:val="6FAA0F13"/>
    <w:rsid w:val="6FCD77E7"/>
    <w:rsid w:val="6FDF1673"/>
    <w:rsid w:val="6FE50842"/>
    <w:rsid w:val="6FEEE506"/>
    <w:rsid w:val="6FF3D88D"/>
    <w:rsid w:val="71DB9E27"/>
    <w:rsid w:val="71E3E4A3"/>
    <w:rsid w:val="71FE28A2"/>
    <w:rsid w:val="739B2614"/>
    <w:rsid w:val="73DF5DC5"/>
    <w:rsid w:val="73E50DA7"/>
    <w:rsid w:val="73FB28E9"/>
    <w:rsid w:val="73FBB99D"/>
    <w:rsid w:val="73FDB614"/>
    <w:rsid w:val="74BBF0B0"/>
    <w:rsid w:val="755D5608"/>
    <w:rsid w:val="75B700F5"/>
    <w:rsid w:val="75BF04FA"/>
    <w:rsid w:val="75DB4678"/>
    <w:rsid w:val="75E614BC"/>
    <w:rsid w:val="75FCD27B"/>
    <w:rsid w:val="765FCC17"/>
    <w:rsid w:val="76BF72DF"/>
    <w:rsid w:val="76EF6127"/>
    <w:rsid w:val="76FF88BF"/>
    <w:rsid w:val="76FFFAD4"/>
    <w:rsid w:val="771F0BCC"/>
    <w:rsid w:val="778F250C"/>
    <w:rsid w:val="77B47E05"/>
    <w:rsid w:val="77BB3D03"/>
    <w:rsid w:val="77DFD387"/>
    <w:rsid w:val="77EFF15B"/>
    <w:rsid w:val="77F7F8DB"/>
    <w:rsid w:val="77FB11FA"/>
    <w:rsid w:val="77FB3BED"/>
    <w:rsid w:val="77FECF95"/>
    <w:rsid w:val="77FEE4A6"/>
    <w:rsid w:val="77FFDC17"/>
    <w:rsid w:val="77FFFD67"/>
    <w:rsid w:val="78BC3091"/>
    <w:rsid w:val="78E72739"/>
    <w:rsid w:val="78EDB3E9"/>
    <w:rsid w:val="78FF3341"/>
    <w:rsid w:val="79BD1875"/>
    <w:rsid w:val="79D37B83"/>
    <w:rsid w:val="79EFD937"/>
    <w:rsid w:val="7A314800"/>
    <w:rsid w:val="7A59284D"/>
    <w:rsid w:val="7A752C1D"/>
    <w:rsid w:val="7AF1F5D6"/>
    <w:rsid w:val="7AFDAE80"/>
    <w:rsid w:val="7B5DF178"/>
    <w:rsid w:val="7B5F8132"/>
    <w:rsid w:val="7B770805"/>
    <w:rsid w:val="7B794FD6"/>
    <w:rsid w:val="7B7B1D62"/>
    <w:rsid w:val="7B7FB629"/>
    <w:rsid w:val="7BAF4A10"/>
    <w:rsid w:val="7BBD8DEE"/>
    <w:rsid w:val="7BE7407D"/>
    <w:rsid w:val="7BF37912"/>
    <w:rsid w:val="7BF75CA8"/>
    <w:rsid w:val="7BFDADB5"/>
    <w:rsid w:val="7BFFF0A3"/>
    <w:rsid w:val="7CFA1885"/>
    <w:rsid w:val="7CFC9DA4"/>
    <w:rsid w:val="7CFFF1DD"/>
    <w:rsid w:val="7D6E42AD"/>
    <w:rsid w:val="7D7FA351"/>
    <w:rsid w:val="7D8D57A2"/>
    <w:rsid w:val="7D9DF61C"/>
    <w:rsid w:val="7DADCC92"/>
    <w:rsid w:val="7DAF1BB9"/>
    <w:rsid w:val="7DCF4FC8"/>
    <w:rsid w:val="7DDAC670"/>
    <w:rsid w:val="7DDBD3E3"/>
    <w:rsid w:val="7DDFCCCB"/>
    <w:rsid w:val="7DF7137D"/>
    <w:rsid w:val="7DFCA660"/>
    <w:rsid w:val="7E6F9CDD"/>
    <w:rsid w:val="7E871879"/>
    <w:rsid w:val="7EB76187"/>
    <w:rsid w:val="7EBDF9F6"/>
    <w:rsid w:val="7EDF370D"/>
    <w:rsid w:val="7EDF42F7"/>
    <w:rsid w:val="7EE931B3"/>
    <w:rsid w:val="7EFA7345"/>
    <w:rsid w:val="7F36F695"/>
    <w:rsid w:val="7F3E55E5"/>
    <w:rsid w:val="7F593A08"/>
    <w:rsid w:val="7F599CB5"/>
    <w:rsid w:val="7F6C27EF"/>
    <w:rsid w:val="7F6EB1C0"/>
    <w:rsid w:val="7F6EC6D0"/>
    <w:rsid w:val="7F6FC8D1"/>
    <w:rsid w:val="7F771D74"/>
    <w:rsid w:val="7F7FCF86"/>
    <w:rsid w:val="7FA82548"/>
    <w:rsid w:val="7FBBDC7D"/>
    <w:rsid w:val="7FBFB7F7"/>
    <w:rsid w:val="7FBFFE91"/>
    <w:rsid w:val="7FCDCF6C"/>
    <w:rsid w:val="7FCFFC0D"/>
    <w:rsid w:val="7FDEA887"/>
    <w:rsid w:val="7FDF28AB"/>
    <w:rsid w:val="7FEA5F90"/>
    <w:rsid w:val="7FEB65AF"/>
    <w:rsid w:val="7FEBE7E2"/>
    <w:rsid w:val="7FEE60F9"/>
    <w:rsid w:val="7FF25102"/>
    <w:rsid w:val="7FF75D60"/>
    <w:rsid w:val="7FF8CEE3"/>
    <w:rsid w:val="7FF9F542"/>
    <w:rsid w:val="7FFEB122"/>
    <w:rsid w:val="7FFF408F"/>
    <w:rsid w:val="7FFF7D22"/>
    <w:rsid w:val="7FFFD4AA"/>
    <w:rsid w:val="854BB6D8"/>
    <w:rsid w:val="8CEA4FB9"/>
    <w:rsid w:val="8D2EB0CD"/>
    <w:rsid w:val="8F5FA50D"/>
    <w:rsid w:val="8FC4B8B4"/>
    <w:rsid w:val="91F765E9"/>
    <w:rsid w:val="96272F99"/>
    <w:rsid w:val="967CE5DF"/>
    <w:rsid w:val="997F3507"/>
    <w:rsid w:val="9BDF7514"/>
    <w:rsid w:val="9C376146"/>
    <w:rsid w:val="9D3B5E69"/>
    <w:rsid w:val="9D5E2E3F"/>
    <w:rsid w:val="9DBFE761"/>
    <w:rsid w:val="9E4F7C69"/>
    <w:rsid w:val="9EF792BB"/>
    <w:rsid w:val="9F1B6DA0"/>
    <w:rsid w:val="9F7E62AF"/>
    <w:rsid w:val="A5F15D9D"/>
    <w:rsid w:val="A6B9A043"/>
    <w:rsid w:val="A764E04E"/>
    <w:rsid w:val="A7BF2CE4"/>
    <w:rsid w:val="A7FF2629"/>
    <w:rsid w:val="A8FFE608"/>
    <w:rsid w:val="ABFE5022"/>
    <w:rsid w:val="ADB26210"/>
    <w:rsid w:val="ADBB700F"/>
    <w:rsid w:val="AE4DD70E"/>
    <w:rsid w:val="AEEF2171"/>
    <w:rsid w:val="AF1F36F5"/>
    <w:rsid w:val="AF2D13C0"/>
    <w:rsid w:val="AFDF3AA2"/>
    <w:rsid w:val="B2FBD738"/>
    <w:rsid w:val="B3BE165F"/>
    <w:rsid w:val="B3DDBDA1"/>
    <w:rsid w:val="B4F9E24B"/>
    <w:rsid w:val="B5FFE17C"/>
    <w:rsid w:val="B6579117"/>
    <w:rsid w:val="B739CB89"/>
    <w:rsid w:val="B78B8A81"/>
    <w:rsid w:val="B7FC0F51"/>
    <w:rsid w:val="B7FFBD17"/>
    <w:rsid w:val="B83DA4ED"/>
    <w:rsid w:val="BA5DBECB"/>
    <w:rsid w:val="BAF2663A"/>
    <w:rsid w:val="BB2C8A37"/>
    <w:rsid w:val="BBDBCC89"/>
    <w:rsid w:val="BBDE9668"/>
    <w:rsid w:val="BBE370A3"/>
    <w:rsid w:val="BCDB50A7"/>
    <w:rsid w:val="BD1E6CFF"/>
    <w:rsid w:val="BDEF56BF"/>
    <w:rsid w:val="BDFD83B1"/>
    <w:rsid w:val="BDFFB0AA"/>
    <w:rsid w:val="BEC963E9"/>
    <w:rsid w:val="BF4F124D"/>
    <w:rsid w:val="BF56EA04"/>
    <w:rsid w:val="BFBF264C"/>
    <w:rsid w:val="BFBF32D6"/>
    <w:rsid w:val="BFBFD723"/>
    <w:rsid w:val="BFBFE716"/>
    <w:rsid w:val="BFEF670F"/>
    <w:rsid w:val="BFFA5DED"/>
    <w:rsid w:val="C7F52758"/>
    <w:rsid w:val="C7FE237B"/>
    <w:rsid w:val="C9B98A89"/>
    <w:rsid w:val="CBFC888F"/>
    <w:rsid w:val="CDFF0A8F"/>
    <w:rsid w:val="CE7BE7D7"/>
    <w:rsid w:val="CEDB5A69"/>
    <w:rsid w:val="CEDF598E"/>
    <w:rsid w:val="CEF62E9E"/>
    <w:rsid w:val="CEFBCA70"/>
    <w:rsid w:val="CFDF0BBC"/>
    <w:rsid w:val="CFFA5F02"/>
    <w:rsid w:val="CFFFD02A"/>
    <w:rsid w:val="D05EAF46"/>
    <w:rsid w:val="D1BB3686"/>
    <w:rsid w:val="D24EB75B"/>
    <w:rsid w:val="D5D308B7"/>
    <w:rsid w:val="D7DF5D2D"/>
    <w:rsid w:val="D7E20DBE"/>
    <w:rsid w:val="D7E940D4"/>
    <w:rsid w:val="D98ECE37"/>
    <w:rsid w:val="D9BB8DFF"/>
    <w:rsid w:val="D9F7EB7A"/>
    <w:rsid w:val="DADF823A"/>
    <w:rsid w:val="DB232AE8"/>
    <w:rsid w:val="DB7D40E6"/>
    <w:rsid w:val="DB96DFB2"/>
    <w:rsid w:val="DB9CCE2F"/>
    <w:rsid w:val="DBD90307"/>
    <w:rsid w:val="DBDBE3D6"/>
    <w:rsid w:val="DBE50BE6"/>
    <w:rsid w:val="DCD7CFD1"/>
    <w:rsid w:val="DCEF3722"/>
    <w:rsid w:val="DD7D0B65"/>
    <w:rsid w:val="DD7F52FB"/>
    <w:rsid w:val="DDDC5395"/>
    <w:rsid w:val="DDF75ADA"/>
    <w:rsid w:val="DDFF44E3"/>
    <w:rsid w:val="DDFFA08C"/>
    <w:rsid w:val="DDFFD1AA"/>
    <w:rsid w:val="DE9B272D"/>
    <w:rsid w:val="DF2151CD"/>
    <w:rsid w:val="DF7DCCA6"/>
    <w:rsid w:val="DF7F0232"/>
    <w:rsid w:val="DF96466D"/>
    <w:rsid w:val="DF9F7FA7"/>
    <w:rsid w:val="DFBF82AB"/>
    <w:rsid w:val="DFCB8D04"/>
    <w:rsid w:val="DFDBA126"/>
    <w:rsid w:val="DFDF74EA"/>
    <w:rsid w:val="DFF71311"/>
    <w:rsid w:val="DFF78F2D"/>
    <w:rsid w:val="DFFCE144"/>
    <w:rsid w:val="E4B56BF1"/>
    <w:rsid w:val="E53B1357"/>
    <w:rsid w:val="E57FC85B"/>
    <w:rsid w:val="E61EA6F3"/>
    <w:rsid w:val="E76F85EB"/>
    <w:rsid w:val="E77DA93F"/>
    <w:rsid w:val="E7EEA126"/>
    <w:rsid w:val="E7FF2FA8"/>
    <w:rsid w:val="E937BC7F"/>
    <w:rsid w:val="E96B77FD"/>
    <w:rsid w:val="EA6A1614"/>
    <w:rsid w:val="EACD1678"/>
    <w:rsid w:val="EB3675BC"/>
    <w:rsid w:val="EBB636EB"/>
    <w:rsid w:val="EC3E6EF2"/>
    <w:rsid w:val="EEBF5B07"/>
    <w:rsid w:val="EEFB4DAF"/>
    <w:rsid w:val="EEFE2D54"/>
    <w:rsid w:val="EF297AD6"/>
    <w:rsid w:val="EF5F29E6"/>
    <w:rsid w:val="EFBCE9F5"/>
    <w:rsid w:val="EFBF55AA"/>
    <w:rsid w:val="EFBF9C12"/>
    <w:rsid w:val="EFE9A687"/>
    <w:rsid w:val="EFEE30BE"/>
    <w:rsid w:val="EFF77898"/>
    <w:rsid w:val="EFFD04DD"/>
    <w:rsid w:val="EFFD4CD7"/>
    <w:rsid w:val="EFFDC97B"/>
    <w:rsid w:val="EFFF9861"/>
    <w:rsid w:val="EFFFACB5"/>
    <w:rsid w:val="F1EF2739"/>
    <w:rsid w:val="F37F13E7"/>
    <w:rsid w:val="F3B5A744"/>
    <w:rsid w:val="F3BB4214"/>
    <w:rsid w:val="F3BF0BC2"/>
    <w:rsid w:val="F5B1381F"/>
    <w:rsid w:val="F5FFF888"/>
    <w:rsid w:val="F6314068"/>
    <w:rsid w:val="F67FA1D4"/>
    <w:rsid w:val="F6CEDF42"/>
    <w:rsid w:val="F6DA6913"/>
    <w:rsid w:val="F6DE51D5"/>
    <w:rsid w:val="F75F0AFE"/>
    <w:rsid w:val="F779059B"/>
    <w:rsid w:val="F7B623D1"/>
    <w:rsid w:val="F7DFDB2D"/>
    <w:rsid w:val="F7FBA51A"/>
    <w:rsid w:val="F7FCC91A"/>
    <w:rsid w:val="F8A7E0C1"/>
    <w:rsid w:val="F9466E5E"/>
    <w:rsid w:val="F9797F97"/>
    <w:rsid w:val="F9CF02D6"/>
    <w:rsid w:val="F9F791E6"/>
    <w:rsid w:val="F9FF79F6"/>
    <w:rsid w:val="FA778EC7"/>
    <w:rsid w:val="FA8D2347"/>
    <w:rsid w:val="FAB79F7D"/>
    <w:rsid w:val="FABDBA03"/>
    <w:rsid w:val="FB53C237"/>
    <w:rsid w:val="FB563436"/>
    <w:rsid w:val="FB67C569"/>
    <w:rsid w:val="FB6CAF10"/>
    <w:rsid w:val="FB6F6C47"/>
    <w:rsid w:val="FB9DF4FA"/>
    <w:rsid w:val="FBB7A0EE"/>
    <w:rsid w:val="FBDF16B1"/>
    <w:rsid w:val="FBE9B74E"/>
    <w:rsid w:val="FBF741DF"/>
    <w:rsid w:val="FBFBC284"/>
    <w:rsid w:val="FBFEE3D9"/>
    <w:rsid w:val="FBFFB858"/>
    <w:rsid w:val="FC5B5ABF"/>
    <w:rsid w:val="FCFF8E07"/>
    <w:rsid w:val="FD0B9E69"/>
    <w:rsid w:val="FD2D3B2D"/>
    <w:rsid w:val="FD3A4FB5"/>
    <w:rsid w:val="FD3E6D12"/>
    <w:rsid w:val="FD6773F7"/>
    <w:rsid w:val="FDF3AA5F"/>
    <w:rsid w:val="FDF744C2"/>
    <w:rsid w:val="FDF82A2A"/>
    <w:rsid w:val="FDFCDCB2"/>
    <w:rsid w:val="FDFFF6D5"/>
    <w:rsid w:val="FE3F4E81"/>
    <w:rsid w:val="FE7B47B9"/>
    <w:rsid w:val="FEBFE091"/>
    <w:rsid w:val="FEDB81AF"/>
    <w:rsid w:val="FEF47416"/>
    <w:rsid w:val="FEF71B6D"/>
    <w:rsid w:val="FEFE3CAF"/>
    <w:rsid w:val="FEFE4DF9"/>
    <w:rsid w:val="FEFF1A97"/>
    <w:rsid w:val="FF2840F5"/>
    <w:rsid w:val="FF3E5E89"/>
    <w:rsid w:val="FF6B9AF8"/>
    <w:rsid w:val="FF7701D8"/>
    <w:rsid w:val="FF7D0ABA"/>
    <w:rsid w:val="FF7D245D"/>
    <w:rsid w:val="FF9329EA"/>
    <w:rsid w:val="FF9E55D0"/>
    <w:rsid w:val="FFAF3045"/>
    <w:rsid w:val="FFB48B43"/>
    <w:rsid w:val="FFBAEFDE"/>
    <w:rsid w:val="FFBBE94E"/>
    <w:rsid w:val="FFBBEA47"/>
    <w:rsid w:val="FFD746C8"/>
    <w:rsid w:val="FFDBD2AD"/>
    <w:rsid w:val="FFDCE2BE"/>
    <w:rsid w:val="FFDF9863"/>
    <w:rsid w:val="FFEC88E1"/>
    <w:rsid w:val="FFEDB1BB"/>
    <w:rsid w:val="FFF6C427"/>
    <w:rsid w:val="FFF78D73"/>
    <w:rsid w:val="FFFAEBD8"/>
    <w:rsid w:val="FFFB9F22"/>
    <w:rsid w:val="FFFBA2D0"/>
    <w:rsid w:val="FFFF02E2"/>
    <w:rsid w:val="FFFF2C48"/>
    <w:rsid w:val="FFFF636F"/>
    <w:rsid w:val="FFFF736F"/>
    <w:rsid w:val="FFFF8386"/>
    <w:rsid w:val="FFFFBE5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sz w:val="21"/>
      <w:szCs w:val="22"/>
    </w:rPr>
  </w:style>
  <w:style w:type="character" w:default="1" w:styleId="4">
    <w:name w:val="Default Paragraph Font"/>
    <w:semiHidden/>
    <w:qFormat/>
    <w:uiPriority w:val="0"/>
  </w:style>
  <w:style w:type="table" w:default="1" w:styleId="3">
    <w:name w:val="Normal Table"/>
    <w:semiHidden/>
    <w:qFormat/>
    <w:uiPriority w:val="0"/>
    <w:tblPr>
      <w:tblStyle w:val="3"/>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1248</Words>
  <Characters>1268</Characters>
  <Lines>0</Lines>
  <Paragraphs>0</Paragraphs>
  <TotalTime>0</TotalTime>
  <ScaleCrop>false</ScaleCrop>
  <LinksUpToDate>false</LinksUpToDate>
  <CharactersWithSpaces>1268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2025-10-20T14:55:00Z</dcterms:created>
  <dc:creator>yj</dc:creator>
  <cp:lastModifiedBy>卓天网络</cp:lastModifiedBy>
  <dcterms:modified xsi:type="dcterms:W3CDTF">2025-10-21T01:49:17Z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2115F06565134C67845F089D2F51D96D_13</vt:lpwstr>
  </property>
</Properties>
</file>