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40664">
      <w:pPr>
        <w:spacing w:line="58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14:paraId="10F34C31">
      <w:pPr>
        <w:spacing w:line="580" w:lineRule="exact"/>
        <w:jc w:val="center"/>
        <w:rPr>
          <w:rFonts w:ascii="仿宋_GB2312" w:eastAsia="仿宋_GB2312"/>
          <w:bCs/>
          <w:sz w:val="32"/>
          <w:szCs w:val="32"/>
        </w:rPr>
      </w:pPr>
    </w:p>
    <w:p w14:paraId="41F35C8F">
      <w:pPr>
        <w:spacing w:line="580" w:lineRule="exact"/>
        <w:jc w:val="center"/>
        <w:rPr>
          <w:rFonts w:ascii="方正小标宋简体" w:eastAsia="方正小标宋简体"/>
          <w:sz w:val="44"/>
          <w:szCs w:val="44"/>
        </w:rPr>
      </w:pPr>
      <w:r>
        <w:rPr>
          <w:rFonts w:hint="eastAsia" w:ascii="方正小标宋简体" w:hAnsi="方正小标宋简体" w:eastAsia="方正小标宋简体"/>
          <w:sz w:val="44"/>
          <w:szCs w:val="44"/>
        </w:rPr>
        <w:t>第三十二届中国杨凌农业高新科技</w:t>
      </w:r>
      <w:bookmarkStart w:id="0" w:name="_GoBack"/>
      <w:bookmarkEnd w:id="0"/>
    </w:p>
    <w:p w14:paraId="38CD6EB3">
      <w:pPr>
        <w:spacing w:line="580" w:lineRule="exact"/>
        <w:jc w:val="center"/>
        <w:rPr>
          <w:rFonts w:ascii="仿宋_GB2312" w:eastAsia="仿宋_GB2312"/>
          <w:bCs/>
          <w:sz w:val="32"/>
          <w:szCs w:val="32"/>
        </w:rPr>
      </w:pPr>
      <w:r>
        <w:rPr>
          <w:rFonts w:hint="eastAsia" w:ascii="方正小标宋简体" w:hAnsi="方正小标宋简体" w:eastAsia="方正小标宋简体"/>
          <w:sz w:val="44"/>
          <w:szCs w:val="44"/>
        </w:rPr>
        <w:t>成果博览会延安市参展方案</w:t>
      </w:r>
    </w:p>
    <w:p w14:paraId="6AF671E4">
      <w:pPr>
        <w:spacing w:line="580" w:lineRule="exact"/>
        <w:ind w:firstLine="640" w:firstLineChars="200"/>
        <w:rPr>
          <w:rFonts w:ascii="仿宋_GB2312" w:eastAsia="仿宋_GB2312"/>
          <w:bCs/>
          <w:sz w:val="32"/>
          <w:szCs w:val="32"/>
        </w:rPr>
      </w:pPr>
      <w:r>
        <w:rPr>
          <w:rFonts w:hint="eastAsia" w:ascii="仿宋_GB2312" w:eastAsia="仿宋_GB2312"/>
          <w:bCs/>
          <w:sz w:val="32"/>
          <w:szCs w:val="32"/>
        </w:rPr>
        <w:t xml:space="preserve"> </w:t>
      </w:r>
    </w:p>
    <w:p w14:paraId="786C0701">
      <w:pPr>
        <w:autoSpaceDE w:val="0"/>
        <w:spacing w:line="580" w:lineRule="exact"/>
        <w:ind w:firstLine="640" w:firstLineChars="200"/>
        <w:rPr>
          <w:rFonts w:ascii="仿宋_GB2312" w:eastAsia="仿宋_GB2312"/>
          <w:bCs/>
          <w:sz w:val="32"/>
          <w:szCs w:val="32"/>
        </w:rPr>
      </w:pPr>
      <w:r>
        <w:rPr>
          <w:rFonts w:hint="eastAsia" w:ascii="仿宋_GB2312" w:eastAsia="仿宋_GB2312"/>
          <w:bCs/>
          <w:sz w:val="32"/>
          <w:szCs w:val="32"/>
        </w:rPr>
        <w:t>第三十二届中国杨凌农业高新科技成果博览会（以下简称“第三十二届杨凌农高会”）将于10月25日在杨凌农业高新技术产业示范区举办，为切实做好第三十二届农高会我市展团组展布展各项工作，结合我市实际，特制定本方案。</w:t>
      </w:r>
    </w:p>
    <w:p w14:paraId="1C3D447D">
      <w:pPr>
        <w:autoSpaceDE w:val="0"/>
        <w:spacing w:line="580" w:lineRule="exact"/>
        <w:ind w:firstLine="640" w:firstLineChars="200"/>
        <w:rPr>
          <w:rFonts w:ascii="黑体" w:eastAsia="黑体"/>
          <w:bCs/>
          <w:sz w:val="32"/>
          <w:szCs w:val="32"/>
        </w:rPr>
      </w:pPr>
      <w:r>
        <w:rPr>
          <w:rFonts w:hint="eastAsia" w:ascii="黑体" w:hAnsi="黑体" w:eastAsia="黑体"/>
          <w:bCs/>
          <w:sz w:val="32"/>
          <w:szCs w:val="32"/>
        </w:rPr>
        <w:t>一、时间地点</w:t>
      </w:r>
    </w:p>
    <w:p w14:paraId="7D1F5379">
      <w:pPr>
        <w:autoSpaceDE w:val="0"/>
        <w:snapToGrid w:val="0"/>
        <w:spacing w:line="580" w:lineRule="exact"/>
        <w:ind w:firstLine="640" w:firstLineChars="200"/>
        <w:rPr>
          <w:rFonts w:ascii="仿宋_GB2312" w:hAnsi="BatangChe" w:eastAsia="仿宋_GB2312"/>
          <w:sz w:val="32"/>
          <w:szCs w:val="32"/>
        </w:rPr>
      </w:pPr>
      <w:r>
        <w:rPr>
          <w:rFonts w:hint="eastAsia" w:ascii="仿宋_GB2312" w:hAnsi="BatangChe" w:eastAsia="仿宋_GB2312" w:cs="楷体_GB2312"/>
          <w:bCs/>
          <w:sz w:val="32"/>
          <w:szCs w:val="32"/>
        </w:rPr>
        <w:t>2025年10月25日（星期六）-29日（星期三），在</w:t>
      </w:r>
      <w:r>
        <w:rPr>
          <w:rFonts w:hint="eastAsia" w:ascii="仿宋_GB2312" w:hAnsi="BatangChe" w:eastAsia="仿宋_GB2312" w:cs="CESI宋体-GB2312"/>
          <w:bCs/>
          <w:color w:val="000000"/>
          <w:sz w:val="32"/>
          <w:szCs w:val="32"/>
        </w:rPr>
        <w:t>杨凌农业高新技术产业示范区举办。</w:t>
      </w:r>
    </w:p>
    <w:p w14:paraId="7EA351EA">
      <w:pPr>
        <w:autoSpaceDE w:val="0"/>
        <w:spacing w:line="580" w:lineRule="exact"/>
        <w:ind w:firstLine="640" w:firstLineChars="200"/>
        <w:rPr>
          <w:rFonts w:ascii="黑体" w:hAnsi="黑体" w:eastAsia="黑体"/>
          <w:bCs/>
          <w:sz w:val="32"/>
          <w:szCs w:val="32"/>
        </w:rPr>
      </w:pPr>
      <w:r>
        <w:rPr>
          <w:rFonts w:hint="eastAsia" w:ascii="黑体" w:hAnsi="黑体" w:eastAsia="黑体"/>
          <w:bCs/>
          <w:sz w:val="32"/>
          <w:szCs w:val="32"/>
        </w:rPr>
        <w:t>二、会议主题</w:t>
      </w:r>
    </w:p>
    <w:p w14:paraId="5AD91B1F">
      <w:pPr>
        <w:pStyle w:val="3"/>
        <w:autoSpaceDE w:val="0"/>
        <w:snapToGrid w:val="0"/>
        <w:spacing w:after="0" w:line="580" w:lineRule="exact"/>
        <w:ind w:firstLine="640" w:firstLineChars="200"/>
        <w:rPr>
          <w:rFonts w:ascii="仿宋_GB2312" w:hAnsi="BatangChe" w:eastAsia="仿宋_GB2312" w:cs="楷体_GB2312"/>
          <w:bCs/>
          <w:sz w:val="32"/>
          <w:szCs w:val="32"/>
        </w:rPr>
      </w:pPr>
      <w:r>
        <w:rPr>
          <w:rFonts w:hint="eastAsia" w:ascii="仿宋_GB2312" w:hAnsi="BatangChe" w:eastAsia="仿宋_GB2312" w:cs="楷体_GB2312"/>
          <w:bCs/>
          <w:sz w:val="32"/>
          <w:szCs w:val="32"/>
        </w:rPr>
        <w:t>新质生产力·农业新未来</w:t>
      </w:r>
    </w:p>
    <w:p w14:paraId="31A4DC3E">
      <w:pPr>
        <w:autoSpaceDE w:val="0"/>
        <w:snapToGrid w:val="0"/>
        <w:spacing w:line="580" w:lineRule="exact"/>
        <w:ind w:firstLine="640" w:firstLineChars="200"/>
        <w:rPr>
          <w:rFonts w:ascii="黑体" w:hAnsi="黑体" w:eastAsia="黑体"/>
          <w:bCs/>
          <w:sz w:val="32"/>
          <w:szCs w:val="32"/>
        </w:rPr>
      </w:pPr>
      <w:r>
        <w:rPr>
          <w:rFonts w:hint="eastAsia" w:ascii="黑体" w:hAnsi="黑体" w:eastAsia="黑体"/>
          <w:bCs/>
          <w:sz w:val="32"/>
          <w:szCs w:val="32"/>
        </w:rPr>
        <w:t>三、主要活动</w:t>
      </w:r>
    </w:p>
    <w:p w14:paraId="4758822B">
      <w:pPr>
        <w:autoSpaceDE w:val="0"/>
        <w:spacing w:line="580" w:lineRule="exact"/>
        <w:ind w:firstLine="640" w:firstLineChars="200"/>
        <w:rPr>
          <w:rFonts w:ascii="仿宋_GB2312" w:eastAsia="仿宋_GB2312"/>
          <w:bCs/>
          <w:sz w:val="32"/>
          <w:szCs w:val="32"/>
        </w:rPr>
      </w:pPr>
      <w:r>
        <w:rPr>
          <w:rFonts w:hint="eastAsia" w:ascii="仿宋_GB2312" w:eastAsia="仿宋_GB2312"/>
          <w:bCs/>
          <w:sz w:val="32"/>
          <w:szCs w:val="32"/>
        </w:rPr>
        <w:t>根据第三十二届杨凌农高会总体实施方案安排，按照“线下线上融合、馆内馆外结合、国内国外联动”展示模式，我市重点参加室内展、云上展、投资贸易、成果发布等活动。</w:t>
      </w:r>
    </w:p>
    <w:p w14:paraId="218B9BB1">
      <w:pPr>
        <w:autoSpaceDE w:val="0"/>
        <w:spacing w:line="580" w:lineRule="exact"/>
        <w:ind w:firstLine="640" w:firstLineChars="200"/>
        <w:rPr>
          <w:rFonts w:ascii="仿宋_GB2312" w:eastAsia="仿宋_GB2312"/>
          <w:bCs/>
          <w:sz w:val="32"/>
          <w:szCs w:val="32"/>
        </w:rPr>
      </w:pPr>
      <w:r>
        <w:rPr>
          <w:rFonts w:hint="eastAsia" w:ascii="楷体_GB2312" w:eastAsia="楷体_GB2312"/>
          <w:bCs/>
          <w:sz w:val="32"/>
          <w:szCs w:val="32"/>
        </w:rPr>
        <w:t>（一）室内展。</w:t>
      </w:r>
      <w:r>
        <w:rPr>
          <w:rFonts w:hint="eastAsia" w:ascii="仿宋_GB2312" w:eastAsia="仿宋_GB2312"/>
          <w:bCs/>
          <w:sz w:val="32"/>
          <w:szCs w:val="32"/>
        </w:rPr>
        <w:t>展览展示分为室内展和云上展两个部分，开展专业化、场景化、联动化展览展示。室内展展位设立在C馆--特色现代农业展，展位面积180平方米。全面展示我市学习运用“千万工程”经验推进乡村全面振兴，推进农村一二三产业融合发展，加快农业农村现代化建设等方面取得的新成效。</w:t>
      </w:r>
    </w:p>
    <w:p w14:paraId="7051907F">
      <w:pPr>
        <w:autoSpaceDE w:val="0"/>
        <w:spacing w:line="580" w:lineRule="exact"/>
        <w:ind w:firstLine="640" w:firstLineChars="200"/>
        <w:rPr>
          <w:rFonts w:ascii="仿宋_GB2312" w:eastAsia="仿宋_GB2312"/>
          <w:bCs/>
          <w:sz w:val="32"/>
          <w:szCs w:val="32"/>
        </w:rPr>
      </w:pPr>
      <w:r>
        <w:rPr>
          <w:rFonts w:hint="eastAsia" w:ascii="楷体_GB2312" w:eastAsia="楷体_GB2312"/>
          <w:bCs/>
          <w:sz w:val="32"/>
          <w:szCs w:val="32"/>
        </w:rPr>
        <w:t>（二）云上展。</w:t>
      </w:r>
      <w:r>
        <w:rPr>
          <w:rFonts w:hint="eastAsia" w:ascii="仿宋_GB2312" w:eastAsia="仿宋_GB2312"/>
          <w:bCs/>
          <w:sz w:val="32"/>
          <w:szCs w:val="32"/>
        </w:rPr>
        <w:t>依托云上农高会平台，通过“AI、VR、AR”等数字化新技术，全方位、多维度进行线上展示，同时利用抖音、快手等直播平台，通过直播、短视频、带货等场景式数字化传播，进一步提升展示效果。</w:t>
      </w:r>
    </w:p>
    <w:p w14:paraId="377A9F17">
      <w:pPr>
        <w:autoSpaceDE w:val="0"/>
        <w:spacing w:line="580" w:lineRule="exact"/>
        <w:ind w:firstLine="640" w:firstLineChars="200"/>
        <w:rPr>
          <w:rFonts w:ascii="仿宋_GB2312" w:eastAsia="仿宋_GB2312"/>
          <w:bCs/>
          <w:sz w:val="32"/>
          <w:szCs w:val="32"/>
        </w:rPr>
      </w:pPr>
      <w:r>
        <w:rPr>
          <w:rFonts w:hint="eastAsia" w:ascii="楷体_GB2312" w:eastAsia="楷体_GB2312"/>
          <w:bCs/>
          <w:sz w:val="32"/>
          <w:szCs w:val="32"/>
        </w:rPr>
        <w:t>（三）投资贸易。</w:t>
      </w:r>
      <w:r>
        <w:rPr>
          <w:rFonts w:hint="eastAsia" w:ascii="仿宋_GB2312" w:eastAsia="仿宋_GB2312"/>
          <w:bCs/>
          <w:sz w:val="32"/>
          <w:szCs w:val="32"/>
        </w:rPr>
        <w:t>以推介苹果及特色食品产业链为主要内容，扎实开展精准务实的招商洽谈和交流合作活动。一是开展招商引资活动，征集各县（市、区）现代农业产业链建设、重点项目、龙头企业、名优特农产品等，编印《延安农业投资机会清单》；二是举办重点项目专场推介签约活动，对达成意向或合同的重大项目进行集中签约；三是参加洽谈签约活动，筛选影响力大、带动力强的签约项目，参加由杨凌农高会筹委会主办的杨凌农高会推介暨洽谈签约系列活动。</w:t>
      </w:r>
    </w:p>
    <w:p w14:paraId="358D2CE6">
      <w:pPr>
        <w:autoSpaceDE w:val="0"/>
        <w:spacing w:line="580" w:lineRule="exact"/>
        <w:ind w:firstLine="640" w:firstLineChars="200"/>
        <w:rPr>
          <w:rFonts w:ascii="仿宋_GB2312" w:eastAsia="仿宋_GB2312"/>
          <w:bCs/>
          <w:sz w:val="32"/>
          <w:szCs w:val="32"/>
        </w:rPr>
      </w:pPr>
      <w:r>
        <w:rPr>
          <w:rFonts w:hint="eastAsia" w:ascii="楷体_GB2312" w:eastAsia="楷体_GB2312"/>
          <w:bCs/>
          <w:sz w:val="32"/>
          <w:szCs w:val="32"/>
        </w:rPr>
        <w:t>（四）成果发布。</w:t>
      </w:r>
      <w:r>
        <w:rPr>
          <w:rFonts w:hint="eastAsia" w:ascii="仿宋_GB2312" w:eastAsia="仿宋_GB2312"/>
          <w:bCs/>
          <w:sz w:val="32"/>
          <w:szCs w:val="32"/>
        </w:rPr>
        <w:t>以农业高新技术成果、高新技术产品和名优新特农副产品为重点，积极动员全市科研院所、涉农企业和农民群众参加“后稷奖”和“后稷特别奖”征集评选活动，通过成果发布，加快农业科技信息化成果转化进程。</w:t>
      </w:r>
    </w:p>
    <w:p w14:paraId="5113FB73">
      <w:pPr>
        <w:autoSpaceDE w:val="0"/>
        <w:spacing w:line="580" w:lineRule="exact"/>
        <w:ind w:firstLine="640" w:firstLineChars="200"/>
        <w:rPr>
          <w:rFonts w:ascii="仿宋_GB2312" w:eastAsia="仿宋_GB2312"/>
          <w:bCs/>
          <w:sz w:val="32"/>
          <w:szCs w:val="32"/>
        </w:rPr>
      </w:pPr>
      <w:r>
        <w:rPr>
          <w:rFonts w:hint="eastAsia" w:ascii="楷体_GB2312" w:eastAsia="楷体_GB2312"/>
          <w:bCs/>
          <w:sz w:val="32"/>
          <w:szCs w:val="32"/>
        </w:rPr>
        <w:t>（五）其他活动。</w:t>
      </w:r>
      <w:r>
        <w:rPr>
          <w:rFonts w:hint="eastAsia" w:ascii="仿宋_GB2312" w:eastAsia="仿宋_GB2312"/>
          <w:bCs/>
          <w:sz w:val="32"/>
          <w:szCs w:val="32"/>
        </w:rPr>
        <w:t>动员组织全市涉农企业、科研机构、龙头企业、电商企业、创新创业团队等有关方面积极参展参会，组织农业科技人员及农民群众赴会考察学习，积极参加大会组委会举办的各种论坛、培训等活动，学习了解先进的生产技术、管理经验、创新思维和现代理念，推动我市现代农业发展。</w:t>
      </w:r>
    </w:p>
    <w:p w14:paraId="7D02DA26">
      <w:pPr>
        <w:autoSpaceDE w:val="0"/>
        <w:spacing w:line="580" w:lineRule="exact"/>
        <w:ind w:firstLine="640" w:firstLineChars="200"/>
        <w:rPr>
          <w:rFonts w:ascii="黑体" w:eastAsia="黑体"/>
          <w:bCs/>
          <w:sz w:val="32"/>
          <w:szCs w:val="32"/>
        </w:rPr>
      </w:pPr>
      <w:r>
        <w:rPr>
          <w:rFonts w:hint="eastAsia" w:ascii="黑体" w:hAnsi="黑体" w:eastAsia="黑体"/>
          <w:bCs/>
          <w:sz w:val="32"/>
          <w:szCs w:val="32"/>
        </w:rPr>
        <w:t>四、时间安排</w:t>
      </w:r>
    </w:p>
    <w:p w14:paraId="519DF602">
      <w:pPr>
        <w:autoSpaceDE w:val="0"/>
        <w:spacing w:line="580" w:lineRule="exact"/>
        <w:ind w:firstLine="640" w:firstLineChars="200"/>
        <w:rPr>
          <w:rFonts w:ascii="仿宋_GB2312" w:eastAsia="仿宋_GB2312"/>
          <w:bCs/>
          <w:sz w:val="32"/>
          <w:szCs w:val="32"/>
        </w:rPr>
      </w:pPr>
      <w:r>
        <w:rPr>
          <w:rFonts w:hint="eastAsia" w:ascii="仿宋_GB2312" w:eastAsia="仿宋_GB2312"/>
          <w:bCs/>
          <w:sz w:val="32"/>
          <w:szCs w:val="32"/>
        </w:rPr>
        <w:t>第三十二届杨凌农高会筹展工作从即日起启动，分三个阶段安排。</w:t>
      </w:r>
    </w:p>
    <w:p w14:paraId="62D228A3">
      <w:pPr>
        <w:autoSpaceDE w:val="0"/>
        <w:spacing w:line="580" w:lineRule="exact"/>
        <w:ind w:firstLine="640" w:firstLineChars="200"/>
        <w:rPr>
          <w:rFonts w:ascii="仿宋_GB2312" w:eastAsia="仿宋_GB2312"/>
          <w:bCs/>
          <w:sz w:val="32"/>
          <w:szCs w:val="32"/>
        </w:rPr>
      </w:pPr>
      <w:r>
        <w:rPr>
          <w:rFonts w:hint="eastAsia" w:ascii="楷体_GB2312" w:eastAsia="楷体_GB2312"/>
          <w:bCs/>
          <w:sz w:val="32"/>
          <w:szCs w:val="32"/>
        </w:rPr>
        <w:t>（一）前期备展（10月15日前）。</w:t>
      </w:r>
      <w:r>
        <w:rPr>
          <w:rFonts w:hint="eastAsia" w:ascii="仿宋_GB2312" w:eastAsia="仿宋_GB2312"/>
          <w:bCs/>
          <w:sz w:val="32"/>
          <w:szCs w:val="32"/>
        </w:rPr>
        <w:t>组织各县（市、区）展团申报第三十二届农高会参展单位、展品、招商引资、签约项目及《会刊》资料；编印《延安农业投资机会清单》；完成展位特装设计方案征集、筛选及确定工作；组织申报“后稷奖”、“后稷特别奖”，申办参展证、嘉宾证、车辆通行证等。</w:t>
      </w:r>
    </w:p>
    <w:p w14:paraId="0E0722C6">
      <w:pPr>
        <w:autoSpaceDE w:val="0"/>
        <w:spacing w:line="580" w:lineRule="exact"/>
        <w:ind w:firstLine="640" w:firstLineChars="200"/>
        <w:rPr>
          <w:rFonts w:ascii="仿宋_GB2312" w:eastAsia="仿宋_GB2312"/>
          <w:bCs/>
          <w:sz w:val="32"/>
          <w:szCs w:val="32"/>
        </w:rPr>
      </w:pPr>
      <w:r>
        <w:rPr>
          <w:rFonts w:hint="eastAsia" w:ascii="楷体_GB2312" w:eastAsia="楷体_GB2312"/>
          <w:bCs/>
          <w:sz w:val="32"/>
          <w:szCs w:val="32"/>
        </w:rPr>
        <w:t>（二）展位特装（10月18日至23日）。</w:t>
      </w:r>
      <w:r>
        <w:rPr>
          <w:rFonts w:hint="eastAsia" w:ascii="仿宋_GB2312" w:eastAsia="仿宋_GB2312"/>
          <w:bCs/>
          <w:sz w:val="32"/>
          <w:szCs w:val="32"/>
        </w:rPr>
        <w:t>组织施工单位对展位进行特装施工。</w:t>
      </w:r>
    </w:p>
    <w:p w14:paraId="03C43AB7">
      <w:pPr>
        <w:autoSpaceDE w:val="0"/>
        <w:spacing w:line="580" w:lineRule="exact"/>
        <w:ind w:firstLine="640" w:firstLineChars="200"/>
        <w:rPr>
          <w:rFonts w:ascii="仿宋_GB2312" w:eastAsia="仿宋_GB2312"/>
          <w:bCs/>
          <w:sz w:val="32"/>
          <w:szCs w:val="32"/>
        </w:rPr>
      </w:pPr>
      <w:r>
        <w:rPr>
          <w:rFonts w:hint="eastAsia" w:ascii="楷体_GB2312" w:eastAsia="楷体_GB2312"/>
          <w:bCs/>
          <w:sz w:val="32"/>
          <w:szCs w:val="32"/>
        </w:rPr>
        <w:t>（三）展览展示</w:t>
      </w:r>
      <w:r>
        <w:rPr>
          <w:rFonts w:hint="eastAsia" w:ascii="仿宋_GB2312" w:eastAsia="仿宋_GB2312"/>
          <w:bCs/>
          <w:sz w:val="32"/>
          <w:szCs w:val="32"/>
        </w:rPr>
        <w:t>（10月24日至29日）。各县（市、区）展团10月23日在杨凌报到，10月24日上午布展，下午16时预展，29日撤展。</w:t>
      </w:r>
    </w:p>
    <w:p w14:paraId="35561BAD">
      <w:pPr>
        <w:autoSpaceDE w:val="0"/>
        <w:spacing w:line="580" w:lineRule="exact"/>
        <w:ind w:firstLine="640" w:firstLineChars="200"/>
        <w:rPr>
          <w:rFonts w:ascii="黑体" w:eastAsia="黑体"/>
          <w:bCs/>
          <w:sz w:val="32"/>
          <w:szCs w:val="32"/>
        </w:rPr>
      </w:pPr>
      <w:r>
        <w:rPr>
          <w:rFonts w:hint="eastAsia" w:ascii="黑体" w:hAnsi="黑体" w:eastAsia="黑体"/>
          <w:bCs/>
          <w:sz w:val="32"/>
          <w:szCs w:val="32"/>
        </w:rPr>
        <w:t>五、组织机构</w:t>
      </w:r>
    </w:p>
    <w:p w14:paraId="46DB171E">
      <w:pPr>
        <w:autoSpaceDE w:val="0"/>
        <w:spacing w:line="580" w:lineRule="exact"/>
        <w:ind w:firstLine="640" w:firstLineChars="200"/>
        <w:rPr>
          <w:rFonts w:ascii="仿宋_GB2312" w:eastAsia="仿宋_GB2312"/>
          <w:bCs/>
          <w:sz w:val="32"/>
          <w:szCs w:val="32"/>
        </w:rPr>
      </w:pPr>
      <w:r>
        <w:rPr>
          <w:rFonts w:hint="eastAsia" w:ascii="仿宋_GB2312" w:eastAsia="仿宋_GB2312"/>
          <w:bCs/>
          <w:sz w:val="32"/>
          <w:szCs w:val="32"/>
        </w:rPr>
        <w:t>成立第三十二届杨凌农高会延安市展团，张世保副市长担任团长，成员由市农业农村局、财政局、科技局、经济合作局、供销合作社、延安苹果研究院、融媒体中心、</w:t>
      </w:r>
      <w:r>
        <w:rPr>
          <w:rFonts w:hint="eastAsia" w:ascii="仿宋_GB2312" w:eastAsia="仿宋_GB2312"/>
          <w:sz w:val="32"/>
          <w:szCs w:val="32"/>
        </w:rPr>
        <w:t>延安农业投资建设(集团)有限公司</w:t>
      </w:r>
      <w:r>
        <w:rPr>
          <w:rFonts w:hint="eastAsia" w:ascii="仿宋_GB2312" w:eastAsia="仿宋_GB2312"/>
          <w:bCs/>
          <w:sz w:val="32"/>
          <w:szCs w:val="32"/>
        </w:rPr>
        <w:t>主要负责同志及各县（市、区）政府分管负责同志组成。展团下设筹展办公室，由市农业农村局局长张东峰任办公室主任，副局长宋李平担任办公室副主任，负责组织协调筹展参展工作。各县（市、区）要成立相应的机构，制定工作方案，认真组织筹展参展工作，具体工作统一由县（市、区）农业农村局牵头实施。</w:t>
      </w:r>
    </w:p>
    <w:p w14:paraId="3EB8F22C">
      <w:pPr>
        <w:autoSpaceDE w:val="0"/>
        <w:spacing w:line="580" w:lineRule="exact"/>
        <w:ind w:firstLine="640" w:firstLineChars="200"/>
        <w:rPr>
          <w:rFonts w:ascii="黑体" w:eastAsia="黑体"/>
          <w:bCs/>
          <w:sz w:val="32"/>
          <w:szCs w:val="32"/>
        </w:rPr>
      </w:pPr>
      <w:r>
        <w:rPr>
          <w:rFonts w:hint="eastAsia" w:ascii="黑体" w:hAnsi="黑体" w:eastAsia="黑体"/>
          <w:bCs/>
          <w:sz w:val="32"/>
          <w:szCs w:val="32"/>
        </w:rPr>
        <w:t>六、有关要求</w:t>
      </w:r>
    </w:p>
    <w:p w14:paraId="7FAE5D83">
      <w:pPr>
        <w:autoSpaceDE w:val="0"/>
        <w:spacing w:line="580" w:lineRule="exact"/>
        <w:ind w:firstLine="640" w:firstLineChars="200"/>
        <w:rPr>
          <w:rFonts w:ascii="仿宋_GB2312" w:eastAsia="仿宋_GB2312"/>
          <w:bCs/>
          <w:sz w:val="32"/>
          <w:szCs w:val="32"/>
        </w:rPr>
      </w:pPr>
      <w:r>
        <w:rPr>
          <w:rFonts w:hint="eastAsia" w:ascii="楷体_GB2312" w:eastAsia="楷体_GB2312"/>
          <w:bCs/>
          <w:sz w:val="32"/>
          <w:szCs w:val="32"/>
        </w:rPr>
        <w:t>（一）高度重视，提高认识。</w:t>
      </w:r>
      <w:r>
        <w:rPr>
          <w:rFonts w:hint="eastAsia" w:ascii="仿宋_GB2312" w:eastAsia="仿宋_GB2312"/>
          <w:bCs/>
          <w:sz w:val="32"/>
          <w:szCs w:val="32"/>
        </w:rPr>
        <w:t>各县（市、区）要高度重视，切实加强领导，制定工作方案，做好筹展、参展、参会工作。各县（市、区）主要负责同志要牵头负责，分管负责同志要带队组团参加，并确定专门的办事机构和办事人员，认真做好组展布展、项目准备、招商推介、邀请客商等工作，会前联系对接，会期交流洽谈，会后跟踪落实，确保参展参会取得实效。市农业农村局要加强与农高会各工作机构的联系，注意上下衔接和协调配合，确保筹备、参展、参会工作顺利进行。我市代表团展位由市农业农村局统一设计、装潢、布置和分配，各县（市、区）不再单独申请。参展经费按照分级负责的原则，展位租赁及设计、搭建费由市财政拨付，参会经费、展销产品的征集和运输费用由各县（市、区）承担。各县（市、区）政府须落实专项经费，确保参展工作顺利进行。</w:t>
      </w:r>
    </w:p>
    <w:p w14:paraId="02E17B62">
      <w:pPr>
        <w:autoSpaceDE w:val="0"/>
        <w:spacing w:line="580" w:lineRule="exact"/>
        <w:ind w:firstLine="640" w:firstLineChars="200"/>
        <w:rPr>
          <w:rFonts w:ascii="仿宋_GB2312" w:eastAsia="仿宋_GB2312"/>
          <w:bCs/>
          <w:sz w:val="32"/>
          <w:szCs w:val="32"/>
        </w:rPr>
      </w:pPr>
      <w:r>
        <w:rPr>
          <w:rFonts w:hint="eastAsia" w:ascii="楷体_GB2312" w:eastAsia="楷体_GB2312"/>
          <w:bCs/>
          <w:sz w:val="32"/>
          <w:szCs w:val="32"/>
        </w:rPr>
        <w:t>（二）精心谋划，积极筹备。</w:t>
      </w:r>
      <w:r>
        <w:rPr>
          <w:rFonts w:hint="eastAsia" w:ascii="仿宋_GB2312" w:eastAsia="仿宋_GB2312"/>
          <w:bCs/>
          <w:sz w:val="32"/>
          <w:szCs w:val="32"/>
        </w:rPr>
        <w:t>各县（市、区）要紧紧围绕苹果及特色食品产业链和农业招商领域，精心做好重点招商引资和签约项目的筛选、准备、推介和前期洽谈工作，推出一批对农业产业开发和乡村振兴具有示范、引领和带动作用的大项目、新项目，项目推介企业要安排熟悉项目情况的人员参会，做好会期项目洽谈和技术合作的各项工作。要加强展区组展布展工作，严格遴选各大产业链链主企业、品牌农业企业参展，优先支持省级以上龙头企业、农民合作社示范社、示范家庭农场参展。参展产品须是获得“两品一标”，或者通过HACCP、GAP等国际体系认证，展出的蔬菜(含人工种植的食用菌)、水果、畜禽、禽蛋、养殖水产品需加贴承诺达标合格证。严禁展示和销售“三无”产品、仿冒他人商标、国家明令禁止、危害人体健康等不安全产品。</w:t>
      </w:r>
    </w:p>
    <w:p w14:paraId="30774B38">
      <w:pPr>
        <w:autoSpaceDE w:val="0"/>
        <w:spacing w:line="580" w:lineRule="exact"/>
        <w:ind w:firstLine="640" w:firstLineChars="200"/>
        <w:rPr>
          <w:rFonts w:ascii="仿宋_GB2312" w:eastAsia="仿宋_GB2312"/>
          <w:bCs/>
          <w:sz w:val="32"/>
          <w:szCs w:val="32"/>
        </w:rPr>
      </w:pPr>
      <w:r>
        <w:rPr>
          <w:rFonts w:hint="eastAsia" w:ascii="楷体_GB2312" w:eastAsia="楷体_GB2312"/>
          <w:bCs/>
          <w:sz w:val="32"/>
          <w:szCs w:val="32"/>
        </w:rPr>
        <w:t>（三）突出重点，搞好宣传。</w:t>
      </w:r>
      <w:r>
        <w:rPr>
          <w:rFonts w:hint="eastAsia" w:ascii="仿宋_GB2312" w:eastAsia="仿宋_GB2312"/>
          <w:bCs/>
          <w:sz w:val="32"/>
          <w:szCs w:val="32"/>
        </w:rPr>
        <w:t>各县（市、区）和市融媒体中心要通过广播、电视、报刊、网络等新闻媒体大力宣传报道，会议期间集中、全面、详细报道参会情况，会后要宣传参会取得的成效，在招商引资、技术合作及新技术、新成果的引进、示范等方面进行跟踪宣传报道。</w:t>
      </w:r>
    </w:p>
    <w:p w14:paraId="5F991083">
      <w:pPr>
        <w:spacing w:line="580" w:lineRule="exact"/>
        <w:ind w:firstLine="640" w:firstLineChars="200"/>
        <w:rPr>
          <w:rFonts w:ascii="仿宋_GB2312" w:eastAsia="仿宋_GB2312"/>
          <w:bCs/>
          <w:sz w:val="32"/>
          <w:szCs w:val="32"/>
        </w:rPr>
      </w:pPr>
      <w:r>
        <w:rPr>
          <w:rFonts w:hint="eastAsia" w:ascii="仿宋_GB2312" w:eastAsia="仿宋_GB2312"/>
          <w:bCs/>
          <w:sz w:val="32"/>
          <w:szCs w:val="32"/>
        </w:rPr>
        <w:t xml:space="preserve"> </w:t>
      </w:r>
    </w:p>
    <w:p w14:paraId="29195675">
      <w:pPr>
        <w:spacing w:line="580" w:lineRule="exact"/>
        <w:ind w:firstLine="640" w:firstLineChars="200"/>
        <w:jc w:val="left"/>
      </w:pPr>
      <w:r>
        <w:rPr>
          <w:rFonts w:hint="eastAsia" w:ascii="仿宋_GB2312" w:eastAsia="仿宋_GB2312"/>
          <w:bCs/>
          <w:sz w:val="32"/>
          <w:szCs w:val="32"/>
        </w:rPr>
        <w:t>（联系人：黄  亮    联系电话：13992161717）</w:t>
      </w:r>
    </w:p>
    <w:p w14:paraId="266B62FB">
      <w:pPr>
        <w:spacing w:line="580" w:lineRule="exact"/>
        <w:jc w:val="center"/>
      </w:pPr>
    </w:p>
    <w:p w14:paraId="20ECAE47">
      <w:pPr>
        <w:spacing w:line="580" w:lineRule="exact"/>
        <w:jc w:val="center"/>
      </w:pPr>
    </w:p>
    <w:p w14:paraId="7B9CA5C1"/>
    <w:sectPr>
      <w:footerReference r:id="rId3" w:type="default"/>
      <w:footerReference r:id="rId4" w:type="even"/>
      <w:pgSz w:w="11906" w:h="16838"/>
      <w:pgMar w:top="1984" w:right="1474" w:bottom="1417" w:left="1588" w:header="1985"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楷体_GB2312">
    <w:panose1 w:val="02010609030101010101"/>
    <w:charset w:val="86"/>
    <w:family w:val="modern"/>
    <w:pitch w:val="default"/>
    <w:sig w:usb0="00000001" w:usb1="080E0000" w:usb2="00000000" w:usb3="00000000" w:csb0="00040000" w:csb1="00000000"/>
  </w:font>
  <w:font w:name="CESI宋体-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202973479"/>
      <w:docPartObj>
        <w:docPartGallery w:val="autotext"/>
      </w:docPartObj>
    </w:sdtPr>
    <w:sdtEndPr>
      <w:rPr>
        <w:rFonts w:hint="eastAsia" w:ascii="宋体" w:hAnsi="宋体"/>
        <w:sz w:val="28"/>
        <w:szCs w:val="28"/>
      </w:rPr>
    </w:sdtEndPr>
    <w:sdtContent>
      <w:p w14:paraId="2DD044F9">
        <w:pPr>
          <w:pStyle w:val="4"/>
          <w:ind w:firstLine="7560" w:firstLineChars="2700"/>
          <w:rPr>
            <w:rFonts w:ascii="宋体" w:hAnsi="宋体"/>
            <w:sz w:val="28"/>
            <w:szCs w:val="28"/>
          </w:rPr>
        </w:pPr>
        <w:r>
          <w:rPr>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 PAGE </w:instrText>
        </w:r>
        <w:r>
          <w:rPr>
            <w:rStyle w:val="7"/>
            <w:rFonts w:ascii="宋体" w:hAnsi="宋体"/>
            <w:sz w:val="28"/>
            <w:szCs w:val="28"/>
          </w:rPr>
          <w:fldChar w:fldCharType="separate"/>
        </w:r>
        <w:r>
          <w:rPr>
            <w:rStyle w:val="7"/>
            <w:rFonts w:ascii="宋体" w:hAnsi="宋体"/>
            <w:sz w:val="28"/>
            <w:szCs w:val="28"/>
          </w:rPr>
          <w:t>5</w:t>
        </w:r>
        <w:r>
          <w:rPr>
            <w:rStyle w:val="7"/>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200216816"/>
      <w:docPartObj>
        <w:docPartGallery w:val="autotext"/>
      </w:docPartObj>
    </w:sdtPr>
    <w:sdtEndPr>
      <w:rPr>
        <w:rFonts w:hint="eastAsia" w:ascii="宋体" w:hAnsi="宋体"/>
        <w:sz w:val="28"/>
        <w:szCs w:val="28"/>
      </w:rPr>
    </w:sdtEndPr>
    <w:sdtContent>
      <w:p w14:paraId="48D05987">
        <w:pPr>
          <w:pStyle w:val="4"/>
          <w:ind w:firstLine="280" w:firstLineChars="100"/>
          <w:rPr>
            <w:rFonts w:ascii="宋体" w:hAnsi="宋体"/>
            <w:sz w:val="28"/>
            <w:szCs w:val="28"/>
          </w:rPr>
        </w:pPr>
        <w:r>
          <w:rPr>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 PAGE </w:instrText>
        </w:r>
        <w:r>
          <w:rPr>
            <w:rStyle w:val="7"/>
            <w:rFonts w:ascii="宋体" w:hAnsi="宋体"/>
            <w:sz w:val="28"/>
            <w:szCs w:val="28"/>
          </w:rPr>
          <w:fldChar w:fldCharType="separate"/>
        </w:r>
        <w:r>
          <w:rPr>
            <w:rStyle w:val="7"/>
            <w:rFonts w:ascii="宋体" w:hAnsi="宋体"/>
            <w:sz w:val="28"/>
            <w:szCs w:val="28"/>
          </w:rPr>
          <w:t>6</w:t>
        </w:r>
        <w:r>
          <w:rPr>
            <w:rStyle w:val="7"/>
            <w:rFonts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E016D"/>
    <w:rsid w:val="196E016D"/>
    <w:rsid w:val="59A96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3"/>
    <w:basedOn w:val="1"/>
    <w:unhideWhenUsed/>
    <w:qFormat/>
    <w:uiPriority w:val="99"/>
    <w:pPr>
      <w:suppressAutoHyphens w:val="0"/>
      <w:spacing w:after="120"/>
    </w:pPr>
    <w:rPr>
      <w:sz w:val="16"/>
      <w:szCs w:val="16"/>
    </w:rPr>
  </w:style>
  <w:style w:type="paragraph" w:styleId="3">
    <w:name w:val="Body Text"/>
    <w:basedOn w:val="1"/>
    <w:semiHidden/>
    <w:unhideWhenUsed/>
    <w:qFormat/>
    <w:uiPriority w:val="99"/>
    <w:pPr>
      <w:spacing w:after="120"/>
    </w:pPr>
  </w:style>
  <w:style w:type="paragraph" w:styleId="4">
    <w:name w:val="footer"/>
    <w:basedOn w:val="1"/>
    <w:unhideWhenUsed/>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2025-10-14T07:55:00Z</dcterms:created>
  <dc:creator>Administrator</dc:creator>
  <cp:lastModifiedBy>Administrator</cp:lastModifiedBy>
  <dcterms:modified xsi:type="dcterms:W3CDTF">2025-10-14T07:56:05Z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B3D1902DE9184A8780619C5BCD6AA235_11</vt:lpwstr>
  </property>
  <property fmtid="{D5CDD505-2E9C-101B-9397-08002B2CF9AE}" pid="4" name="KSOTemplateDocerSaveRecord">
    <vt:lpwstr>eyJoZGlkIjoiMTJkY2MzMmU1ZGU5OGRhOGUzNmZmZTZkMDUwNTg4ZmQifQ==</vt:lpwstr>
  </property>
</Properties>
</file>