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vertAlign w:val="baseline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lang w:val="en-US" w:eastAsia="zh-CN"/>
        </w:rPr>
        <w:t>年进口贴息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44"/>
          <w:szCs w:val="44"/>
          <w:u w:val="none"/>
          <w:lang w:val="en-US" w:eastAsia="zh-CN"/>
        </w:rPr>
        <w:t>项目绩效目标申报表</w:t>
      </w:r>
      <w:bookmarkEnd w:id="0"/>
    </w:p>
    <w:tbl>
      <w:tblPr>
        <w:tblStyle w:val="6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67"/>
        <w:gridCol w:w="2250"/>
        <w:gridCol w:w="2717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5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外经贸发展专项资金－－进口贴息事项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中央主管部门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商务部</w:t>
            </w:r>
          </w:p>
        </w:tc>
        <w:tc>
          <w:tcPr>
            <w:tcW w:w="2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省级财政部门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省级主管部门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具体实施单位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资金情况（万元）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年度资金总额：</w:t>
            </w:r>
          </w:p>
        </w:tc>
        <w:tc>
          <w:tcPr>
            <w:tcW w:w="410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其中：中央财政拨款</w:t>
            </w:r>
          </w:p>
        </w:tc>
        <w:tc>
          <w:tcPr>
            <w:tcW w:w="410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9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其他资金</w:t>
            </w:r>
          </w:p>
        </w:tc>
        <w:tc>
          <w:tcPr>
            <w:tcW w:w="410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782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目标１：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目标２：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2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带动设备、技术、零部件进口金额（万美元）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2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进口设备、技术、零部件的条目数量（条）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2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预算执行率（％）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社会效益</w:t>
            </w:r>
          </w:p>
        </w:tc>
        <w:tc>
          <w:tcPr>
            <w:tcW w:w="2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进口设备、零部件后生产的最终产品质量提升</w:t>
            </w:r>
            <w:r>
              <w:rPr>
                <w:rFonts w:hint="default" w:ascii="Arial" w:hAnsi="Arial" w:eastAsia="CESI仿宋-GB2312" w:cs="Arial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＊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社会效益</w:t>
            </w:r>
          </w:p>
        </w:tc>
        <w:tc>
          <w:tcPr>
            <w:tcW w:w="2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进口技术后提升现有技术水平</w:t>
            </w:r>
            <w:r>
              <w:rPr>
                <w:rFonts w:hint="default" w:ascii="Arial" w:hAnsi="Arial" w:eastAsia="CESI仿宋-GB2312" w:cs="Arial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＊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可持续影响指标</w:t>
            </w:r>
          </w:p>
        </w:tc>
        <w:tc>
          <w:tcPr>
            <w:tcW w:w="2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对国内产业链供应链稳定性的影响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　　备注：１.预算执行率是指已使用的中央财政资金占中央财政下达金额的比例。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　　　　　２.加“</w:t>
      </w:r>
      <w:r>
        <w:rPr>
          <w:rFonts w:hint="default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＊</w:t>
      </w:r>
      <w:r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”三级指标指标为选填指标，各单位至少需选填１项指标。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1100" w:firstLineChars="500"/>
        <w:jc w:val="left"/>
        <w:textAlignment w:val="auto"/>
        <w:outlineLvl w:val="9"/>
        <w:rPr>
          <w:rFonts w:hint="default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7" w:right="1587" w:bottom="1417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AndChars" w:linePitch="285" w:charSpace="-4132"/>
        </w:sectPr>
      </w:pPr>
      <w:r>
        <w:rPr>
          <w:rFonts w:hint="eastAsia" w:ascii="CESI仿宋-GB2312" w:hAnsi="CESI仿宋-GB2312" w:eastAsia="CESI仿宋-GB2312" w:cs="CESI仿宋-GB2312"/>
          <w:b w:val="0"/>
          <w:bCs/>
          <w:i w:val="0"/>
          <w:snapToGrid/>
          <w:color w:val="000000"/>
          <w:sz w:val="24"/>
          <w:szCs w:val="24"/>
          <w:u w:val="none"/>
          <w:vertAlign w:val="baseline"/>
          <w:lang w:val="en-US" w:eastAsia="zh-CN"/>
        </w:rPr>
        <w:t>3.其他资金是指企业自身投入进口先进设备、技术、关健零部件的金额。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370B2"/>
    <w:rsid w:val="7213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2023-07-31T02:18:00Z</dcterms:created>
  <dc:creator>杨晨</dc:creator>
  <cp:lastModifiedBy>杨晨</cp:lastModifiedBy>
  <dcterms:modified xsi:type="dcterms:W3CDTF">2023-07-31T02:19:13Z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