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5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0"/>
          <w:szCs w:val="40"/>
          <w:lang w:eastAsia="zh-CN"/>
        </w:rPr>
        <w:t>关于修改《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0"/>
          <w:szCs w:val="40"/>
          <w:lang w:val="en-US" w:eastAsia="zh-CN"/>
        </w:rPr>
        <w:t>报废机动车回收管理办法实施细则》的决定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0"/>
          <w:szCs w:val="40"/>
          <w:lang w:val="en-US" w:eastAsia="zh-CN"/>
        </w:rPr>
        <w:t>（征求意见稿）</w:t>
      </w:r>
    </w:p>
    <w:p w14:paraId="2DD21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 w:firstLine="80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pacing w:val="0"/>
          <w:kern w:val="0"/>
          <w:sz w:val="40"/>
          <w:szCs w:val="40"/>
          <w:lang w:eastAsia="en-US"/>
        </w:rPr>
      </w:pPr>
    </w:p>
    <w:p w14:paraId="45D73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为规范报废机动车回收拆解活动，加强报废机动车回收管理，商务部、国家发展改革委、工业和信息化部、公安部、生态环境部、交通运输部、市场监管总局决定对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报废机动车回收管理办法实施细则》作如下修改：</w:t>
      </w:r>
    </w:p>
    <w:p w14:paraId="28CE9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一、将第九条第一款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en-US"/>
        </w:rPr>
        <w:t>（一）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修改为：“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en-US"/>
        </w:rPr>
        <w:t>设立申请报告（应当载明申请企业的名称、法定代表人、注册资本、住所、拆解场所、统一社会信用代码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2"/>
          <w:kern w:val="0"/>
          <w:sz w:val="40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2"/>
          <w:kern w:val="0"/>
          <w:sz w:val="40"/>
          <w:szCs w:val="40"/>
          <w:lang w:val="en-US" w:eastAsia="zh-CN"/>
        </w:rPr>
        <w:t>年拆解能力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en-US"/>
        </w:rPr>
        <w:t>等内容）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”。</w:t>
      </w:r>
    </w:p>
    <w:p w14:paraId="41217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8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kern w:val="2"/>
          <w:sz w:val="40"/>
          <w:szCs w:val="40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kern w:val="2"/>
          <w:sz w:val="40"/>
          <w:szCs w:val="40"/>
          <w:lang w:eastAsia="zh-CN"/>
        </w:rPr>
        <w:t>第十二条下</w:t>
      </w:r>
      <w:r>
        <w:rPr>
          <w:rFonts w:hint="eastAsia" w:ascii="仿宋_GB2312" w:hAnsi="仿宋_GB2312" w:eastAsia="仿宋_GB2312" w:cs="仿宋_GB2312"/>
          <w:kern w:val="2"/>
          <w:sz w:val="40"/>
          <w:szCs w:val="40"/>
          <w:lang w:val="en-US" w:eastAsia="zh-CN"/>
        </w:rPr>
        <w:t>增加一款作为第二款，内容为：“</w:t>
      </w: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eastAsia="zh-CN"/>
        </w:rPr>
        <w:t>《资质认定书》</w:t>
      </w: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/>
        </w:rPr>
        <w:t>有效期为5年，期满自动失效。回收拆解企业需要在《资质认定书》有效期满后继续从事报废机动车回收拆解活动的，应当在有效期满前90日内书面向拆解经营场地所在地省级商务主管部门或通过‘全国汽车流通信息管理应用服务’系统提出延续申请。对申请仍符合资质认定条件的，准予换发《资质认定书》。</w:t>
      </w:r>
      <w:r>
        <w:rPr>
          <w:rFonts w:hint="eastAsia" w:ascii="仿宋_GB2312" w:hAnsi="仿宋_GB2312" w:eastAsia="仿宋_GB2312" w:cs="仿宋_GB2312"/>
          <w:kern w:val="2"/>
          <w:sz w:val="40"/>
          <w:szCs w:val="40"/>
          <w:lang w:eastAsia="zh-CN"/>
        </w:rPr>
        <w:t>”</w:t>
      </w:r>
    </w:p>
    <w:p w14:paraId="68993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40"/>
          <w:szCs w:val="4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将第十八条第一款中“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en-US"/>
        </w:rPr>
        <w:t>回收拆解企业在回收报废机动车时，应当核验机动车所有人有效身份证件，逐车登记机动车型号、号牌号码、车辆识别代号、发动机号等信息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”修改为：“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en-US"/>
        </w:rPr>
        <w:t>回收拆解企业在回收报废机动车时，应当核验机动车所有人有效身份证件，逐车登记机动车型号、号牌号码、车辆识别代号、发动机号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2"/>
          <w:kern w:val="0"/>
          <w:sz w:val="40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2"/>
          <w:kern w:val="0"/>
          <w:sz w:val="40"/>
          <w:szCs w:val="40"/>
          <w:lang w:eastAsia="en-US"/>
        </w:rPr>
        <w:t>新能源汽车动力蓄电池编码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en-US"/>
        </w:rPr>
        <w:t>等信息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zh-CN"/>
        </w:rPr>
        <w:t>”。</w:t>
      </w:r>
    </w:p>
    <w:p w14:paraId="748C2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40"/>
          <w:szCs w:val="40"/>
          <w:lang w:val="en-US" w:eastAsia="zh-CN"/>
        </w:rPr>
        <w:t>四、将第二十条修改为：“报废机动车‘五大总成’和尾气后处理装置不齐全的，机动车所有人应当书面说明情况，并对其真实性负责。机动车车架（或者车身）或者发动机</w:t>
      </w: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/>
        </w:rPr>
        <w:t>或者新能源汽车（换电车型除外）动力电池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40"/>
          <w:szCs w:val="40"/>
          <w:lang w:val="en-US" w:eastAsia="zh-CN"/>
        </w:rPr>
        <w:t>缺失的，应当认定为车辆缺失，回收拆解企业不得出具《报废机动车回收证明》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en-US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40"/>
          <w:szCs w:val="40"/>
          <w:lang w:val="en-US" w:eastAsia="zh-CN"/>
        </w:rPr>
        <w:t>”</w:t>
      </w:r>
    </w:p>
    <w:p w14:paraId="3CB27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en-US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五、在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en-US"/>
        </w:rPr>
        <w:t>第二十四条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zh-CN"/>
        </w:rPr>
        <w:t>下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增加一款作为第二款，内容为：“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2"/>
          <w:kern w:val="0"/>
          <w:sz w:val="40"/>
          <w:szCs w:val="40"/>
          <w:lang w:val="en-US" w:eastAsia="zh-CN"/>
        </w:rPr>
        <w:t>回收拆解企业拆解报废电动汽车应当符合行业标准《报废电动汽车回收拆解技术要求》（SB/T 11238）相关要求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en-US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zh-CN"/>
        </w:rPr>
        <w:t>”</w:t>
      </w:r>
    </w:p>
    <w:p w14:paraId="4D956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六、将第二十九条第三款修改为：“回收拆解企业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2"/>
          <w:kern w:val="0"/>
          <w:sz w:val="40"/>
          <w:szCs w:val="40"/>
          <w:lang w:val="en-US" w:eastAsia="zh-CN"/>
        </w:rPr>
        <w:t>应当将本企业拆卸的动力蓄电池交售给废旧动力电池综合利用企业，或者动力电池企业、新能源汽车生产企业依法设立的回收服务网点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。”</w:t>
      </w:r>
    </w:p>
    <w:p w14:paraId="77210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kern w:val="2"/>
          <w:sz w:val="40"/>
          <w:szCs w:val="40"/>
          <w:lang w:val="en-US" w:eastAsia="zh-CN"/>
        </w:rPr>
        <w:t>在第三十五条下增加一款作为第二款，内容为：“</w:t>
      </w: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/>
        </w:rPr>
        <w:t>工业和信息化部及时将新能源汽车换电车型目录推送商务部。</w:t>
      </w:r>
      <w:r>
        <w:rPr>
          <w:rFonts w:hint="eastAsia" w:ascii="仿宋_GB2312" w:hAnsi="仿宋_GB2312" w:eastAsia="仿宋_GB2312" w:cs="仿宋_GB2312"/>
          <w:kern w:val="2"/>
          <w:sz w:val="40"/>
          <w:szCs w:val="40"/>
          <w:lang w:val="en-US" w:eastAsia="zh-CN"/>
        </w:rPr>
        <w:t>”</w:t>
      </w:r>
    </w:p>
    <w:p w14:paraId="7047A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此外，对条文顺序和个别文字作相应调整和修改。</w:t>
      </w:r>
    </w:p>
    <w:p w14:paraId="674DA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8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本决定自 年 月 日起施行。</w:t>
      </w:r>
    </w:p>
    <w:p w14:paraId="1DC65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84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en-US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12"/>
          <w:kern w:val="0"/>
          <w:sz w:val="40"/>
          <w:szCs w:val="40"/>
          <w:lang w:val="en-US" w:eastAsia="zh-CN"/>
        </w:rPr>
        <w:t>报废机动车回收管理办法实施细则》根据本决定作相应修改，重新发布。</w:t>
      </w:r>
    </w:p>
    <w:p w14:paraId="3C34A66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C78DE"/>
    <w:rsid w:val="3EAB0813"/>
    <w:rsid w:val="E7B311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940</Characters>
  <Lines>0</Lines>
  <Paragraphs>0</Paragraphs>
  <TotalTime>0</TotalTime>
  <ScaleCrop>false</ScaleCrop>
  <LinksUpToDate>false</LinksUpToDate>
  <CharactersWithSpaces>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卓天网络</cp:lastModifiedBy>
  <dcterms:modified xsi:type="dcterms:W3CDTF">2025-09-29T11:27:55Z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A6B29CF92BBB4929B702531CC862CF2B_13</vt:lpwstr>
  </property>
</Properties>
</file>