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777C4F">
      <w:pPr>
        <w:snapToGrid w:val="0"/>
        <w:spacing w:line="360" w:lineRule="auto"/>
        <w:jc w:val="center"/>
        <w:rPr>
          <w:rFonts w:ascii="方正小标宋简体" w:hAnsi="仿宋" w:eastAsia="方正小标宋简体" w:cs="方正仿宋简体"/>
          <w:color w:val="000000"/>
          <w:sz w:val="32"/>
          <w:szCs w:val="32"/>
        </w:rPr>
      </w:pPr>
      <w:bookmarkStart w:id="0" w:name="_GoBack"/>
      <w:r>
        <w:rPr>
          <w:rFonts w:hint="eastAsia" w:ascii="方正小标宋简体" w:hAnsi="仿宋" w:eastAsia="方正小标宋简体" w:cs="方正仿宋简体"/>
          <w:color w:val="000000"/>
          <w:sz w:val="32"/>
          <w:szCs w:val="32"/>
          <w:lang w:val="en-US" w:eastAsia="zh-CN"/>
        </w:rPr>
        <w:t>延安市</w:t>
      </w:r>
      <w:r>
        <w:rPr>
          <w:rFonts w:hint="eastAsia" w:ascii="方正小标宋简体" w:hAnsi="仿宋" w:eastAsia="方正小标宋简体" w:cs="方正仿宋简体"/>
          <w:color w:val="000000"/>
          <w:sz w:val="32"/>
          <w:szCs w:val="32"/>
        </w:rPr>
        <w:t>新型墙体材料（砖和砌块）产品质量监督抽查实施细则</w:t>
      </w:r>
    </w:p>
    <w:bookmarkEnd w:id="0"/>
    <w:p w14:paraId="52B59DA1">
      <w:pPr>
        <w:snapToGrid w:val="0"/>
        <w:spacing w:line="440" w:lineRule="exact"/>
        <w:ind w:firstLine="359" w:firstLineChars="171"/>
        <w:rPr>
          <w:rFonts w:ascii="宋体" w:hAnsi="宋体"/>
          <w:color w:val="000000"/>
          <w:szCs w:val="21"/>
        </w:rPr>
      </w:pPr>
    </w:p>
    <w:p w14:paraId="5DDFA8EB">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14:paraId="55AF8C80">
      <w:pPr>
        <w:spacing w:line="460" w:lineRule="exact"/>
        <w:ind w:firstLine="420" w:firstLineChars="200"/>
        <w:rPr>
          <w:rFonts w:ascii="宋体" w:hAnsi="宋体" w:cs="Calibri"/>
          <w:color w:val="000000"/>
          <w:szCs w:val="21"/>
        </w:rPr>
      </w:pPr>
      <w:r>
        <w:rPr>
          <w:rFonts w:hint="eastAsia" w:ascii="宋体" w:hAnsi="宋体" w:cs="Calibri"/>
          <w:color w:val="000000"/>
          <w:szCs w:val="21"/>
        </w:rPr>
        <w:t>以随机方式在被抽样生产者、销售者的待销产品中抽取样品。</w:t>
      </w:r>
    </w:p>
    <w:p w14:paraId="1EE0A405">
      <w:pPr>
        <w:snapToGrid w:val="0"/>
        <w:spacing w:line="440" w:lineRule="exact"/>
        <w:ind w:firstLine="420" w:firstLineChars="200"/>
        <w:rPr>
          <w:color w:val="000000"/>
          <w:szCs w:val="21"/>
        </w:rPr>
      </w:pPr>
      <w:r>
        <w:rPr>
          <w:color w:val="000000"/>
          <w:szCs w:val="21"/>
        </w:rPr>
        <w:t>抽查样品基数满足抽样数量即可。</w:t>
      </w:r>
    </w:p>
    <w:p w14:paraId="0F9C9FA3">
      <w:pPr>
        <w:snapToGrid w:val="0"/>
        <w:spacing w:line="440" w:lineRule="exact"/>
        <w:ind w:firstLine="420" w:firstLineChars="200"/>
        <w:rPr>
          <w:color w:val="000000"/>
          <w:szCs w:val="21"/>
        </w:rPr>
      </w:pPr>
      <w:r>
        <w:rPr>
          <w:color w:val="000000"/>
          <w:szCs w:val="21"/>
        </w:rPr>
        <w:t>每批次抽样数量见表1。</w:t>
      </w:r>
    </w:p>
    <w:p w14:paraId="6FA71383">
      <w:pPr>
        <w:adjustRightInd w:val="0"/>
        <w:snapToGrid w:val="0"/>
        <w:spacing w:line="440" w:lineRule="exact"/>
        <w:jc w:val="center"/>
        <w:rPr>
          <w:szCs w:val="21"/>
        </w:rPr>
      </w:pPr>
      <w:r>
        <w:rPr>
          <w:szCs w:val="21"/>
        </w:rPr>
        <w:t>表1 抽样数量表</w:t>
      </w:r>
    </w:p>
    <w:tbl>
      <w:tblPr>
        <w:tblStyle w:val="4"/>
        <w:tblW w:w="48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62"/>
        <w:gridCol w:w="1838"/>
        <w:gridCol w:w="1838"/>
        <w:gridCol w:w="1840"/>
      </w:tblGrid>
      <w:tr w14:paraId="762BD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893" w:type="pct"/>
            <w:vMerge w:val="restart"/>
            <w:shd w:val="clear" w:color="auto" w:fill="FFFFFF"/>
            <w:vAlign w:val="center"/>
          </w:tcPr>
          <w:p w14:paraId="33EC7826">
            <w:pPr>
              <w:spacing w:line="302" w:lineRule="auto"/>
              <w:jc w:val="center"/>
              <w:rPr>
                <w:szCs w:val="21"/>
              </w:rPr>
            </w:pPr>
            <w:r>
              <w:rPr>
                <w:szCs w:val="21"/>
              </w:rPr>
              <w:t>产品种类</w:t>
            </w:r>
          </w:p>
        </w:tc>
        <w:tc>
          <w:tcPr>
            <w:tcW w:w="3106" w:type="pct"/>
            <w:gridSpan w:val="3"/>
            <w:shd w:val="clear" w:color="auto" w:fill="FFFFFF"/>
          </w:tcPr>
          <w:p w14:paraId="0EAC3298">
            <w:pPr>
              <w:spacing w:line="302" w:lineRule="auto"/>
              <w:jc w:val="center"/>
              <w:rPr>
                <w:szCs w:val="21"/>
              </w:rPr>
            </w:pPr>
            <w:r>
              <w:rPr>
                <w:szCs w:val="21"/>
              </w:rPr>
              <w:t>抽样数量（块）</w:t>
            </w:r>
          </w:p>
        </w:tc>
      </w:tr>
      <w:tr w14:paraId="63BBB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893" w:type="pct"/>
            <w:vMerge w:val="continue"/>
            <w:shd w:val="clear" w:color="auto" w:fill="FFFFFF"/>
            <w:vAlign w:val="center"/>
          </w:tcPr>
          <w:p w14:paraId="06D0D104">
            <w:pPr>
              <w:spacing w:line="302" w:lineRule="auto"/>
              <w:jc w:val="center"/>
              <w:rPr>
                <w:szCs w:val="21"/>
              </w:rPr>
            </w:pPr>
          </w:p>
        </w:tc>
        <w:tc>
          <w:tcPr>
            <w:tcW w:w="1035" w:type="pct"/>
            <w:shd w:val="clear" w:color="auto" w:fill="FFFFFF"/>
          </w:tcPr>
          <w:p w14:paraId="1D3FCFB7">
            <w:pPr>
              <w:spacing w:line="302" w:lineRule="auto"/>
              <w:jc w:val="center"/>
              <w:rPr>
                <w:szCs w:val="21"/>
              </w:rPr>
            </w:pPr>
            <w:r>
              <w:rPr>
                <w:szCs w:val="21"/>
              </w:rPr>
              <w:t>抽样总数量</w:t>
            </w:r>
          </w:p>
        </w:tc>
        <w:tc>
          <w:tcPr>
            <w:tcW w:w="1035" w:type="pct"/>
            <w:shd w:val="clear" w:color="auto" w:fill="FFFFFF"/>
            <w:vAlign w:val="center"/>
          </w:tcPr>
          <w:p w14:paraId="3F86FF4C">
            <w:pPr>
              <w:spacing w:line="302" w:lineRule="auto"/>
              <w:jc w:val="center"/>
              <w:rPr>
                <w:szCs w:val="21"/>
              </w:rPr>
            </w:pPr>
            <w:r>
              <w:rPr>
                <w:szCs w:val="21"/>
              </w:rPr>
              <w:t>检验样品</w:t>
            </w:r>
          </w:p>
        </w:tc>
        <w:tc>
          <w:tcPr>
            <w:tcW w:w="1036" w:type="pct"/>
            <w:shd w:val="clear" w:color="auto" w:fill="FFFFFF"/>
            <w:vAlign w:val="center"/>
          </w:tcPr>
          <w:p w14:paraId="7A28E042">
            <w:pPr>
              <w:spacing w:line="302" w:lineRule="auto"/>
              <w:jc w:val="center"/>
              <w:rPr>
                <w:szCs w:val="21"/>
              </w:rPr>
            </w:pPr>
            <w:r>
              <w:rPr>
                <w:szCs w:val="21"/>
              </w:rPr>
              <w:t>备用样品</w:t>
            </w:r>
          </w:p>
        </w:tc>
      </w:tr>
      <w:tr w14:paraId="62D2B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893" w:type="pct"/>
            <w:shd w:val="clear" w:color="auto" w:fill="FFFFFF"/>
            <w:vAlign w:val="center"/>
          </w:tcPr>
          <w:p w14:paraId="6C94D9A6">
            <w:pPr>
              <w:spacing w:line="302" w:lineRule="auto"/>
              <w:jc w:val="center"/>
              <w:rPr>
                <w:szCs w:val="21"/>
              </w:rPr>
            </w:pPr>
            <w:r>
              <w:rPr>
                <w:szCs w:val="21"/>
              </w:rPr>
              <w:t>蒸压加气混凝土砌块</w:t>
            </w:r>
          </w:p>
        </w:tc>
        <w:tc>
          <w:tcPr>
            <w:tcW w:w="1035" w:type="pct"/>
            <w:shd w:val="clear" w:color="auto" w:fill="FFFFFF"/>
          </w:tcPr>
          <w:p w14:paraId="6DA70D34">
            <w:pPr>
              <w:spacing w:line="302" w:lineRule="auto"/>
              <w:jc w:val="center"/>
              <w:rPr>
                <w:szCs w:val="21"/>
              </w:rPr>
            </w:pPr>
            <w:r>
              <w:rPr>
                <w:szCs w:val="21"/>
              </w:rPr>
              <w:t>20</w:t>
            </w:r>
          </w:p>
        </w:tc>
        <w:tc>
          <w:tcPr>
            <w:tcW w:w="1035" w:type="pct"/>
            <w:shd w:val="clear" w:color="auto" w:fill="FFFFFF"/>
            <w:vAlign w:val="center"/>
          </w:tcPr>
          <w:p w14:paraId="68982AFF">
            <w:pPr>
              <w:spacing w:line="302" w:lineRule="auto"/>
              <w:jc w:val="center"/>
              <w:rPr>
                <w:szCs w:val="21"/>
              </w:rPr>
            </w:pPr>
            <w:r>
              <w:rPr>
                <w:szCs w:val="21"/>
              </w:rPr>
              <w:t>15</w:t>
            </w:r>
          </w:p>
        </w:tc>
        <w:tc>
          <w:tcPr>
            <w:tcW w:w="1036" w:type="pct"/>
            <w:shd w:val="clear" w:color="auto" w:fill="FFFFFF"/>
            <w:vAlign w:val="center"/>
          </w:tcPr>
          <w:p w14:paraId="1072DF2B">
            <w:pPr>
              <w:spacing w:line="302" w:lineRule="auto"/>
              <w:jc w:val="center"/>
              <w:rPr>
                <w:szCs w:val="21"/>
              </w:rPr>
            </w:pPr>
            <w:r>
              <w:rPr>
                <w:szCs w:val="21"/>
              </w:rPr>
              <w:t>5</w:t>
            </w:r>
          </w:p>
        </w:tc>
      </w:tr>
      <w:tr w14:paraId="16274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893" w:type="pct"/>
            <w:shd w:val="clear" w:color="auto" w:fill="FFFFFF"/>
            <w:vAlign w:val="center"/>
          </w:tcPr>
          <w:p w14:paraId="69FB7D36">
            <w:pPr>
              <w:spacing w:line="302" w:lineRule="auto"/>
              <w:jc w:val="center"/>
              <w:rPr>
                <w:szCs w:val="21"/>
              </w:rPr>
            </w:pPr>
            <w:r>
              <w:rPr>
                <w:rFonts w:hint="eastAsia"/>
                <w:szCs w:val="21"/>
              </w:rPr>
              <w:t>烧结普通砖</w:t>
            </w:r>
          </w:p>
        </w:tc>
        <w:tc>
          <w:tcPr>
            <w:tcW w:w="1035" w:type="pct"/>
            <w:shd w:val="clear" w:color="auto" w:fill="FFFFFF"/>
          </w:tcPr>
          <w:p w14:paraId="5616E4E9">
            <w:pPr>
              <w:spacing w:line="302" w:lineRule="auto"/>
              <w:jc w:val="center"/>
              <w:rPr>
                <w:rFonts w:hint="default" w:eastAsia="宋体"/>
                <w:szCs w:val="21"/>
                <w:lang w:val="en-US" w:eastAsia="zh-CN"/>
              </w:rPr>
            </w:pPr>
            <w:r>
              <w:rPr>
                <w:rFonts w:hint="eastAsia"/>
                <w:szCs w:val="21"/>
                <w:lang w:val="en-US" w:eastAsia="zh-CN"/>
              </w:rPr>
              <w:t>40</w:t>
            </w:r>
          </w:p>
        </w:tc>
        <w:tc>
          <w:tcPr>
            <w:tcW w:w="1035" w:type="pct"/>
            <w:shd w:val="clear" w:color="auto" w:fill="FFFFFF"/>
            <w:vAlign w:val="center"/>
          </w:tcPr>
          <w:p w14:paraId="0B881B0F">
            <w:pPr>
              <w:spacing w:line="302" w:lineRule="auto"/>
              <w:jc w:val="center"/>
              <w:rPr>
                <w:rFonts w:hint="default" w:eastAsia="宋体"/>
                <w:szCs w:val="21"/>
                <w:lang w:val="en-US" w:eastAsia="zh-CN"/>
              </w:rPr>
            </w:pPr>
            <w:r>
              <w:rPr>
                <w:rFonts w:hint="eastAsia"/>
                <w:szCs w:val="21"/>
                <w:lang w:val="en-US" w:eastAsia="zh-CN"/>
              </w:rPr>
              <w:t>20</w:t>
            </w:r>
          </w:p>
        </w:tc>
        <w:tc>
          <w:tcPr>
            <w:tcW w:w="1036" w:type="pct"/>
            <w:shd w:val="clear" w:color="auto" w:fill="FFFFFF"/>
            <w:vAlign w:val="center"/>
          </w:tcPr>
          <w:p w14:paraId="573B43A9">
            <w:pPr>
              <w:spacing w:line="302" w:lineRule="auto"/>
              <w:jc w:val="center"/>
              <w:rPr>
                <w:rFonts w:hint="default" w:eastAsia="宋体"/>
                <w:szCs w:val="21"/>
                <w:lang w:val="en-US" w:eastAsia="zh-CN"/>
              </w:rPr>
            </w:pPr>
            <w:r>
              <w:rPr>
                <w:rFonts w:hint="eastAsia"/>
                <w:szCs w:val="21"/>
                <w:lang w:val="en-US" w:eastAsia="zh-CN"/>
              </w:rPr>
              <w:t>20</w:t>
            </w:r>
          </w:p>
        </w:tc>
      </w:tr>
      <w:tr w14:paraId="2E15A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1893" w:type="pct"/>
            <w:tcBorders/>
            <w:shd w:val="clear" w:color="auto" w:fill="FFFFFF"/>
            <w:vAlign w:val="center"/>
          </w:tcPr>
          <w:p w14:paraId="3F8BF121">
            <w:pPr>
              <w:spacing w:line="302" w:lineRule="auto"/>
              <w:jc w:val="center"/>
              <w:rPr>
                <w:szCs w:val="21"/>
              </w:rPr>
            </w:pPr>
            <w:r>
              <w:rPr>
                <w:rFonts w:hint="eastAsia"/>
                <w:szCs w:val="21"/>
              </w:rPr>
              <w:t>蒸压粉煤灰砖</w:t>
            </w:r>
          </w:p>
        </w:tc>
        <w:tc>
          <w:tcPr>
            <w:tcW w:w="1838" w:type="dxa"/>
            <w:shd w:val="clear" w:color="auto" w:fill="FFFFFF"/>
            <w:vAlign w:val="top"/>
          </w:tcPr>
          <w:p w14:paraId="3AB4C99D">
            <w:pPr>
              <w:spacing w:line="302" w:lineRule="auto"/>
              <w:jc w:val="center"/>
              <w:rPr>
                <w:szCs w:val="21"/>
              </w:rPr>
            </w:pPr>
            <w:r>
              <w:rPr>
                <w:rFonts w:hint="eastAsia"/>
                <w:szCs w:val="21"/>
                <w:lang w:val="en-US" w:eastAsia="zh-CN"/>
              </w:rPr>
              <w:t>40</w:t>
            </w:r>
          </w:p>
        </w:tc>
        <w:tc>
          <w:tcPr>
            <w:tcW w:w="1838" w:type="dxa"/>
            <w:shd w:val="clear" w:color="auto" w:fill="FFFFFF"/>
            <w:vAlign w:val="center"/>
          </w:tcPr>
          <w:p w14:paraId="326D5303">
            <w:pPr>
              <w:spacing w:line="302" w:lineRule="auto"/>
              <w:jc w:val="center"/>
              <w:rPr>
                <w:szCs w:val="21"/>
              </w:rPr>
            </w:pPr>
            <w:r>
              <w:rPr>
                <w:rFonts w:hint="eastAsia"/>
                <w:szCs w:val="21"/>
                <w:lang w:val="en-US" w:eastAsia="zh-CN"/>
              </w:rPr>
              <w:t>20</w:t>
            </w:r>
          </w:p>
        </w:tc>
        <w:tc>
          <w:tcPr>
            <w:tcW w:w="1840" w:type="dxa"/>
            <w:shd w:val="clear" w:color="auto" w:fill="FFFFFF"/>
            <w:vAlign w:val="center"/>
          </w:tcPr>
          <w:p w14:paraId="609D6F5E">
            <w:pPr>
              <w:spacing w:line="302" w:lineRule="auto"/>
              <w:jc w:val="center"/>
              <w:rPr>
                <w:szCs w:val="21"/>
              </w:rPr>
            </w:pPr>
            <w:r>
              <w:rPr>
                <w:rFonts w:hint="eastAsia"/>
                <w:szCs w:val="21"/>
                <w:lang w:val="en-US" w:eastAsia="zh-CN"/>
              </w:rPr>
              <w:t>20</w:t>
            </w:r>
          </w:p>
        </w:tc>
      </w:tr>
    </w:tbl>
    <w:p w14:paraId="3A56D2AC">
      <w:pPr>
        <w:snapToGrid w:val="0"/>
        <w:spacing w:line="440" w:lineRule="exact"/>
        <w:rPr>
          <w:rFonts w:ascii="宋体" w:hAnsi="宋体"/>
          <w:color w:val="000000"/>
          <w:szCs w:val="21"/>
        </w:rPr>
      </w:pPr>
    </w:p>
    <w:p w14:paraId="78E365B3">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14:paraId="0EF504E0">
      <w:pPr>
        <w:adjustRightInd w:val="0"/>
        <w:snapToGrid w:val="0"/>
        <w:spacing w:line="360" w:lineRule="auto"/>
        <w:ind w:firstLine="420" w:firstLineChars="200"/>
        <w:rPr>
          <w:szCs w:val="21"/>
        </w:rPr>
      </w:pPr>
    </w:p>
    <w:p w14:paraId="11A2BCD7">
      <w:pPr>
        <w:adjustRightInd w:val="0"/>
        <w:snapToGrid w:val="0"/>
        <w:spacing w:line="360" w:lineRule="auto"/>
        <w:jc w:val="center"/>
        <w:rPr>
          <w:rFonts w:hint="default"/>
          <w:szCs w:val="21"/>
          <w:lang w:val="en-US"/>
        </w:rPr>
      </w:pPr>
      <w:r>
        <w:rPr>
          <w:szCs w:val="21"/>
        </w:rPr>
        <w:t>表</w:t>
      </w:r>
      <w:r>
        <w:rPr>
          <w:rFonts w:hint="eastAsia"/>
          <w:szCs w:val="21"/>
          <w:lang w:val="en-US" w:eastAsia="zh-CN"/>
        </w:rPr>
        <w:t>2项目及依据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2506"/>
        <w:gridCol w:w="4242"/>
      </w:tblGrid>
      <w:tr w14:paraId="5A50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731" w:type="dxa"/>
            <w:vAlign w:val="center"/>
          </w:tcPr>
          <w:p w14:paraId="64974EAF">
            <w:pPr>
              <w:snapToGrid w:val="0"/>
              <w:jc w:val="center"/>
              <w:rPr>
                <w:rFonts w:ascii="宋体" w:hAnsi="宋体"/>
                <w:color w:val="000000"/>
                <w:szCs w:val="21"/>
              </w:rPr>
            </w:pPr>
            <w:r>
              <w:rPr>
                <w:rFonts w:hint="eastAsia" w:ascii="宋体" w:hAnsi="宋体"/>
                <w:color w:val="000000"/>
                <w:szCs w:val="21"/>
              </w:rPr>
              <w:t>序号</w:t>
            </w:r>
          </w:p>
        </w:tc>
        <w:tc>
          <w:tcPr>
            <w:tcW w:w="2506" w:type="dxa"/>
            <w:vAlign w:val="center"/>
          </w:tcPr>
          <w:p w14:paraId="65BAC547">
            <w:pPr>
              <w:snapToGrid w:val="0"/>
              <w:jc w:val="center"/>
              <w:rPr>
                <w:rFonts w:ascii="宋体" w:hAnsi="宋体"/>
                <w:color w:val="000000"/>
                <w:szCs w:val="21"/>
              </w:rPr>
            </w:pPr>
            <w:r>
              <w:rPr>
                <w:rFonts w:hint="eastAsia" w:ascii="宋体" w:hAnsi="宋体"/>
                <w:color w:val="000000"/>
                <w:szCs w:val="21"/>
              </w:rPr>
              <w:t>检验项目</w:t>
            </w:r>
          </w:p>
        </w:tc>
        <w:tc>
          <w:tcPr>
            <w:tcW w:w="4242" w:type="dxa"/>
            <w:vAlign w:val="center"/>
          </w:tcPr>
          <w:p w14:paraId="3212C9FD">
            <w:pPr>
              <w:snapToGrid w:val="0"/>
              <w:jc w:val="center"/>
              <w:rPr>
                <w:rFonts w:ascii="宋体" w:hAnsi="宋体"/>
                <w:color w:val="000000"/>
                <w:szCs w:val="21"/>
              </w:rPr>
            </w:pPr>
            <w:r>
              <w:rPr>
                <w:rFonts w:hint="eastAsia" w:ascii="宋体" w:hAnsi="宋体"/>
                <w:color w:val="000000"/>
                <w:szCs w:val="21"/>
              </w:rPr>
              <w:t>检验方法</w:t>
            </w:r>
          </w:p>
        </w:tc>
      </w:tr>
      <w:tr w14:paraId="23435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1" w:type="dxa"/>
            <w:vAlign w:val="center"/>
          </w:tcPr>
          <w:p w14:paraId="560220C1">
            <w:pPr>
              <w:adjustRightInd w:val="0"/>
              <w:snapToGrid w:val="0"/>
              <w:jc w:val="center"/>
              <w:rPr>
                <w:szCs w:val="22"/>
              </w:rPr>
            </w:pPr>
            <w:r>
              <w:rPr>
                <w:rFonts w:hint="eastAsia"/>
                <w:szCs w:val="22"/>
              </w:rPr>
              <w:t>1</w:t>
            </w:r>
          </w:p>
        </w:tc>
        <w:tc>
          <w:tcPr>
            <w:tcW w:w="2506" w:type="dxa"/>
            <w:vAlign w:val="center"/>
          </w:tcPr>
          <w:p w14:paraId="7667F6C7">
            <w:pPr>
              <w:adjustRightInd w:val="0"/>
              <w:jc w:val="center"/>
              <w:rPr>
                <w:rFonts w:hint="eastAsia"/>
                <w:szCs w:val="22"/>
              </w:rPr>
            </w:pPr>
            <w:r>
              <w:rPr>
                <w:rFonts w:hint="eastAsia"/>
                <w:szCs w:val="22"/>
                <w:lang w:val="en-US" w:eastAsia="zh-CN"/>
              </w:rPr>
              <w:t>长度和宽度</w:t>
            </w:r>
          </w:p>
        </w:tc>
        <w:tc>
          <w:tcPr>
            <w:tcW w:w="4242" w:type="dxa"/>
            <w:vAlign w:val="center"/>
          </w:tcPr>
          <w:p w14:paraId="1D3ACA95">
            <w:pPr>
              <w:adjustRightInd w:val="0"/>
              <w:snapToGrid w:val="0"/>
              <w:jc w:val="center"/>
              <w:rPr>
                <w:szCs w:val="22"/>
              </w:rPr>
            </w:pPr>
            <w:r>
              <w:rPr>
                <w:rFonts w:hint="eastAsia"/>
                <w:szCs w:val="22"/>
              </w:rPr>
              <w:t>GB/T 2542</w:t>
            </w:r>
            <w:r>
              <w:rPr>
                <w:szCs w:val="22"/>
              </w:rPr>
              <w:t>—2012</w:t>
            </w:r>
          </w:p>
        </w:tc>
      </w:tr>
      <w:tr w14:paraId="3B380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1" w:type="dxa"/>
            <w:vAlign w:val="center"/>
          </w:tcPr>
          <w:p w14:paraId="58928594">
            <w:pPr>
              <w:adjustRightInd w:val="0"/>
              <w:snapToGrid w:val="0"/>
              <w:jc w:val="center"/>
              <w:rPr>
                <w:szCs w:val="22"/>
              </w:rPr>
            </w:pPr>
            <w:r>
              <w:rPr>
                <w:rFonts w:hint="eastAsia"/>
                <w:szCs w:val="22"/>
              </w:rPr>
              <w:t>2</w:t>
            </w:r>
          </w:p>
        </w:tc>
        <w:tc>
          <w:tcPr>
            <w:tcW w:w="2506" w:type="dxa"/>
            <w:vAlign w:val="center"/>
          </w:tcPr>
          <w:p w14:paraId="6B2A557F">
            <w:pPr>
              <w:adjustRightInd w:val="0"/>
              <w:jc w:val="center"/>
              <w:rPr>
                <w:rFonts w:hint="eastAsia"/>
                <w:szCs w:val="22"/>
              </w:rPr>
            </w:pPr>
            <w:r>
              <w:rPr>
                <w:rFonts w:hint="eastAsia"/>
                <w:szCs w:val="22"/>
                <w:lang w:val="en-US" w:eastAsia="zh-CN"/>
              </w:rPr>
              <w:t>厚度</w:t>
            </w:r>
          </w:p>
        </w:tc>
        <w:tc>
          <w:tcPr>
            <w:tcW w:w="4242" w:type="dxa"/>
            <w:vAlign w:val="center"/>
          </w:tcPr>
          <w:p w14:paraId="2FA8A518">
            <w:pPr>
              <w:adjustRightInd w:val="0"/>
              <w:jc w:val="center"/>
              <w:rPr>
                <w:szCs w:val="22"/>
              </w:rPr>
            </w:pPr>
            <w:r>
              <w:rPr>
                <w:rFonts w:hint="eastAsia"/>
                <w:szCs w:val="22"/>
              </w:rPr>
              <w:t>GB/T 2542</w:t>
            </w:r>
            <w:r>
              <w:rPr>
                <w:szCs w:val="22"/>
              </w:rPr>
              <w:t>—2012</w:t>
            </w:r>
          </w:p>
        </w:tc>
      </w:tr>
      <w:tr w14:paraId="25C64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1" w:type="dxa"/>
            <w:vAlign w:val="center"/>
          </w:tcPr>
          <w:p w14:paraId="1E81DAF0">
            <w:pPr>
              <w:adjustRightInd w:val="0"/>
              <w:jc w:val="center"/>
              <w:rPr>
                <w:szCs w:val="22"/>
              </w:rPr>
            </w:pPr>
            <w:r>
              <w:rPr>
                <w:rFonts w:hint="eastAsia"/>
                <w:szCs w:val="22"/>
              </w:rPr>
              <w:t>3</w:t>
            </w:r>
          </w:p>
        </w:tc>
        <w:tc>
          <w:tcPr>
            <w:tcW w:w="2506" w:type="dxa"/>
            <w:vAlign w:val="center"/>
          </w:tcPr>
          <w:p w14:paraId="2D889063">
            <w:pPr>
              <w:adjustRightInd w:val="0"/>
              <w:jc w:val="center"/>
              <w:rPr>
                <w:rFonts w:hint="eastAsia"/>
                <w:szCs w:val="22"/>
              </w:rPr>
            </w:pPr>
            <w:r>
              <w:rPr>
                <w:rFonts w:hint="eastAsia"/>
                <w:szCs w:val="22"/>
                <w:lang w:val="en-US" w:eastAsia="zh-CN"/>
              </w:rPr>
              <w:t>边直度</w:t>
            </w:r>
          </w:p>
        </w:tc>
        <w:tc>
          <w:tcPr>
            <w:tcW w:w="4242" w:type="dxa"/>
            <w:vAlign w:val="center"/>
          </w:tcPr>
          <w:p w14:paraId="0A9E8211">
            <w:pPr>
              <w:adjustRightInd w:val="0"/>
              <w:jc w:val="center"/>
              <w:rPr>
                <w:szCs w:val="22"/>
              </w:rPr>
            </w:pPr>
            <w:r>
              <w:rPr>
                <w:rFonts w:hint="eastAsia"/>
                <w:szCs w:val="22"/>
              </w:rPr>
              <w:t>GB/T 2542</w:t>
            </w:r>
            <w:r>
              <w:rPr>
                <w:szCs w:val="22"/>
              </w:rPr>
              <w:t>—2012</w:t>
            </w:r>
          </w:p>
        </w:tc>
      </w:tr>
      <w:tr w14:paraId="533A0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1" w:type="dxa"/>
            <w:vAlign w:val="center"/>
          </w:tcPr>
          <w:p w14:paraId="5028DF60">
            <w:pPr>
              <w:adjustRightInd w:val="0"/>
              <w:jc w:val="center"/>
              <w:rPr>
                <w:szCs w:val="22"/>
              </w:rPr>
            </w:pPr>
            <w:r>
              <w:rPr>
                <w:rFonts w:hint="eastAsia"/>
                <w:szCs w:val="22"/>
              </w:rPr>
              <w:t>4</w:t>
            </w:r>
          </w:p>
        </w:tc>
        <w:tc>
          <w:tcPr>
            <w:tcW w:w="2506" w:type="dxa"/>
            <w:vAlign w:val="center"/>
          </w:tcPr>
          <w:p w14:paraId="4D0AED53">
            <w:pPr>
              <w:adjustRightInd w:val="0"/>
              <w:jc w:val="center"/>
              <w:rPr>
                <w:rFonts w:hint="eastAsia"/>
                <w:szCs w:val="22"/>
              </w:rPr>
            </w:pPr>
            <w:r>
              <w:rPr>
                <w:rFonts w:hint="eastAsia"/>
                <w:szCs w:val="22"/>
                <w:lang w:val="en-US" w:eastAsia="zh-CN"/>
              </w:rPr>
              <w:t>直角度</w:t>
            </w:r>
          </w:p>
        </w:tc>
        <w:tc>
          <w:tcPr>
            <w:tcW w:w="4242" w:type="dxa"/>
            <w:vAlign w:val="center"/>
          </w:tcPr>
          <w:p w14:paraId="3253A2D6">
            <w:pPr>
              <w:adjustRightInd w:val="0"/>
              <w:jc w:val="center"/>
              <w:rPr>
                <w:szCs w:val="22"/>
              </w:rPr>
            </w:pPr>
            <w:r>
              <w:rPr>
                <w:rFonts w:hint="eastAsia"/>
                <w:szCs w:val="22"/>
              </w:rPr>
              <w:t>GB/T 2542</w:t>
            </w:r>
            <w:r>
              <w:rPr>
                <w:szCs w:val="22"/>
              </w:rPr>
              <w:t>—2012</w:t>
            </w:r>
          </w:p>
        </w:tc>
      </w:tr>
      <w:tr w14:paraId="6A50A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1" w:type="dxa"/>
            <w:vAlign w:val="center"/>
          </w:tcPr>
          <w:p w14:paraId="0AEE39E1">
            <w:pPr>
              <w:adjustRightInd w:val="0"/>
              <w:jc w:val="center"/>
              <w:rPr>
                <w:szCs w:val="22"/>
              </w:rPr>
            </w:pPr>
            <w:r>
              <w:rPr>
                <w:rFonts w:hint="eastAsia"/>
                <w:szCs w:val="22"/>
              </w:rPr>
              <w:t>5</w:t>
            </w:r>
          </w:p>
        </w:tc>
        <w:tc>
          <w:tcPr>
            <w:tcW w:w="2506" w:type="dxa"/>
            <w:vAlign w:val="center"/>
          </w:tcPr>
          <w:p w14:paraId="024A0AF4">
            <w:pPr>
              <w:adjustRightInd w:val="0"/>
              <w:jc w:val="center"/>
              <w:rPr>
                <w:rFonts w:hint="eastAsia"/>
                <w:szCs w:val="22"/>
              </w:rPr>
            </w:pPr>
            <w:r>
              <w:rPr>
                <w:rFonts w:hint="eastAsia"/>
                <w:szCs w:val="22"/>
                <w:lang w:val="en-US" w:eastAsia="zh-CN"/>
              </w:rPr>
              <w:t>表面平整度</w:t>
            </w:r>
          </w:p>
        </w:tc>
        <w:tc>
          <w:tcPr>
            <w:tcW w:w="4242" w:type="dxa"/>
            <w:vAlign w:val="center"/>
          </w:tcPr>
          <w:p w14:paraId="12A110CE">
            <w:pPr>
              <w:adjustRightInd w:val="0"/>
              <w:jc w:val="center"/>
              <w:rPr>
                <w:szCs w:val="22"/>
              </w:rPr>
            </w:pPr>
            <w:r>
              <w:rPr>
                <w:rFonts w:hint="eastAsia"/>
                <w:szCs w:val="22"/>
              </w:rPr>
              <w:t>GB/T 2542</w:t>
            </w:r>
            <w:r>
              <w:rPr>
                <w:szCs w:val="22"/>
              </w:rPr>
              <w:t>—2012</w:t>
            </w:r>
          </w:p>
        </w:tc>
      </w:tr>
      <w:tr w14:paraId="08E58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1" w:type="dxa"/>
            <w:vAlign w:val="center"/>
          </w:tcPr>
          <w:p w14:paraId="012D639E">
            <w:pPr>
              <w:adjustRightInd w:val="0"/>
              <w:jc w:val="center"/>
              <w:rPr>
                <w:szCs w:val="22"/>
              </w:rPr>
            </w:pPr>
            <w:r>
              <w:rPr>
                <w:rFonts w:hint="eastAsia"/>
                <w:szCs w:val="22"/>
              </w:rPr>
              <w:t>6</w:t>
            </w:r>
          </w:p>
        </w:tc>
        <w:tc>
          <w:tcPr>
            <w:tcW w:w="2506" w:type="dxa"/>
            <w:vAlign w:val="center"/>
          </w:tcPr>
          <w:p w14:paraId="41FD842A">
            <w:pPr>
              <w:adjustRightInd w:val="0"/>
              <w:jc w:val="center"/>
              <w:rPr>
                <w:rFonts w:hint="eastAsia"/>
                <w:szCs w:val="22"/>
              </w:rPr>
            </w:pPr>
            <w:r>
              <w:rPr>
                <w:rFonts w:hint="eastAsia"/>
                <w:szCs w:val="22"/>
                <w:lang w:val="en-US" w:eastAsia="zh-CN"/>
              </w:rPr>
              <w:t>表面质量</w:t>
            </w:r>
          </w:p>
        </w:tc>
        <w:tc>
          <w:tcPr>
            <w:tcW w:w="4242" w:type="dxa"/>
            <w:vAlign w:val="center"/>
          </w:tcPr>
          <w:p w14:paraId="347D06E0">
            <w:pPr>
              <w:adjustRightInd w:val="0"/>
              <w:jc w:val="center"/>
              <w:rPr>
                <w:szCs w:val="22"/>
              </w:rPr>
            </w:pPr>
            <w:r>
              <w:rPr>
                <w:rFonts w:hint="eastAsia"/>
                <w:szCs w:val="22"/>
              </w:rPr>
              <w:t>GB/T 2542</w:t>
            </w:r>
            <w:r>
              <w:rPr>
                <w:szCs w:val="22"/>
              </w:rPr>
              <w:t>—2012</w:t>
            </w:r>
          </w:p>
        </w:tc>
      </w:tr>
      <w:tr w14:paraId="34B03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1" w:type="dxa"/>
            <w:vAlign w:val="center"/>
          </w:tcPr>
          <w:p w14:paraId="4CA644F8">
            <w:pPr>
              <w:adjustRightInd w:val="0"/>
              <w:jc w:val="center"/>
              <w:rPr>
                <w:szCs w:val="22"/>
              </w:rPr>
            </w:pPr>
            <w:r>
              <w:rPr>
                <w:rFonts w:hint="eastAsia"/>
                <w:szCs w:val="22"/>
              </w:rPr>
              <w:t>7</w:t>
            </w:r>
          </w:p>
        </w:tc>
        <w:tc>
          <w:tcPr>
            <w:tcW w:w="2506" w:type="dxa"/>
            <w:vAlign w:val="center"/>
          </w:tcPr>
          <w:p w14:paraId="70EC00BC">
            <w:pPr>
              <w:adjustRightInd w:val="0"/>
              <w:jc w:val="center"/>
              <w:rPr>
                <w:rFonts w:hint="eastAsia"/>
                <w:szCs w:val="22"/>
              </w:rPr>
            </w:pPr>
            <w:r>
              <w:rPr>
                <w:rFonts w:hint="eastAsia"/>
                <w:szCs w:val="22"/>
                <w:lang w:val="en-US" w:eastAsia="zh-CN"/>
              </w:rPr>
              <w:t>背纹</w:t>
            </w:r>
          </w:p>
        </w:tc>
        <w:tc>
          <w:tcPr>
            <w:tcW w:w="4242" w:type="dxa"/>
            <w:vAlign w:val="center"/>
          </w:tcPr>
          <w:p w14:paraId="3F3129DB">
            <w:pPr>
              <w:adjustRightInd w:val="0"/>
              <w:jc w:val="center"/>
              <w:rPr>
                <w:szCs w:val="22"/>
              </w:rPr>
            </w:pPr>
            <w:r>
              <w:rPr>
                <w:rFonts w:hint="eastAsia"/>
                <w:szCs w:val="22"/>
              </w:rPr>
              <w:t>GB/T 2542</w:t>
            </w:r>
            <w:r>
              <w:rPr>
                <w:szCs w:val="22"/>
              </w:rPr>
              <w:t>—2012</w:t>
            </w:r>
          </w:p>
        </w:tc>
      </w:tr>
      <w:tr w14:paraId="7484F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1" w:type="dxa"/>
            <w:vAlign w:val="center"/>
          </w:tcPr>
          <w:p w14:paraId="3EA703F2">
            <w:pPr>
              <w:adjustRightInd w:val="0"/>
              <w:jc w:val="center"/>
              <w:rPr>
                <w:szCs w:val="22"/>
              </w:rPr>
            </w:pPr>
            <w:r>
              <w:rPr>
                <w:rFonts w:hint="eastAsia"/>
                <w:szCs w:val="22"/>
              </w:rPr>
              <w:t>8</w:t>
            </w:r>
          </w:p>
        </w:tc>
        <w:tc>
          <w:tcPr>
            <w:tcW w:w="2506" w:type="dxa"/>
            <w:vAlign w:val="center"/>
          </w:tcPr>
          <w:p w14:paraId="4A2D9627">
            <w:pPr>
              <w:adjustRightInd w:val="0"/>
              <w:jc w:val="center"/>
              <w:rPr>
                <w:rFonts w:hint="eastAsia"/>
                <w:szCs w:val="22"/>
              </w:rPr>
            </w:pPr>
            <w:r>
              <w:rPr>
                <w:rFonts w:hint="eastAsia"/>
                <w:szCs w:val="22"/>
                <w:lang w:val="en-US" w:eastAsia="zh-CN"/>
              </w:rPr>
              <w:t>吸水率</w:t>
            </w:r>
          </w:p>
        </w:tc>
        <w:tc>
          <w:tcPr>
            <w:tcW w:w="4242" w:type="dxa"/>
            <w:vAlign w:val="center"/>
          </w:tcPr>
          <w:p w14:paraId="1E978228">
            <w:pPr>
              <w:adjustRightInd w:val="0"/>
              <w:jc w:val="center"/>
              <w:rPr>
                <w:szCs w:val="22"/>
              </w:rPr>
            </w:pPr>
            <w:r>
              <w:rPr>
                <w:rFonts w:hint="eastAsia"/>
                <w:szCs w:val="22"/>
              </w:rPr>
              <w:t>GB/T 2542</w:t>
            </w:r>
            <w:r>
              <w:rPr>
                <w:szCs w:val="22"/>
              </w:rPr>
              <w:t>—2012</w:t>
            </w:r>
          </w:p>
        </w:tc>
      </w:tr>
    </w:tbl>
    <w:p w14:paraId="3576FCC0">
      <w:pPr>
        <w:adjustRightInd w:val="0"/>
        <w:snapToGrid w:val="0"/>
        <w:spacing w:line="360" w:lineRule="auto"/>
        <w:jc w:val="center"/>
        <w:rPr>
          <w:szCs w:val="21"/>
        </w:rPr>
      </w:pPr>
    </w:p>
    <w:p w14:paraId="06843129">
      <w:pPr>
        <w:adjustRightInd w:val="0"/>
        <w:snapToGrid w:val="0"/>
        <w:spacing w:line="360" w:lineRule="auto"/>
        <w:jc w:val="center"/>
        <w:rPr>
          <w:color w:val="000000"/>
          <w:szCs w:val="21"/>
        </w:rPr>
      </w:pPr>
    </w:p>
    <w:p w14:paraId="13576FA0">
      <w:pPr>
        <w:snapToGrid w:val="0"/>
        <w:spacing w:line="440" w:lineRule="exact"/>
        <w:ind w:firstLine="359" w:firstLineChars="171"/>
        <w:rPr>
          <w:color w:val="000000"/>
          <w:szCs w:val="21"/>
        </w:rPr>
      </w:pPr>
      <w:r>
        <w:rPr>
          <w:color w:val="000000"/>
          <w:szCs w:val="21"/>
        </w:rPr>
        <w:t>执行企业标准、团体标准、地方标准的产品，检验项目参照上述内容执行。</w:t>
      </w:r>
    </w:p>
    <w:p w14:paraId="11B3EEB8">
      <w:pPr>
        <w:snapToGrid w:val="0"/>
        <w:spacing w:line="440" w:lineRule="exact"/>
        <w:ind w:firstLine="359" w:firstLineChars="171"/>
        <w:rPr>
          <w:rFonts w:ascii="宋体" w:hAnsi="宋体"/>
          <w:color w:val="000000"/>
          <w:szCs w:val="21"/>
        </w:rPr>
      </w:pPr>
    </w:p>
    <w:p w14:paraId="417AB803">
      <w:pPr>
        <w:spacing w:line="360" w:lineRule="auto"/>
        <w:rPr>
          <w:rFonts w:ascii="黑体" w:hAnsi="黑体" w:eastAsia="黑体"/>
          <w:color w:val="000000"/>
          <w:szCs w:val="21"/>
        </w:rPr>
      </w:pPr>
      <w:r>
        <w:rPr>
          <w:rFonts w:hint="eastAsia" w:ascii="黑体" w:hAnsi="黑体" w:eastAsia="黑体"/>
          <w:color w:val="000000"/>
          <w:szCs w:val="21"/>
        </w:rPr>
        <w:t>3 判定规则</w:t>
      </w:r>
    </w:p>
    <w:p w14:paraId="442DAC1D">
      <w:pPr>
        <w:snapToGrid w:val="0"/>
        <w:spacing w:line="440" w:lineRule="exact"/>
        <w:rPr>
          <w:rFonts w:ascii="宋体" w:hAnsi="宋体"/>
          <w:color w:val="000000"/>
          <w:szCs w:val="21"/>
        </w:rPr>
      </w:pPr>
      <w:r>
        <w:rPr>
          <w:rFonts w:hint="eastAsia" w:ascii="宋体" w:hAnsi="宋体"/>
          <w:color w:val="000000"/>
          <w:szCs w:val="21"/>
        </w:rPr>
        <w:t>3.1依据标准</w:t>
      </w:r>
    </w:p>
    <w:p w14:paraId="12C75902">
      <w:pPr>
        <w:snapToGrid w:val="0"/>
        <w:spacing w:line="440" w:lineRule="exact"/>
        <w:ind w:firstLine="420" w:firstLineChars="200"/>
        <w:rPr>
          <w:color w:val="000000"/>
          <w:szCs w:val="21"/>
        </w:rPr>
      </w:pPr>
      <w:r>
        <w:rPr>
          <w:color w:val="000000"/>
          <w:szCs w:val="21"/>
        </w:rPr>
        <w:t>GB/T 11968—2020 蒸压加气混凝土砌块</w:t>
      </w:r>
    </w:p>
    <w:p w14:paraId="1A2AF4E0">
      <w:pPr>
        <w:snapToGrid w:val="0"/>
        <w:spacing w:line="440" w:lineRule="exact"/>
        <w:ind w:firstLine="420" w:firstLineChars="200"/>
        <w:rPr>
          <w:color w:val="000000"/>
          <w:szCs w:val="21"/>
        </w:rPr>
      </w:pPr>
      <w:r>
        <w:rPr>
          <w:rFonts w:hint="eastAsia"/>
          <w:color w:val="000000"/>
          <w:szCs w:val="21"/>
        </w:rPr>
        <w:t>GB/T 5101</w:t>
      </w:r>
      <w:r>
        <w:rPr>
          <w:color w:val="000000"/>
          <w:szCs w:val="21"/>
        </w:rPr>
        <w:t>—</w:t>
      </w:r>
      <w:r>
        <w:rPr>
          <w:rFonts w:hint="eastAsia"/>
          <w:color w:val="000000"/>
          <w:szCs w:val="21"/>
        </w:rPr>
        <w:t>2017   烧结普通砖</w:t>
      </w:r>
    </w:p>
    <w:p w14:paraId="455DD1EE">
      <w:pPr>
        <w:snapToGrid w:val="0"/>
        <w:spacing w:line="440" w:lineRule="exact"/>
        <w:ind w:firstLine="420" w:firstLineChars="200"/>
        <w:rPr>
          <w:color w:val="000000"/>
          <w:szCs w:val="21"/>
        </w:rPr>
      </w:pPr>
      <w:r>
        <w:rPr>
          <w:color w:val="000000"/>
          <w:szCs w:val="21"/>
        </w:rPr>
        <w:t>JC/T 239—2014</w:t>
      </w:r>
      <w:r>
        <w:rPr>
          <w:rFonts w:hint="eastAsia" w:ascii="宋体" w:hAnsi="宋体"/>
          <w:color w:val="000000"/>
          <w:szCs w:val="21"/>
        </w:rPr>
        <w:t>蒸压粉煤灰砖</w:t>
      </w:r>
    </w:p>
    <w:p w14:paraId="19C8FD12">
      <w:pPr>
        <w:snapToGrid w:val="0"/>
        <w:spacing w:line="440" w:lineRule="exact"/>
        <w:ind w:firstLine="420" w:firstLineChars="200"/>
        <w:rPr>
          <w:color w:val="000000"/>
          <w:szCs w:val="21"/>
        </w:rPr>
      </w:pPr>
      <w:r>
        <w:rPr>
          <w:color w:val="000000"/>
          <w:szCs w:val="21"/>
        </w:rPr>
        <w:t>GB 6566—2010 建筑材料放射性核素限量</w:t>
      </w:r>
    </w:p>
    <w:p w14:paraId="6232802D">
      <w:pPr>
        <w:snapToGrid w:val="0"/>
        <w:spacing w:line="440" w:lineRule="exact"/>
        <w:ind w:firstLine="359" w:firstLineChars="171"/>
        <w:rPr>
          <w:color w:val="000000"/>
          <w:szCs w:val="21"/>
        </w:rPr>
      </w:pPr>
      <w:r>
        <w:rPr>
          <w:color w:val="000000"/>
          <w:szCs w:val="21"/>
        </w:rPr>
        <w:t>现行有效的企业标准、团体标准、地方标准及产品明示质量要求</w:t>
      </w:r>
    </w:p>
    <w:p w14:paraId="4AC02CA9">
      <w:pPr>
        <w:snapToGrid w:val="0"/>
        <w:spacing w:line="440" w:lineRule="exact"/>
        <w:rPr>
          <w:rFonts w:ascii="宋体" w:hAnsi="宋体"/>
          <w:color w:val="000000"/>
          <w:szCs w:val="21"/>
        </w:rPr>
      </w:pPr>
      <w:r>
        <w:rPr>
          <w:rFonts w:hint="eastAsia" w:ascii="宋体" w:hAnsi="宋体"/>
          <w:color w:val="000000"/>
          <w:szCs w:val="21"/>
        </w:rPr>
        <w:t>3.2判定原则</w:t>
      </w:r>
    </w:p>
    <w:p w14:paraId="2735687D">
      <w:pPr>
        <w:snapToGrid w:val="0"/>
        <w:spacing w:line="440" w:lineRule="exact"/>
        <w:ind w:firstLine="424" w:firstLineChars="202"/>
        <w:rPr>
          <w:rFonts w:ascii="宋体" w:hAnsi="宋体" w:cs="Calibri"/>
          <w:szCs w:val="21"/>
        </w:rPr>
      </w:pPr>
      <w:r>
        <w:rPr>
          <w:rFonts w:ascii="宋体" w:hAnsi="宋体" w:cs="Calibri"/>
          <w:szCs w:val="21"/>
        </w:rPr>
        <w:t>经检验，检验项目全部合格，判定为被抽查产品</w:t>
      </w:r>
      <w:r>
        <w:rPr>
          <w:rFonts w:hint="eastAsia" w:ascii="宋体" w:hAnsi="宋体" w:cs="Calibri"/>
          <w:szCs w:val="21"/>
        </w:rPr>
        <w:t>所检项目未发现不</w:t>
      </w:r>
      <w:r>
        <w:rPr>
          <w:rFonts w:ascii="宋体" w:hAnsi="宋体" w:cs="Calibri"/>
          <w:szCs w:val="21"/>
        </w:rPr>
        <w:t>合格；检验项目中任一项或一项以上不合格，判定为被抽查产品不合格。</w:t>
      </w:r>
    </w:p>
    <w:p w14:paraId="4ACE7C74">
      <w:pPr>
        <w:snapToGrid w:val="0"/>
        <w:spacing w:line="440" w:lineRule="exact"/>
        <w:ind w:firstLine="424" w:firstLineChars="202"/>
        <w:rPr>
          <w:rFonts w:ascii="宋体" w:hAnsi="宋体" w:cs="Calibri"/>
          <w:szCs w:val="21"/>
        </w:rPr>
      </w:pPr>
      <w:r>
        <w:rPr>
          <w:rFonts w:ascii="宋体" w:hAnsi="宋体" w:cs="Calibri"/>
          <w:szCs w:val="21"/>
        </w:rPr>
        <w:t>若被检产品明示的质量要求高于本细则中检验项目依据的标准要求时，应按被检产品明示的质量要求判定。</w:t>
      </w:r>
    </w:p>
    <w:p w14:paraId="2D5A551D">
      <w:pPr>
        <w:snapToGrid w:val="0"/>
        <w:spacing w:line="440" w:lineRule="exact"/>
        <w:ind w:firstLine="424" w:firstLineChars="202"/>
        <w:rPr>
          <w:rFonts w:ascii="宋体" w:hAnsi="宋体" w:cs="Calibri"/>
          <w:szCs w:val="21"/>
        </w:rPr>
      </w:pPr>
      <w:r>
        <w:rPr>
          <w:rFonts w:ascii="宋体" w:hAnsi="宋体" w:cs="Calibri"/>
          <w:szCs w:val="21"/>
        </w:rPr>
        <w:t>若被检产品明示的质量要求低于本细则中检验项目依据的强制性标准要求时，应按照强制性标准要求判定。</w:t>
      </w:r>
    </w:p>
    <w:p w14:paraId="7C490A8D">
      <w:pPr>
        <w:snapToGrid w:val="0"/>
        <w:spacing w:line="440" w:lineRule="exact"/>
        <w:ind w:firstLine="424" w:firstLineChars="202"/>
        <w:rPr>
          <w:rFonts w:ascii="宋体" w:hAnsi="宋体" w:cs="Calibri"/>
          <w:szCs w:val="21"/>
        </w:rPr>
      </w:pPr>
      <w:r>
        <w:rPr>
          <w:rFonts w:ascii="宋体" w:hAnsi="宋体" w:cs="Calibri"/>
          <w:szCs w:val="21"/>
        </w:rPr>
        <w:t>若被检产品明示的质量要求低于或包含本细则中检验项目依据的推荐性标准要求时，应以被检产品明示的质量要求判定。</w:t>
      </w:r>
    </w:p>
    <w:p w14:paraId="317A4279">
      <w:pPr>
        <w:snapToGrid w:val="0"/>
        <w:spacing w:line="440" w:lineRule="exact"/>
        <w:ind w:firstLine="424" w:firstLineChars="202"/>
        <w:rPr>
          <w:rFonts w:ascii="宋体" w:hAnsi="宋体" w:cs="Calibri"/>
          <w:szCs w:val="21"/>
        </w:rPr>
      </w:pPr>
      <w:r>
        <w:rPr>
          <w:rFonts w:ascii="宋体" w:hAnsi="宋体" w:cs="Calibri"/>
          <w:szCs w:val="21"/>
        </w:rPr>
        <w:t>若被检产品明示的质量要求缺少本细则中检验项目依据的强制性标准要求时，应按照强制性标准要求判定。</w:t>
      </w:r>
    </w:p>
    <w:p w14:paraId="110FC391">
      <w:pPr>
        <w:snapToGrid w:val="0"/>
        <w:spacing w:line="440" w:lineRule="exact"/>
        <w:ind w:firstLine="424" w:firstLineChars="202"/>
        <w:rPr>
          <w:rFonts w:ascii="宋体" w:hAnsi="宋体" w:cs="Calibri"/>
          <w:szCs w:val="21"/>
        </w:rPr>
      </w:pPr>
      <w:r>
        <w:rPr>
          <w:rFonts w:ascii="宋体" w:hAnsi="宋体" w:cs="Calibri"/>
          <w:szCs w:val="21"/>
        </w:rPr>
        <w:t>若被检产品明示的质量要求缺少本细则中检验项目依据的推荐性标准要求时，该项目不参与判定。</w:t>
      </w:r>
    </w:p>
    <w:p w14:paraId="40E65EC6">
      <w:pPr>
        <w:snapToGrid w:val="0"/>
        <w:spacing w:line="440" w:lineRule="exact"/>
        <w:ind w:firstLine="420" w:firstLineChars="200"/>
        <w:rPr>
          <w:rFonts w:ascii="宋体" w:hAnsi="宋体"/>
          <w:color w:val="FF0000"/>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仿宋简体">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38CCC">
    <w:pPr>
      <w:pStyle w:val="2"/>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727239A3">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96B60">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2</w:t>
    </w:r>
    <w:r>
      <w:fldChar w:fldCharType="end"/>
    </w:r>
  </w:p>
  <w:p w14:paraId="3D640C38">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52C92">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1A44"/>
    <w:rsid w:val="00081CBD"/>
    <w:rsid w:val="000976DE"/>
    <w:rsid w:val="00172A27"/>
    <w:rsid w:val="001809DD"/>
    <w:rsid w:val="001D1B19"/>
    <w:rsid w:val="00210825"/>
    <w:rsid w:val="00253624"/>
    <w:rsid w:val="0026367D"/>
    <w:rsid w:val="002D7F8A"/>
    <w:rsid w:val="002E0D1D"/>
    <w:rsid w:val="003203A3"/>
    <w:rsid w:val="00331CE0"/>
    <w:rsid w:val="003C388C"/>
    <w:rsid w:val="003D01C5"/>
    <w:rsid w:val="003E61BF"/>
    <w:rsid w:val="00407067"/>
    <w:rsid w:val="00423CA3"/>
    <w:rsid w:val="00445E86"/>
    <w:rsid w:val="00453DFC"/>
    <w:rsid w:val="004701A8"/>
    <w:rsid w:val="00474E04"/>
    <w:rsid w:val="004815FB"/>
    <w:rsid w:val="004D0C5A"/>
    <w:rsid w:val="004E1396"/>
    <w:rsid w:val="004E42B4"/>
    <w:rsid w:val="004F73AF"/>
    <w:rsid w:val="00520B47"/>
    <w:rsid w:val="0053398C"/>
    <w:rsid w:val="00563EBC"/>
    <w:rsid w:val="00577241"/>
    <w:rsid w:val="005D7A5A"/>
    <w:rsid w:val="00674302"/>
    <w:rsid w:val="00686B4D"/>
    <w:rsid w:val="006F0971"/>
    <w:rsid w:val="00705DD0"/>
    <w:rsid w:val="0072334C"/>
    <w:rsid w:val="007703FB"/>
    <w:rsid w:val="007836AA"/>
    <w:rsid w:val="007A0554"/>
    <w:rsid w:val="007B617E"/>
    <w:rsid w:val="00892748"/>
    <w:rsid w:val="00894C11"/>
    <w:rsid w:val="00895BEA"/>
    <w:rsid w:val="008A3497"/>
    <w:rsid w:val="00917A54"/>
    <w:rsid w:val="00A07132"/>
    <w:rsid w:val="00A377A8"/>
    <w:rsid w:val="00A43553"/>
    <w:rsid w:val="00A529D6"/>
    <w:rsid w:val="00AF0195"/>
    <w:rsid w:val="00BB6027"/>
    <w:rsid w:val="00BC5F02"/>
    <w:rsid w:val="00BC6140"/>
    <w:rsid w:val="00C26074"/>
    <w:rsid w:val="00C806B7"/>
    <w:rsid w:val="00C83B0A"/>
    <w:rsid w:val="00CC7EB5"/>
    <w:rsid w:val="00CD05D7"/>
    <w:rsid w:val="00CE1E0C"/>
    <w:rsid w:val="00CE277E"/>
    <w:rsid w:val="00CE380B"/>
    <w:rsid w:val="00D26E76"/>
    <w:rsid w:val="00D56867"/>
    <w:rsid w:val="00DA45C4"/>
    <w:rsid w:val="00E02A7F"/>
    <w:rsid w:val="00E07880"/>
    <w:rsid w:val="00E7020E"/>
    <w:rsid w:val="00E82621"/>
    <w:rsid w:val="00EA50A1"/>
    <w:rsid w:val="00F052D3"/>
    <w:rsid w:val="00F30319"/>
    <w:rsid w:val="00F77C9A"/>
    <w:rsid w:val="00F82151"/>
    <w:rsid w:val="00F90C7E"/>
    <w:rsid w:val="00FB576C"/>
    <w:rsid w:val="00FD2AA6"/>
    <w:rsid w:val="00FE7E8A"/>
    <w:rsid w:val="5E98353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脚 Char"/>
    <w:basedOn w:val="5"/>
    <w:link w:val="2"/>
    <w:qFormat/>
    <w:uiPriority w:val="99"/>
    <w:rPr>
      <w:kern w:val="2"/>
      <w:sz w:val="18"/>
      <w:szCs w:val="18"/>
    </w:rPr>
  </w:style>
  <w:style w:type="character" w:customStyle="1" w:styleId="8">
    <w:name w:val="页眉 Char"/>
    <w:basedOn w:val="5"/>
    <w:link w:val="3"/>
    <w:semiHidden/>
    <w:qFormat/>
    <w:uiPriority w:val="99"/>
    <w:rPr>
      <w:kern w:val="2"/>
      <w:sz w:val="18"/>
      <w:szCs w:val="18"/>
    </w:rPr>
  </w:style>
  <w:style w:type="paragraph" w:customStyle="1" w:styleId="9">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63093-4F54-4DC8-ABFA-ACBD13032036}">
  <ds:schemaRefs/>
</ds:datastoreItem>
</file>

<file path=docProps/app.xml><?xml version="1.0" encoding="utf-8"?>
<Properties xmlns="http://schemas.openxmlformats.org/officeDocument/2006/extended-properties" xmlns:vt="http://schemas.openxmlformats.org/officeDocument/2006/docPropsVTypes">
  <Template>Normal.dotm</Template>
  <Company>Legend (Beijing) Limited</Company>
  <Pages>2</Pages>
  <Words>846</Words>
  <Characters>1136</Characters>
  <Lines>9</Lines>
  <Paragraphs>2</Paragraphs>
  <TotalTime>4</TotalTime>
  <ScaleCrop>false</ScaleCrop>
  <LinksUpToDate>false</LinksUpToDate>
  <CharactersWithSpaces>1170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2024-04-12T01:29:00Z</dcterms:created>
  <dc:creator>Legend User</dc:creator>
  <cp:lastModifiedBy>WPS_1528979851</cp:lastModifiedBy>
  <cp:lastPrinted>2019-12-05T07:53:00Z</cp:lastPrinted>
  <dcterms:modified xsi:type="dcterms:W3CDTF">2025-09-15T02:17:45Z</dcterms:modified>
  <dc:title>××产品质量监督抽查实施细则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eyJoZGlkIjoiMmM0Nzk5MTY5YWJhYzlmNTAzY2FkMTNjY2I2MDhjODYiLCJ1c2VySWQiOiIzNzg0Njg0MTUifQ==</vt:lpwstr>
  </property>
  <property fmtid="{D5CDD505-2E9C-101B-9397-08002B2CF9AE}" pid="4" name="ICV">
    <vt:lpwstr>A9A1B593F0AA4E53ABE64969520729D9_13</vt:lpwstr>
  </property>
</Properties>
</file>