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 w:line="400" w:lineRule="atLeast"/>
        <w:ind w:left="0" w:leftChars="0" w:firstLine="0" w:firstLineChars="0"/>
        <w:rPr>
          <w:rFonts w:hint="eastAsia" w:ascii="Times New Roman" w:hAnsi="Times New Roman" w:eastAsia="方正黑体_GBK" w:cs="Times New Roman"/>
          <w:sz w:val="30"/>
          <w:szCs w:val="30"/>
          <w:lang w:val="en-US" w:eastAsia="zh-CN"/>
        </w:rPr>
      </w:pPr>
      <w:r>
        <w:rPr>
          <w:rFonts w:hint="eastAsia" w:ascii="Times New Roman" w:hAnsi="Times New Roman" w:eastAsia="方正黑体_GBK" w:cs="Times New Roman"/>
          <w:sz w:val="30"/>
          <w:szCs w:val="30"/>
          <w:lang w:val="en-US" w:eastAsia="zh-CN"/>
        </w:rPr>
        <w:t>附件1</w:t>
      </w:r>
    </w:p>
    <w:p>
      <w:pPr>
        <w:pStyle w:val="2"/>
        <w:rPr>
          <w:rFonts w:hint="eastAsia"/>
          <w:lang w:val="en-US" w:eastAsia="zh-CN"/>
        </w:rPr>
      </w:pPr>
    </w:p>
    <w:p>
      <w:pPr>
        <w:pStyle w:val="2"/>
        <w:rPr>
          <w:rFonts w:hint="eastAsia"/>
          <w:lang w:val="en-US" w:eastAsia="zh-CN"/>
        </w:rPr>
      </w:pPr>
      <w:r>
        <w:rPr>
          <w:rFonts w:hint="eastAsia"/>
          <w:lang w:val="en-US" w:eastAsia="zh-CN"/>
        </w:rPr>
        <w:t>民政部区划地名司2024年课题研究要点</w:t>
      </w:r>
    </w:p>
    <w:p>
      <w:pPr>
        <w:rPr>
          <w:rFonts w:hint="default"/>
          <w:lang w:val="en-US" w:eastAsia="zh-CN"/>
        </w:rPr>
      </w:pPr>
    </w:p>
    <w:p>
      <w:pPr>
        <w:pStyle w:val="3"/>
        <w:rPr>
          <w:rFonts w:hint="default"/>
          <w:lang w:val="en-US" w:eastAsia="zh-CN"/>
        </w:rPr>
      </w:pPr>
      <w:r>
        <w:rPr>
          <w:rFonts w:hint="eastAsia"/>
          <w:lang w:val="en-US" w:eastAsia="zh-CN"/>
        </w:rPr>
        <w:t>一、高质量发展背景下的行政区划设置研究</w:t>
      </w:r>
    </w:p>
    <w:p>
      <w:pPr>
        <w:ind w:firstLine="640" w:firstLineChars="200"/>
        <w:rPr>
          <w:rFonts w:hint="default"/>
          <w:lang w:val="en-US" w:eastAsia="zh-CN"/>
        </w:rPr>
      </w:pPr>
      <w:r>
        <w:rPr>
          <w:rFonts w:hint="eastAsia"/>
          <w:lang w:val="en-US" w:eastAsia="zh-CN"/>
        </w:rPr>
        <w:t>围绕落实党中央关于构建全国统一大市场、因地制宜发展新质生产力、推进实施区域重大战略等重大决策部署，研究梳理不同区域、不同板块行政区划设置存在的主要不适应问题，分析新时代背景下生产力和生产关系、经济基础和上层建筑间新变化对行政区划设置提出的新要求，研究提出在保持总体稳定基础上适应高质量发展要求、服务国家重大战略、稳审优化行政区划设置的战略目标和总体方向，提出相关政策建议。</w:t>
      </w:r>
    </w:p>
    <w:p>
      <w:pPr>
        <w:pStyle w:val="3"/>
        <w:rPr>
          <w:rFonts w:hint="default"/>
          <w:lang w:val="en-US" w:eastAsia="zh-CN"/>
        </w:rPr>
      </w:pPr>
      <w:r>
        <w:rPr>
          <w:rFonts w:hint="eastAsia"/>
          <w:lang w:val="en-US" w:eastAsia="zh-CN"/>
        </w:rPr>
        <w:t>二、围绕促进城乡融合发展优化行政区划设置研究</w:t>
      </w:r>
    </w:p>
    <w:p>
      <w:pPr>
        <w:ind w:firstLine="640" w:firstLineChars="200"/>
        <w:rPr>
          <w:rFonts w:hint="default"/>
          <w:lang w:val="en-US" w:eastAsia="zh-CN"/>
        </w:rPr>
      </w:pPr>
      <w:r>
        <w:rPr>
          <w:rFonts w:hint="eastAsia"/>
          <w:lang w:val="en-US" w:eastAsia="zh-CN"/>
        </w:rPr>
        <w:t>统筹新型工业化、新型城镇化和乡村全面振兴，围绕全面提高城乡规划、建设、治理融合水平，促进城乡要素平等交换、双向流动，立足推动大中小城市和小城镇协调发展、集约紧凑发展，分类研究不同层级、规模、类型市镇行政区划设置存在的不适应问题，分析产业升级、人口集聚、城镇发展良性互动的新型城镇化发展格局对行政区划设置提出的新要求，提出稳审优化行政区划设置的思路举措和政策建议。</w:t>
      </w:r>
    </w:p>
    <w:p>
      <w:pPr>
        <w:pStyle w:val="3"/>
        <w:rPr>
          <w:rFonts w:hint="default"/>
          <w:lang w:val="en-US" w:eastAsia="zh-CN"/>
        </w:rPr>
      </w:pPr>
      <w:r>
        <w:rPr>
          <w:rFonts w:hint="eastAsia"/>
          <w:lang w:val="en-US" w:eastAsia="zh-CN"/>
        </w:rPr>
        <w:t>三、城市建设、运营、治理体制改革与行政区划设置研究</w:t>
      </w:r>
    </w:p>
    <w:p>
      <w:pPr>
        <w:ind w:firstLine="640" w:firstLineChars="200"/>
        <w:rPr>
          <w:rFonts w:hint="eastAsia"/>
          <w:lang w:val="en-US" w:eastAsia="zh-CN"/>
        </w:rPr>
      </w:pPr>
      <w:r>
        <w:rPr>
          <w:rFonts w:hint="eastAsia"/>
          <w:lang w:val="en-US" w:eastAsia="zh-CN"/>
        </w:rPr>
        <w:t>围绕加快转变城市发展方式，提升治理科学化、精细化、规范化、法治化水平，统筹生产需要、生活需要、生态需要、安全需要，分析城市及其内部行政区划设置与城市建设、运营、治理改革的内在联系和作用关系，梳理行政区划设置存在的不适应矛盾问题，提出围绕全面提升城市建设、运营、治理水平稳妥慎优化行政区划设置的政策建议。</w:t>
      </w:r>
    </w:p>
    <w:p>
      <w:pPr>
        <w:pStyle w:val="3"/>
        <w:rPr>
          <w:rFonts w:hint="default"/>
          <w:lang w:val="en-US" w:eastAsia="zh-CN"/>
        </w:rPr>
      </w:pPr>
      <w:r>
        <w:rPr>
          <w:rFonts w:hint="eastAsia"/>
          <w:lang w:val="en-US" w:eastAsia="zh-CN"/>
        </w:rPr>
        <w:t>四、优化行政资源配置与</w:t>
      </w:r>
      <w:r>
        <w:rPr>
          <w:rFonts w:hint="default"/>
          <w:lang w:val="en-US" w:eastAsia="zh-CN"/>
        </w:rPr>
        <w:t>适应人口变化优化行政区划设置研究</w:t>
      </w:r>
    </w:p>
    <w:p>
      <w:pPr>
        <w:ind w:firstLine="640" w:firstLineChars="200"/>
        <w:rPr>
          <w:rFonts w:hint="default"/>
          <w:lang w:val="en-US" w:eastAsia="zh-CN"/>
        </w:rPr>
      </w:pPr>
      <w:r>
        <w:rPr>
          <w:rFonts w:hint="eastAsia"/>
          <w:lang w:val="en-US" w:eastAsia="zh-CN"/>
        </w:rPr>
        <w:t>立足发挥行政区划配置行政资源、提供公共服务重要依据作用，针对</w:t>
      </w:r>
      <w:r>
        <w:rPr>
          <w:rFonts w:hint="default"/>
          <w:lang w:val="en-US" w:eastAsia="zh-CN"/>
        </w:rPr>
        <w:t>我国人口发展少子化、老龄化、区域人口增减分化的趋势性特征，把握人口流动客观规律，</w:t>
      </w:r>
      <w:r>
        <w:rPr>
          <w:rFonts w:hint="eastAsia"/>
          <w:lang w:val="en-US" w:eastAsia="zh-CN"/>
        </w:rPr>
        <w:t>落实公共服务随人走要求，</w:t>
      </w:r>
      <w:r>
        <w:rPr>
          <w:rFonts w:hint="default"/>
          <w:lang w:val="en-US" w:eastAsia="zh-CN"/>
        </w:rPr>
        <w:t>分析人口流入</w:t>
      </w:r>
      <w:r>
        <w:rPr>
          <w:rFonts w:hint="eastAsia"/>
          <w:lang w:val="en-US" w:eastAsia="zh-CN"/>
        </w:rPr>
        <w:t>和</w:t>
      </w:r>
      <w:r>
        <w:rPr>
          <w:rFonts w:hint="default"/>
          <w:lang w:val="en-US" w:eastAsia="zh-CN"/>
        </w:rPr>
        <w:t>流出</w:t>
      </w:r>
      <w:r>
        <w:rPr>
          <w:rFonts w:hint="eastAsia"/>
          <w:lang w:val="en-US" w:eastAsia="zh-CN"/>
        </w:rPr>
        <w:t>地区</w:t>
      </w:r>
      <w:r>
        <w:rPr>
          <w:rFonts w:hint="default"/>
          <w:lang w:val="en-US" w:eastAsia="zh-CN"/>
        </w:rPr>
        <w:t>行政区划设置现状</w:t>
      </w:r>
      <w:r>
        <w:rPr>
          <w:rFonts w:hint="eastAsia"/>
          <w:lang w:val="en-US" w:eastAsia="zh-CN"/>
        </w:rPr>
        <w:t>以及不适应问题</w:t>
      </w:r>
      <w:r>
        <w:rPr>
          <w:rFonts w:hint="default"/>
          <w:lang w:val="en-US" w:eastAsia="zh-CN"/>
        </w:rPr>
        <w:t>，围绕增强行政区划结构体系与人口发展新常态的匹配度，结合经济社会发展、社会治理、公共服务等方面因素，</w:t>
      </w:r>
      <w:r>
        <w:rPr>
          <w:rFonts w:hint="eastAsia"/>
          <w:lang w:val="en-US" w:eastAsia="zh-CN"/>
        </w:rPr>
        <w:t>统筹</w:t>
      </w:r>
      <w:r>
        <w:rPr>
          <w:rFonts w:hint="default"/>
          <w:lang w:val="en-US" w:eastAsia="zh-CN"/>
        </w:rPr>
        <w:t>分类提出优化思路和相关政策建议。</w:t>
      </w:r>
    </w:p>
    <w:p>
      <w:pPr>
        <w:pStyle w:val="3"/>
        <w:rPr>
          <w:rFonts w:hint="default"/>
          <w:lang w:val="en-US" w:eastAsia="zh-CN"/>
        </w:rPr>
      </w:pPr>
      <w:r>
        <w:rPr>
          <w:rFonts w:hint="eastAsia"/>
          <w:lang w:val="en-US" w:eastAsia="zh-CN"/>
        </w:rPr>
        <w:t>五、适应新时代美丽中国建设的行政区划设置研究</w:t>
      </w:r>
    </w:p>
    <w:p>
      <w:pPr>
        <w:ind w:firstLine="640" w:firstLineChars="200"/>
        <w:rPr>
          <w:rFonts w:hint="default"/>
          <w:lang w:val="en-US" w:eastAsia="zh-CN"/>
        </w:rPr>
      </w:pPr>
      <w:r>
        <w:rPr>
          <w:rFonts w:hint="eastAsia"/>
          <w:lang w:val="en-US" w:eastAsia="zh-CN"/>
        </w:rPr>
        <w:t>围绕生态环境系统治理要求，服务</w:t>
      </w:r>
      <w:r>
        <w:rPr>
          <w:rFonts w:hint="default"/>
          <w:lang w:val="en-US" w:eastAsia="zh-CN"/>
        </w:rPr>
        <w:t>生态文明</w:t>
      </w:r>
      <w:r>
        <w:rPr>
          <w:rFonts w:hint="eastAsia"/>
          <w:lang w:val="en-US" w:eastAsia="zh-CN"/>
        </w:rPr>
        <w:t>基础体制、生态环境治理体系建设，总结行政区划设置和调整服务生态文明建设和生态环境保护的经验与成效，定量分析与定性分析相结合，围绕支撑全方位、全地域、全过程生态环境保护，服务流域和湖泊生态系统综合治理、协同治理，支持重点生态功能区一体化监管保护等，研究提出优化行政区划设置思路举措和政策建议。</w:t>
      </w:r>
    </w:p>
    <w:p>
      <w:pPr>
        <w:pStyle w:val="3"/>
        <w:rPr>
          <w:rFonts w:hint="eastAsia"/>
          <w:lang w:val="en-US" w:eastAsia="zh-CN"/>
        </w:rPr>
      </w:pPr>
      <w:r>
        <w:rPr>
          <w:rFonts w:hint="eastAsia"/>
          <w:lang w:val="en-US" w:eastAsia="zh-CN"/>
        </w:rPr>
        <w:t>六、围绕加强乡镇（街道）服务管理力量优化基层行政区划设置研究</w:t>
      </w:r>
      <w:bookmarkStart w:id="0" w:name="_GoBack"/>
      <w:bookmarkEnd w:id="0"/>
    </w:p>
    <w:p>
      <w:pPr>
        <w:ind w:firstLine="640" w:firstLineChars="200"/>
        <w:rPr>
          <w:rFonts w:hint="default"/>
          <w:lang w:val="en-US" w:eastAsia="zh-CN"/>
        </w:rPr>
      </w:pPr>
      <w:r>
        <w:rPr>
          <w:rFonts w:hint="eastAsia"/>
          <w:lang w:val="en-US" w:eastAsia="zh-CN"/>
        </w:rPr>
        <w:t>以推进基层治理体系和治理能力现代化为导向，围绕优化基层行政资源配置，提升乡镇（街道）职责和权利、资源匹配度，加强乡镇（街道）服务管理力量，防范化解基层治理风险，研究乡镇（街道）基层行政区划设置规律机理和内在逻辑，梳理基层行政区划设置存在的突出不适应问题，提出优化基层行政区划设置的制度机制、思路方向、路径举措等方面政策建议。</w:t>
      </w:r>
    </w:p>
    <w:p>
      <w:pPr>
        <w:pStyle w:val="3"/>
        <w:rPr>
          <w:rFonts w:hint="default"/>
          <w:lang w:val="en-US" w:eastAsia="zh-CN"/>
        </w:rPr>
      </w:pPr>
      <w:r>
        <w:rPr>
          <w:rFonts w:hint="eastAsia"/>
          <w:lang w:val="en-US" w:eastAsia="zh-CN"/>
        </w:rPr>
        <w:t>七、</w:t>
      </w:r>
      <w:r>
        <w:rPr>
          <w:rFonts w:hint="default"/>
          <w:lang w:val="en-US" w:eastAsia="zh-CN"/>
        </w:rPr>
        <w:t>行政</w:t>
      </w:r>
      <w:r>
        <w:rPr>
          <w:rFonts w:hint="eastAsia"/>
          <w:lang w:val="en-US" w:eastAsia="zh-CN"/>
        </w:rPr>
        <w:t>区划</w:t>
      </w:r>
      <w:r>
        <w:rPr>
          <w:rFonts w:hint="default"/>
          <w:lang w:val="en-US" w:eastAsia="zh-CN"/>
        </w:rPr>
        <w:t>与主体功能区</w:t>
      </w:r>
      <w:r>
        <w:rPr>
          <w:rFonts w:hint="eastAsia"/>
          <w:lang w:val="en-US" w:eastAsia="zh-CN"/>
        </w:rPr>
        <w:t>适配性评价及双向优化调整机制</w:t>
      </w:r>
      <w:r>
        <w:rPr>
          <w:rFonts w:hint="default"/>
          <w:lang w:val="en-US" w:eastAsia="zh-CN"/>
        </w:rPr>
        <w:t>研究</w:t>
      </w:r>
    </w:p>
    <w:p>
      <w:pPr>
        <w:ind w:firstLine="640" w:firstLineChars="200"/>
        <w:rPr>
          <w:rFonts w:hint="default"/>
          <w:lang w:val="en-US" w:eastAsia="zh-CN"/>
        </w:rPr>
      </w:pPr>
      <w:r>
        <w:rPr>
          <w:rFonts w:hint="default"/>
          <w:lang w:val="en-US" w:eastAsia="zh-CN"/>
        </w:rPr>
        <w:t>以县级政区为</w:t>
      </w:r>
      <w:r>
        <w:rPr>
          <w:rFonts w:hint="eastAsia"/>
          <w:lang w:val="en-US" w:eastAsia="zh-CN"/>
        </w:rPr>
        <w:t>基本单元</w:t>
      </w:r>
      <w:r>
        <w:rPr>
          <w:rFonts w:hint="default"/>
          <w:lang w:val="en-US" w:eastAsia="zh-CN"/>
        </w:rPr>
        <w:t>，</w:t>
      </w:r>
      <w:r>
        <w:rPr>
          <w:rFonts w:hint="eastAsia"/>
          <w:lang w:val="en-US" w:eastAsia="zh-CN"/>
        </w:rPr>
        <w:t>研究行政区划设置与主体功能区战略实施以及主体功能区划分的内在联系与规律机理，</w:t>
      </w:r>
      <w:r>
        <w:rPr>
          <w:rFonts w:hint="default"/>
          <w:lang w:val="en-US" w:eastAsia="zh-CN"/>
        </w:rPr>
        <w:t>系统分析行政</w:t>
      </w:r>
      <w:r>
        <w:rPr>
          <w:rFonts w:hint="eastAsia"/>
          <w:lang w:val="en-US" w:eastAsia="zh-CN"/>
        </w:rPr>
        <w:t>区划</w:t>
      </w:r>
      <w:r>
        <w:rPr>
          <w:rFonts w:hint="default"/>
          <w:lang w:val="en-US" w:eastAsia="zh-CN"/>
        </w:rPr>
        <w:t>与主体功能</w:t>
      </w:r>
      <w:r>
        <w:rPr>
          <w:rFonts w:hint="eastAsia"/>
          <w:lang w:val="en-US" w:eastAsia="zh-CN"/>
        </w:rPr>
        <w:t>区</w:t>
      </w:r>
      <w:r>
        <w:rPr>
          <w:rFonts w:hint="default"/>
          <w:lang w:val="en-US" w:eastAsia="zh-CN"/>
        </w:rPr>
        <w:t>的适配</w:t>
      </w:r>
      <w:r>
        <w:rPr>
          <w:rFonts w:hint="eastAsia"/>
          <w:lang w:val="en-US" w:eastAsia="zh-CN"/>
        </w:rPr>
        <w:t>情况，研究行政区划与主体功能区不适配的主要表现形式和原因，提出行政区划与主体功能区适配性评价的路径、方法、标准，提出综合运用评估结果推动行政区划与主体功能区划双向优化调整的政策建议。</w:t>
      </w:r>
    </w:p>
    <w:p>
      <w:pPr>
        <w:pStyle w:val="3"/>
        <w:rPr>
          <w:rFonts w:hint="eastAsia"/>
          <w:lang w:val="en-US" w:eastAsia="zh-CN"/>
        </w:rPr>
      </w:pPr>
      <w:r>
        <w:rPr>
          <w:rFonts w:hint="eastAsia"/>
          <w:lang w:val="en-US" w:eastAsia="zh-CN"/>
        </w:rPr>
        <w:t>八、边境口岸城镇及沿边地区行政区划设置研究</w:t>
      </w:r>
    </w:p>
    <w:p>
      <w:pPr>
        <w:ind w:firstLine="640" w:firstLineChars="200"/>
        <w:rPr>
          <w:rFonts w:hint="default"/>
          <w:lang w:val="en-US" w:eastAsia="zh-CN"/>
        </w:rPr>
      </w:pPr>
      <w:r>
        <w:rPr>
          <w:rFonts w:hint="eastAsia"/>
          <w:lang w:val="en-US" w:eastAsia="zh-CN"/>
        </w:rPr>
        <w:t>围绕提高中西部和东北地区开放水平以及加快形成陆海内外联动、东西双向互济的全面开放格局战略部署，以中西部和东北地区边境口岸为重点，分析行政区划设置与边境口岸和沿边地区高质量发展的内在联系，研究边境城镇及沿边行政区设置存在的不适应问题，提出优化行政区划设置的思路建议。</w:t>
      </w:r>
    </w:p>
    <w:p>
      <w:pPr>
        <w:pStyle w:val="3"/>
        <w:rPr>
          <w:rFonts w:hint="eastAsia"/>
          <w:lang w:val="en-US" w:eastAsia="zh-CN"/>
        </w:rPr>
      </w:pPr>
      <w:r>
        <w:rPr>
          <w:rFonts w:hint="eastAsia"/>
          <w:lang w:val="en-US" w:eastAsia="zh-CN"/>
        </w:rPr>
        <w:t>九、行政区划设置和调整的国际比较研究</w:t>
      </w:r>
    </w:p>
    <w:p>
      <w:pPr>
        <w:ind w:firstLine="640" w:firstLineChars="200"/>
        <w:rPr>
          <w:rFonts w:hint="eastAsia"/>
          <w:lang w:val="en-US" w:eastAsia="zh-CN"/>
        </w:rPr>
      </w:pPr>
      <w:r>
        <w:rPr>
          <w:rFonts w:hint="eastAsia"/>
          <w:lang w:val="en-US" w:eastAsia="zh-CN"/>
        </w:rPr>
        <w:t>一是梳理周边国家行政区划管理法规制度及设置和调整情况，分析不同国家行政区划设置和调整的规律特点，总结相关经验、教训和启示，提出政策建议。二是梳理其他国家行政区划管理法规制度及设置和调整情况，重点研究工业化、城镇化快速推进等经济社会转型发展时期行政区划调整情况，分析相关国家行政区划设置和调整的特点、规律及成效、问题，总结相关经验、教训和启示，提出政策建议。</w:t>
      </w:r>
    </w:p>
    <w:p>
      <w:pPr>
        <w:pStyle w:val="3"/>
        <w:rPr>
          <w:rFonts w:hint="eastAsia"/>
          <w:lang w:val="en-US" w:eastAsia="zh-CN"/>
        </w:rPr>
      </w:pPr>
      <w:r>
        <w:rPr>
          <w:rFonts w:hint="eastAsia"/>
          <w:lang w:val="en-US" w:eastAsia="zh-CN"/>
        </w:rPr>
        <w:t>十、行政区划基础理论研究</w:t>
      </w:r>
    </w:p>
    <w:p>
      <w:pPr>
        <w:ind w:firstLine="640" w:firstLineChars="200"/>
        <w:rPr>
          <w:rFonts w:hint="eastAsia"/>
          <w:lang w:val="en-US" w:eastAsia="zh-CN"/>
        </w:rPr>
      </w:pPr>
      <w:r>
        <w:rPr>
          <w:rFonts w:hint="eastAsia"/>
          <w:lang w:val="en-US" w:eastAsia="zh-CN"/>
        </w:rPr>
        <w:t>深入贯彻落实党的二十大、二十届三中全会精神和党中央重大决策部署，围绕“行政区划本身也是一种重要资源”的重要论述，以辩证唯物主义和历史唯物主义为指导，立足党和国家事业发展全局，综合分析行政区划理论与实践经验，深刻总结历史规律和发展规律，系统分析新时代背景下行政区划在党治国理政、推进国家治理体系和治理能力现代化、国家统一和文化传承以及明确地方各级政府职责范围、配置行政资源、提供公共服务等方面的重要作用，深入阐释行政区划作为我国政治优势和制度优势的重要体现，适应国家发展战略、经济社会发展、国防建设需要，构建把握历史与现实、统筹发展和安全、协调局部与全局、结合当前与长远的符合中国式现代化本质要求的行政区划理论体系。</w:t>
      </w:r>
    </w:p>
    <w:p>
      <w:pPr>
        <w:pStyle w:val="3"/>
        <w:rPr>
          <w:rFonts w:hint="eastAsia"/>
          <w:lang w:val="en-US" w:eastAsia="zh-CN"/>
        </w:rPr>
      </w:pPr>
      <w:r>
        <w:rPr>
          <w:rFonts w:hint="eastAsia"/>
          <w:lang w:val="en-US" w:eastAsia="zh-CN"/>
        </w:rPr>
        <w:t>十一、行政区划调整组织实施动态监测和跟踪评估机制研究</w:t>
      </w:r>
    </w:p>
    <w:p>
      <w:pPr>
        <w:ind w:firstLine="640" w:firstLineChars="200"/>
        <w:rPr>
          <w:rFonts w:hint="eastAsia"/>
          <w:lang w:val="en-US" w:eastAsia="zh-CN"/>
        </w:rPr>
      </w:pPr>
      <w:r>
        <w:rPr>
          <w:rFonts w:hint="eastAsia"/>
          <w:lang w:val="en-US" w:eastAsia="zh-CN"/>
        </w:rPr>
        <w:t>以全面落实党中央集中统一领导、确保党中央决策部署不折不扣贯彻落实为导向，在全面梳理行政区划调整组织实施步骤及各阶段主要举措的基础上，从修改完善相关规划、调整优化管理体制机制、改善提升基础设施条件和公共服务能力、传承历史文化等方面，研究提出组织实施动态监测和跟踪评估的指标、标准、手段等，结合典型案例剖析，提出建立健全相关工作机制的政策建议。</w:t>
      </w:r>
    </w:p>
    <w:p>
      <w:pPr>
        <w:ind w:firstLine="640" w:firstLineChars="200"/>
        <w:rPr>
          <w:rFonts w:hint="default"/>
          <w:lang w:val="en-US" w:eastAsia="zh-CN"/>
        </w:rPr>
      </w:pPr>
    </w:p>
    <w:sectPr>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libri">
    <w:panose1 w:val="020F0502020204030204"/>
    <w:charset w:val="00"/>
    <w:family w:val="auto"/>
    <w:pitch w:val="default"/>
    <w:sig w:usb0="E0002EFF" w:usb1="C000247B" w:usb2="00000009" w:usb3="00000000" w:csb0="200001FF" w:csb1="00000000"/>
  </w:font>
  <w:font w:name="方正大黑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r>
      <w:rPr>
        <w:rFonts w:ascii="方正仿宋_GBK" w:hAnsi="方正仿宋_GBK" w:eastAsia="方正仿宋_GBK" w:cs="宋体"/>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6"/>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- 1 -</w:t>
                </w:r>
                <w:r>
                  <w:rPr>
                    <w:rFonts w:hint="eastAsia"/>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TQ4ODQwNThiYTg4YTBlNDhkZDRmNGNiNWM5NWE1YzAifQ=="/>
  </w:docVars>
  <w:rsids>
    <w:rsidRoot w:val="00000000"/>
    <w:rsid w:val="0205576F"/>
    <w:rsid w:val="02817AC3"/>
    <w:rsid w:val="0343647B"/>
    <w:rsid w:val="06976C90"/>
    <w:rsid w:val="08056632"/>
    <w:rsid w:val="083C1376"/>
    <w:rsid w:val="092C4CA7"/>
    <w:rsid w:val="09384631"/>
    <w:rsid w:val="0A965011"/>
    <w:rsid w:val="0AE33265"/>
    <w:rsid w:val="10E31C0F"/>
    <w:rsid w:val="117B1C99"/>
    <w:rsid w:val="161A4D9A"/>
    <w:rsid w:val="16244EE0"/>
    <w:rsid w:val="16AC2CBB"/>
    <w:rsid w:val="18271C1A"/>
    <w:rsid w:val="19044DE2"/>
    <w:rsid w:val="1AA150EA"/>
    <w:rsid w:val="1C3F644D"/>
    <w:rsid w:val="1D8A357D"/>
    <w:rsid w:val="1F432BD3"/>
    <w:rsid w:val="20070AC5"/>
    <w:rsid w:val="20447807"/>
    <w:rsid w:val="209B7365"/>
    <w:rsid w:val="223A0440"/>
    <w:rsid w:val="22C86501"/>
    <w:rsid w:val="23424234"/>
    <w:rsid w:val="26344902"/>
    <w:rsid w:val="271D39AD"/>
    <w:rsid w:val="28305C7A"/>
    <w:rsid w:val="28664053"/>
    <w:rsid w:val="2A1A7FC0"/>
    <w:rsid w:val="2A9D7E38"/>
    <w:rsid w:val="30E46332"/>
    <w:rsid w:val="33B83A55"/>
    <w:rsid w:val="373E3376"/>
    <w:rsid w:val="3F905FF1"/>
    <w:rsid w:val="41ED2B11"/>
    <w:rsid w:val="43B93FA8"/>
    <w:rsid w:val="45D24D47"/>
    <w:rsid w:val="48AF16BF"/>
    <w:rsid w:val="49976299"/>
    <w:rsid w:val="4BC343F4"/>
    <w:rsid w:val="4C264B88"/>
    <w:rsid w:val="4E51606B"/>
    <w:rsid w:val="4E7F6650"/>
    <w:rsid w:val="4F196AD1"/>
    <w:rsid w:val="526E2FAC"/>
    <w:rsid w:val="5280125F"/>
    <w:rsid w:val="54094E19"/>
    <w:rsid w:val="556B2128"/>
    <w:rsid w:val="559271F4"/>
    <w:rsid w:val="5836262A"/>
    <w:rsid w:val="59ED0997"/>
    <w:rsid w:val="5BA26C0E"/>
    <w:rsid w:val="5C7F03A2"/>
    <w:rsid w:val="60F11E81"/>
    <w:rsid w:val="61F345BF"/>
    <w:rsid w:val="63511574"/>
    <w:rsid w:val="65676663"/>
    <w:rsid w:val="65D1553F"/>
    <w:rsid w:val="67077AC8"/>
    <w:rsid w:val="69C31D79"/>
    <w:rsid w:val="6A961A6F"/>
    <w:rsid w:val="6FB225FD"/>
    <w:rsid w:val="71A41C20"/>
    <w:rsid w:val="739A2918"/>
    <w:rsid w:val="753A3169"/>
    <w:rsid w:val="760F4167"/>
    <w:rsid w:val="76392890"/>
    <w:rsid w:val="79F857F4"/>
    <w:rsid w:val="7E02497D"/>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723" w:firstLineChars="200"/>
      <w:jc w:val="both"/>
    </w:pPr>
    <w:rPr>
      <w:rFonts w:ascii="方正仿宋_GBK" w:hAnsi="方正仿宋_GBK" w:eastAsia="方正仿宋_GBK" w:cs="宋体"/>
      <w:kern w:val="2"/>
      <w:sz w:val="32"/>
      <w:szCs w:val="24"/>
      <w:lang w:val="en-US" w:eastAsia="zh-CN" w:bidi="ar-SA"/>
    </w:rPr>
  </w:style>
  <w:style w:type="paragraph" w:styleId="2">
    <w:name w:val="heading 1"/>
    <w:basedOn w:val="1"/>
    <w:next w:val="1"/>
    <w:qFormat/>
    <w:uiPriority w:val="0"/>
    <w:pPr>
      <w:keepNext/>
      <w:keepLines/>
      <w:spacing w:beforeAutospacing="0" w:afterAutospacing="0" w:line="240" w:lineRule="auto"/>
      <w:ind w:firstLine="0" w:firstLineChars="0"/>
      <w:jc w:val="center"/>
      <w:outlineLvl w:val="0"/>
    </w:pPr>
    <w:rPr>
      <w:rFonts w:ascii="方正小标宋_GBK" w:hAnsi="方正小标宋_GBK" w:eastAsia="方正小标宋_GBK"/>
      <w:b/>
      <w:kern w:val="44"/>
      <w:sz w:val="36"/>
    </w:rPr>
  </w:style>
  <w:style w:type="paragraph" w:styleId="3">
    <w:name w:val="heading 2"/>
    <w:basedOn w:val="1"/>
    <w:next w:val="1"/>
    <w:link w:val="23"/>
    <w:qFormat/>
    <w:uiPriority w:val="0"/>
    <w:pPr>
      <w:spacing w:beforeAutospacing="0" w:afterAutospacing="0" w:line="240" w:lineRule="auto"/>
      <w:outlineLvl w:val="1"/>
    </w:pPr>
    <w:rPr>
      <w:rFonts w:ascii="方正黑体_GBK" w:hAnsi="方正黑体_GBK" w:eastAsia="方正黑体_GBK"/>
      <w:b/>
    </w:rPr>
  </w:style>
  <w:style w:type="paragraph" w:styleId="4">
    <w:name w:val="heading 3"/>
    <w:basedOn w:val="1"/>
    <w:next w:val="1"/>
    <w:link w:val="22"/>
    <w:qFormat/>
    <w:uiPriority w:val="0"/>
    <w:pPr>
      <w:spacing w:beforeAutospacing="0" w:afterAutospacing="0" w:line="240" w:lineRule="auto"/>
      <w:outlineLvl w:val="2"/>
    </w:pPr>
    <w:rPr>
      <w:rFonts w:ascii="方正楷体_GBK" w:hAnsi="方正楷体_GBK" w:eastAsia="方正楷体_GBK"/>
      <w:b/>
    </w:rPr>
  </w:style>
  <w:style w:type="paragraph" w:styleId="5">
    <w:name w:val="heading 4"/>
    <w:basedOn w:val="1"/>
    <w:next w:val="1"/>
    <w:link w:val="29"/>
    <w:qFormat/>
    <w:uiPriority w:val="0"/>
    <w:pPr>
      <w:spacing w:beforeAutospacing="0" w:afterAutospacing="0" w:line="240" w:lineRule="auto"/>
      <w:ind w:firstLine="883"/>
      <w:outlineLvl w:val="3"/>
    </w:pPr>
    <w:rPr>
      <w:b/>
    </w:rPr>
  </w:style>
  <w:style w:type="character" w:default="1" w:styleId="8">
    <w:name w:val="Default Paragraph Font"/>
    <w:qFormat/>
    <w:uiPriority w:val="0"/>
  </w:style>
  <w:style w:type="table" w:default="1" w:styleId="10">
    <w:name w:val="Normal Table"/>
    <w:qFormat/>
    <w:uiPriority w:val="0"/>
    <w:tblPr>
      <w:tblStyle w:val="10"/>
      <w:tblLayout w:type="fixed"/>
      <w:tblCellMar>
        <w:top w:w="0" w:type="dxa"/>
        <w:left w:w="108" w:type="dxa"/>
        <w:bottom w:w="0" w:type="dxa"/>
        <w:right w:w="108" w:type="dxa"/>
      </w:tblCellMar>
    </w:tblPr>
    <w:tcPr>
      <w:textDirection w:val="lrTb"/>
    </w:tcPr>
  </w:style>
  <w:style w:type="paragraph" w:styleId="6">
    <w:name w:val="footer"/>
    <w:basedOn w:val="1"/>
    <w:qFormat/>
    <w:uiPriority w:val="0"/>
    <w:pPr>
      <w:tabs>
        <w:tab w:val="center" w:pos="4153"/>
        <w:tab w:val="right" w:pos="8306"/>
      </w:tabs>
      <w:snapToGrid w:val="0"/>
      <w:ind w:firstLine="0" w:firstLineChars="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qFormat/>
    <w:uiPriority w:val="0"/>
    <w:rPr>
      <w:color w:val="0000FF"/>
      <w:u w:val="single"/>
    </w:rPr>
  </w:style>
  <w:style w:type="paragraph" w:customStyle="1" w:styleId="11">
    <w:name w:val="公文正文"/>
    <w:basedOn w:val="1"/>
    <w:qFormat/>
    <w:uiPriority w:val="0"/>
    <w:pPr>
      <w:ind w:firstLine="420" w:firstLineChars="200"/>
    </w:pPr>
    <w:rPr>
      <w:rFonts w:ascii="Calibri" w:hAnsi="Calibri" w:eastAsia="方正仿宋_GBK"/>
      <w:sz w:val="32"/>
    </w:rPr>
  </w:style>
  <w:style w:type="paragraph" w:customStyle="1" w:styleId="12">
    <w:name w:val="署名与来源"/>
    <w:next w:val="11"/>
    <w:qFormat/>
    <w:uiPriority w:val="0"/>
    <w:pPr>
      <w:ind w:firstLine="0" w:firstLineChars="0"/>
      <w:jc w:val="center"/>
    </w:pPr>
    <w:rPr>
      <w:rFonts w:ascii="方正楷体_GBK" w:hAnsi="方正楷体_GBK" w:eastAsia="方正楷体_GBK" w:cs="宋体"/>
      <w:b/>
      <w:sz w:val="32"/>
      <w:lang w:val="en-US" w:eastAsia="zh-CN" w:bidi="ar-SA"/>
    </w:rPr>
  </w:style>
  <w:style w:type="paragraph" w:customStyle="1" w:styleId="13">
    <w:name w:val="突出显示"/>
    <w:basedOn w:val="1"/>
    <w:link w:val="24"/>
    <w:qFormat/>
    <w:uiPriority w:val="0"/>
    <w:rPr>
      <w:rFonts w:ascii="Times New Roman" w:hAnsi="Times New Roman" w:eastAsia="方正大黑_GBK"/>
    </w:rPr>
  </w:style>
  <w:style w:type="paragraph" w:customStyle="1" w:styleId="14">
    <w:name w:val="活页标题1"/>
    <w:basedOn w:val="2"/>
    <w:next w:val="1"/>
    <w:qFormat/>
    <w:uiPriority w:val="0"/>
    <w:pPr>
      <w:snapToGrid w:val="0"/>
    </w:pPr>
    <w:rPr>
      <w:sz w:val="24"/>
    </w:rPr>
  </w:style>
  <w:style w:type="paragraph" w:customStyle="1" w:styleId="15">
    <w:name w:val="样式1"/>
    <w:basedOn w:val="12"/>
    <w:qFormat/>
    <w:uiPriority w:val="0"/>
    <w:pPr>
      <w:snapToGrid w:val="0"/>
    </w:pPr>
    <w:rPr>
      <w:sz w:val="20"/>
    </w:rPr>
  </w:style>
  <w:style w:type="paragraph" w:customStyle="1" w:styleId="16">
    <w:name w:val="活页正文"/>
    <w:basedOn w:val="1"/>
    <w:qFormat/>
    <w:uiPriority w:val="0"/>
    <w:pPr>
      <w:snapToGrid w:val="0"/>
    </w:pPr>
    <w:rPr>
      <w:sz w:val="20"/>
    </w:rPr>
  </w:style>
  <w:style w:type="paragraph" w:customStyle="1" w:styleId="17">
    <w:name w:val="活页署名与来源"/>
    <w:basedOn w:val="12"/>
    <w:qFormat/>
    <w:uiPriority w:val="0"/>
    <w:pPr>
      <w:snapToGrid w:val="0"/>
    </w:pPr>
    <w:rPr>
      <w:sz w:val="20"/>
    </w:rPr>
  </w:style>
  <w:style w:type="paragraph" w:customStyle="1" w:styleId="18">
    <w:name w:val="活页突出显示"/>
    <w:basedOn w:val="16"/>
    <w:next w:val="16"/>
    <w:link w:val="25"/>
    <w:qFormat/>
    <w:uiPriority w:val="0"/>
    <w:rPr>
      <w:rFonts w:eastAsia="方正楷体简体"/>
      <w:b/>
    </w:rPr>
  </w:style>
  <w:style w:type="paragraph" w:customStyle="1" w:styleId="19">
    <w:name w:val="活页突出"/>
    <w:basedOn w:val="16"/>
    <w:link w:val="26"/>
    <w:qFormat/>
    <w:uiPriority w:val="0"/>
    <w:rPr>
      <w:rFonts w:ascii="方正大黑_GBK" w:hAnsi="方正大黑_GBK" w:eastAsia="方正大黑_GBK"/>
    </w:rPr>
  </w:style>
  <w:style w:type="paragraph" w:customStyle="1" w:styleId="20">
    <w:name w:val="活页楷体"/>
    <w:basedOn w:val="16"/>
    <w:next w:val="16"/>
    <w:link w:val="27"/>
    <w:qFormat/>
    <w:uiPriority w:val="0"/>
    <w:rPr>
      <w:rFonts w:eastAsia="方正楷体_GBK"/>
      <w:b/>
      <w:sz w:val="20"/>
    </w:rPr>
  </w:style>
  <w:style w:type="paragraph" w:customStyle="1" w:styleId="21">
    <w:name w:val="突出楷体"/>
    <w:basedOn w:val="1"/>
    <w:link w:val="28"/>
    <w:qFormat/>
    <w:uiPriority w:val="0"/>
    <w:rPr>
      <w:rFonts w:ascii="方正楷体_GBK" w:hAnsi="方正楷体_GBK" w:eastAsia="方正楷体_GBK"/>
      <w:b/>
    </w:rPr>
  </w:style>
  <w:style w:type="character" w:customStyle="1" w:styleId="22">
    <w:name w:val="标题 3 Char"/>
    <w:link w:val="4"/>
    <w:qFormat/>
    <w:uiPriority w:val="0"/>
    <w:rPr>
      <w:rFonts w:ascii="方正楷体_GBK" w:hAnsi="方正楷体_GBK" w:eastAsia="方正楷体_GBK"/>
      <w:b/>
    </w:rPr>
  </w:style>
  <w:style w:type="character" w:customStyle="1" w:styleId="23">
    <w:name w:val="标题 2 Char"/>
    <w:link w:val="3"/>
    <w:qFormat/>
    <w:uiPriority w:val="0"/>
    <w:rPr>
      <w:rFonts w:ascii="方正黑体_GBK" w:hAnsi="方正黑体_GBK" w:eastAsia="方正黑体_GBK"/>
      <w:b/>
    </w:rPr>
  </w:style>
  <w:style w:type="character" w:customStyle="1" w:styleId="24">
    <w:name w:val="突出显示 Char"/>
    <w:link w:val="13"/>
    <w:qFormat/>
    <w:uiPriority w:val="0"/>
    <w:rPr>
      <w:rFonts w:ascii="Times New Roman" w:hAnsi="Times New Roman" w:eastAsia="方正大黑_GBK"/>
    </w:rPr>
  </w:style>
  <w:style w:type="character" w:customStyle="1" w:styleId="25">
    <w:name w:val="活页突出显示 Char"/>
    <w:link w:val="18"/>
    <w:qFormat/>
    <w:uiPriority w:val="0"/>
    <w:rPr>
      <w:rFonts w:eastAsia="方正楷体简体"/>
      <w:b/>
    </w:rPr>
  </w:style>
  <w:style w:type="character" w:customStyle="1" w:styleId="26">
    <w:name w:val="活页突出 Char"/>
    <w:link w:val="19"/>
    <w:qFormat/>
    <w:uiPriority w:val="0"/>
    <w:rPr>
      <w:rFonts w:ascii="方正大黑_GBK" w:hAnsi="方正大黑_GBK" w:eastAsia="方正大黑_GBK"/>
      <w:sz w:val="20"/>
    </w:rPr>
  </w:style>
  <w:style w:type="character" w:customStyle="1" w:styleId="27">
    <w:name w:val="活页楷体 Char"/>
    <w:link w:val="20"/>
    <w:qFormat/>
    <w:uiPriority w:val="0"/>
    <w:rPr>
      <w:rFonts w:eastAsia="方正楷体_GBK"/>
      <w:b/>
      <w:sz w:val="20"/>
    </w:rPr>
  </w:style>
  <w:style w:type="character" w:customStyle="1" w:styleId="28">
    <w:name w:val="突出楷体 Char"/>
    <w:link w:val="21"/>
    <w:qFormat/>
    <w:uiPriority w:val="0"/>
    <w:rPr>
      <w:rFonts w:ascii="方正楷体_GBK" w:hAnsi="方正楷体_GBK" w:eastAsia="方正楷体_GBK"/>
      <w:b/>
    </w:rPr>
  </w:style>
  <w:style w:type="character" w:customStyle="1" w:styleId="29">
    <w:name w:val="标题 4 Char"/>
    <w:link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16</Paragraphs>
  <TotalTime>0</TotalTime>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2020-11-23T07:16:00Z</dcterms:created>
  <dc:creator>不问为什么</dc:creator>
  <cp:lastModifiedBy>郝丽娟</cp:lastModifiedBy>
  <cp:lastPrinted>2024-08-08T01:39:10Z</cp:lastPrinted>
  <dcterms:modified xsi:type="dcterms:W3CDTF">2024-08-08T01:45:09Z</dcterms:modified>
  <dc:title>民政部区划地名司2023年课题研究要点</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y fmtid="{D5CDD505-2E9C-101B-9397-08002B2CF9AE}" pid="3" name="KSOSaveFontToCloudKey">
    <vt:lpwstr>370140685_cloud</vt:lpwstr>
  </property>
  <property fmtid="{D5CDD505-2E9C-101B-9397-08002B2CF9AE}" pid="4" name="ICV">
    <vt:lpwstr>0CD564DCB5164A14867FDCCF655E4EE2_13</vt:lpwstr>
  </property>
</Properties>
</file>