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第一批省级知识产权信息公共服务网点评估结果</w:t>
      </w:r>
    </w:p>
    <w:tbl>
      <w:tblPr>
        <w:tblStyle w:val="5"/>
        <w:tblW w:w="8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03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宝鸡市知识产权服务中心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陕西科技大学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渭南市食品药品和知识产权服务中心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西北工业大学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西安市碑林环大学创新产业带管理委员会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陕西智扬知识产权代理有限公司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西安亚信智佳知识产权代理事务所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西安市发明协会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汉中铭源知识产权运营服务有限公司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西安智邦专利商标代理有限公司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宝鸡市新发明专利事务所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西安航空职业技术学院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西安云企创联网络科技有限公司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渭南智利知识产权咨询服务有限公司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top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榆林利永贞认证咨询有限公司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合格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587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345C3846"/>
    <w:rsid w:val="345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2023-12-21T01:48:00Z</dcterms:created>
  <dc:creator>余生相伴</dc:creator>
  <cp:lastModifiedBy>余生相伴</cp:lastModifiedBy>
  <dcterms:modified xsi:type="dcterms:W3CDTF">2023-12-21T01:49:04Z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CC69FA1C9B7E4CC0A02EB212A82B6A3C_11</vt:lpwstr>
  </property>
</Properties>
</file>