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3068B">
      <w:pPr>
        <w:keepNext w:val="0"/>
        <w:keepLines w:val="0"/>
        <w:pageBreakBefore w:val="0"/>
        <w:widowControl w:val="0"/>
        <w:kinsoku/>
        <w:wordWrap/>
        <w:overflowPunct/>
        <w:topLinePunct w:val="0"/>
        <w:autoSpaceDE/>
        <w:autoSpaceDN/>
        <w:bidi w:val="0"/>
        <w:snapToGrid/>
        <w:spacing w:line="594" w:lineRule="exact"/>
        <w:ind w:leftChars="0"/>
        <w:jc w:val="left"/>
        <w:textAlignment w:val="auto"/>
        <w:rPr>
          <w:rFonts w:hint="default" w:ascii="Times New Roman" w:hAnsi="Times New Roman" w:eastAsia="黑体" w:cs="Times New Roman"/>
          <w:spacing w:val="-12"/>
          <w:sz w:val="32"/>
          <w:szCs w:val="32"/>
        </w:rPr>
      </w:pPr>
      <w:r>
        <w:rPr>
          <w:rFonts w:hint="eastAsia" w:ascii="黑体" w:hAnsi="黑体" w:eastAsia="黑体" w:cs="黑体"/>
          <w:sz w:val="32"/>
          <w:szCs w:val="32"/>
        </w:rPr>
        <w:t>附件1</w:t>
      </w:r>
    </w:p>
    <w:p w14:paraId="77A68B05">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部分不合格检验项目小知识</w:t>
      </w:r>
    </w:p>
    <w:p w14:paraId="633D71F6">
      <w:pPr>
        <w:keepNext w:val="0"/>
        <w:keepLines w:val="0"/>
        <w:pageBreakBefore w:val="0"/>
        <w:widowControl/>
        <w:numPr>
          <w:ilvl w:val="-1"/>
          <w:numId w:val="0"/>
        </w:numPr>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lang w:eastAsia="zh-CN"/>
        </w:rPr>
      </w:pPr>
    </w:p>
    <w:p w14:paraId="5B185D99">
      <w:pPr>
        <w:spacing w:line="594" w:lineRule="exact"/>
        <w:ind w:firstLine="640" w:firstLineChars="200"/>
        <w:jc w:val="both"/>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一、霉菌</w:t>
      </w:r>
    </w:p>
    <w:p w14:paraId="2B053EC7">
      <w:pPr>
        <w:pStyle w:val="2"/>
        <w:keepNext w:val="0"/>
        <w:keepLines w:val="0"/>
        <w:pageBreakBefore w:val="0"/>
        <w:widowControl w:val="0"/>
        <w:kinsoku/>
        <w:wordWrap/>
        <w:overflowPunct/>
        <w:topLinePunct w:val="0"/>
        <w:bidi w:val="0"/>
        <w:adjustRightInd/>
        <w:snapToGrid/>
        <w:spacing w:after="0" w:line="594" w:lineRule="exact"/>
        <w:ind w:firstLine="592"/>
        <w:jc w:val="both"/>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霉菌是评价食品质量安全的一项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会危害人体健康。</w:t>
      </w:r>
      <w:r>
        <w:rPr>
          <w:rFonts w:hint="default" w:ascii="Times New Roman" w:hAnsi="Times New Roman" w:eastAsia="仿宋_GB2312" w:cs="Times New Roman"/>
          <w:spacing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 xml:space="preserve">恰佰味（浙江）食品科技有限公司企业标准 </w:t>
      </w:r>
      <w:r>
        <w:rPr>
          <w:rFonts w:hint="default" w:ascii="Times New Roman" w:hAnsi="Times New Roman" w:eastAsia="仿宋_GB2312" w:cs="Times New Roman"/>
          <w:spacing w:val="0"/>
          <w:sz w:val="32"/>
          <w:szCs w:val="32"/>
          <w:highlight w:val="none"/>
          <w:lang w:val="en-US" w:eastAsia="zh-CN"/>
        </w:rPr>
        <w:t>混合果干》（Q/QBW 0001S</w:t>
      </w:r>
      <w:r>
        <w:rPr>
          <w:rFonts w:hint="eastAsia"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2023）</w:t>
      </w:r>
      <w:r>
        <w:rPr>
          <w:rFonts w:hint="default" w:ascii="Times New Roman" w:hAnsi="Times New Roman" w:eastAsia="仿宋_GB2312" w:cs="Times New Roman"/>
          <w:spacing w:val="0"/>
          <w:sz w:val="32"/>
          <w:szCs w:val="32"/>
          <w:lang w:val="en-US" w:eastAsia="zh-CN"/>
        </w:rPr>
        <w:t>中规定，水果干制品</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含干枸杞</w:t>
      </w:r>
      <w:r>
        <w:rPr>
          <w:rFonts w:hint="eastAsia" w:ascii="Times New Roman" w:hAnsi="Times New Roman" w:eastAsia="仿宋_GB2312" w:cs="Times New Roman"/>
          <w:spacing w:val="0"/>
          <w:sz w:val="32"/>
          <w:szCs w:val="32"/>
          <w:lang w:val="en-US" w:eastAsia="zh-CN"/>
        </w:rPr>
        <w:t>）中</w:t>
      </w:r>
      <w:r>
        <w:rPr>
          <w:rFonts w:hint="default" w:ascii="Times New Roman" w:hAnsi="Times New Roman" w:eastAsia="仿宋_GB2312" w:cs="Times New Roman"/>
          <w:spacing w:val="0"/>
          <w:sz w:val="32"/>
          <w:szCs w:val="32"/>
          <w:lang w:val="en-US" w:eastAsia="zh-CN"/>
        </w:rPr>
        <w:t>霉菌的最大限量值为25CFU/g</w:t>
      </w:r>
      <w:r>
        <w:rPr>
          <w:rFonts w:hint="eastAsia" w:ascii="Times New Roman" w:hAnsi="Times New Roman" w:eastAsia="仿宋_GB2312" w:cs="Times New Roman"/>
          <w:spacing w:val="0"/>
          <w:sz w:val="32"/>
          <w:szCs w:val="32"/>
          <w:lang w:val="en-US" w:eastAsia="zh-CN"/>
        </w:rPr>
        <w:t>；《合肥易尔佳食品有限公司企业标准 坚果（仁）混合果仁果干制品（每日坚果）》（Q/YEJ 0002S—2023）中规定，混合坚果中霉菌的最大限量值为25CFU/g；《商丘市惠康食品有限公司企业标准 混合坚果及籽类、果干》（Q/SHK 0001S—2020）中规定，混合坚果中霉菌的最大限量值为25CFU/g。</w:t>
      </w:r>
      <w:r>
        <w:rPr>
          <w:rFonts w:hint="default" w:ascii="Times New Roman" w:hAnsi="Times New Roman" w:eastAsia="仿宋_GB2312" w:cs="Times New Roman"/>
          <w:spacing w:val="0"/>
          <w:sz w:val="32"/>
          <w:szCs w:val="32"/>
          <w:lang w:val="en-US" w:eastAsia="zh-CN"/>
        </w:rPr>
        <w:t>水果干制品</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含干枸杞</w:t>
      </w:r>
      <w:r>
        <w:rPr>
          <w:rFonts w:hint="eastAsia" w:ascii="Times New Roman" w:hAnsi="Times New Roman" w:eastAsia="仿宋_GB2312" w:cs="Times New Roman"/>
          <w:spacing w:val="0"/>
          <w:sz w:val="32"/>
          <w:szCs w:val="32"/>
          <w:lang w:val="en-US" w:eastAsia="zh-CN"/>
        </w:rPr>
        <w:t>）、混合坚果</w:t>
      </w:r>
      <w:r>
        <w:rPr>
          <w:rFonts w:hint="default" w:ascii="Times New Roman" w:hAnsi="Times New Roman" w:eastAsia="仿宋_GB2312" w:cs="Times New Roman"/>
          <w:spacing w:val="0"/>
          <w:sz w:val="32"/>
          <w:szCs w:val="32"/>
          <w:lang w:val="en-US" w:eastAsia="zh-CN"/>
        </w:rPr>
        <w:t>中霉菌数超标的原因，可能是生产企业所使用的原辅料受到霉菌污染；也可能是生产加工过程中卫生条件控制不到位；还可能与产品包装密封不严、储运条件控制不当等有关。</w:t>
      </w:r>
    </w:p>
    <w:p w14:paraId="61426AA7">
      <w:pPr>
        <w:spacing w:line="594" w:lineRule="exact"/>
        <w:ind w:firstLine="640" w:firstLineChars="200"/>
        <w:rPr>
          <w:rFonts w:hint="eastAsia" w:eastAsia="黑体"/>
          <w:spacing w:val="0"/>
          <w:sz w:val="32"/>
          <w:szCs w:val="32"/>
          <w:lang w:eastAsia="zh-CN"/>
        </w:rPr>
      </w:pPr>
      <w:r>
        <w:rPr>
          <w:rFonts w:hint="eastAsia" w:ascii="Times New Roman" w:hAnsi="Times New Roman" w:eastAsia="黑体" w:cs="Times New Roman"/>
          <w:spacing w:val="0"/>
          <w:sz w:val="32"/>
          <w:szCs w:val="32"/>
          <w:lang w:val="en-US" w:eastAsia="zh-CN"/>
        </w:rPr>
        <w:t>二</w:t>
      </w:r>
      <w:r>
        <w:rPr>
          <w:rFonts w:hint="default" w:ascii="Times New Roman" w:hAnsi="Times New Roman" w:eastAsia="黑体" w:cs="Times New Roman"/>
          <w:spacing w:val="0"/>
          <w:sz w:val="32"/>
          <w:szCs w:val="32"/>
        </w:rPr>
        <w:t>、</w:t>
      </w:r>
      <w:r>
        <w:rPr>
          <w:rFonts w:hint="eastAsia" w:eastAsia="黑体"/>
          <w:spacing w:val="0"/>
          <w:sz w:val="32"/>
          <w:szCs w:val="32"/>
          <w:lang w:eastAsia="zh-CN"/>
        </w:rPr>
        <w:t>菌</w:t>
      </w:r>
      <w:r>
        <w:rPr>
          <w:rFonts w:hint="eastAsia" w:ascii="Times New Roman" w:hAnsi="Times New Roman" w:eastAsia="黑体" w:cs="Times New Roman"/>
          <w:spacing w:val="0"/>
          <w:sz w:val="32"/>
          <w:szCs w:val="32"/>
          <w:lang w:val="en-US" w:eastAsia="zh-CN"/>
        </w:rPr>
        <w:t>落总数</w:t>
      </w:r>
    </w:p>
    <w:p w14:paraId="3E42F713">
      <w:pPr>
        <w:pStyle w:val="2"/>
        <w:keepNext w:val="0"/>
        <w:keepLines w:val="0"/>
        <w:pageBreakBefore w:val="0"/>
        <w:widowControl w:val="0"/>
        <w:kinsoku/>
        <w:wordWrap/>
        <w:overflowPunct/>
        <w:topLinePunct w:val="0"/>
        <w:bidi w:val="0"/>
        <w:adjustRightInd/>
        <w:snapToGrid/>
        <w:spacing w:after="0" w:line="594" w:lineRule="exact"/>
        <w:ind w:firstLine="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default" w:ascii="Times New Roman" w:hAnsi="Times New Roman" w:eastAsia="仿宋_GB2312" w:cs="Times New Roman"/>
          <w:sz w:val="32"/>
          <w:szCs w:val="32"/>
        </w:rPr>
        <w:t xml:space="preserve">《食品安全国家标准 </w:t>
      </w:r>
      <w:r>
        <w:rPr>
          <w:rFonts w:hint="default" w:ascii="Times New Roman" w:hAnsi="Times New Roman" w:eastAsia="仿宋_GB2312" w:cs="Times New Roman"/>
          <w:sz w:val="32"/>
          <w:szCs w:val="32"/>
          <w:lang w:eastAsia="zh-CN"/>
        </w:rPr>
        <w:t>饼干</w:t>
      </w:r>
      <w:r>
        <w:rPr>
          <w:rFonts w:hint="default" w:ascii="Times New Roman" w:hAnsi="Times New Roman" w:eastAsia="仿宋_GB2312" w:cs="Times New Roman"/>
          <w:sz w:val="32"/>
          <w:szCs w:val="32"/>
        </w:rPr>
        <w:t>》（GB 7</w:t>
      </w:r>
      <w:r>
        <w:rPr>
          <w:rFonts w:hint="default"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2015）中规定</w:t>
      </w:r>
      <w:r>
        <w:rPr>
          <w:rFonts w:hint="default" w:ascii="Times New Roman" w:hAnsi="Times New Roman" w:eastAsia="仿宋_GB2312" w:cs="Times New Roman"/>
          <w:sz w:val="32"/>
          <w:szCs w:val="32"/>
          <w:lang w:val="en-US" w:eastAsia="zh-CN"/>
        </w:rPr>
        <w:t>，饼干同一批次产品5个样品的菌落总数检</w:t>
      </w:r>
      <w:r>
        <w:rPr>
          <w:rFonts w:hint="eastAsia" w:ascii="Times New Roman" w:hAnsi="Times New Roman" w:eastAsia="仿宋_GB2312" w:cs="Times New Roman"/>
          <w:sz w:val="32"/>
          <w:szCs w:val="32"/>
          <w:lang w:val="en-US" w:eastAsia="zh-CN"/>
        </w:rPr>
        <w:t>验</w:t>
      </w:r>
      <w:r>
        <w:rPr>
          <w:rFonts w:hint="default" w:ascii="Times New Roman" w:hAnsi="Times New Roman" w:eastAsia="仿宋_GB2312" w:cs="Times New Roman"/>
          <w:sz w:val="32"/>
          <w:szCs w:val="32"/>
          <w:lang w:val="en-US" w:eastAsia="zh-CN"/>
        </w:rPr>
        <w:t>结果均不得超过10</w:t>
      </w:r>
      <w:r>
        <w:rPr>
          <w:rFonts w:hint="default" w:ascii="Times New Roman" w:hAnsi="Times New Roman" w:eastAsia="仿宋_GB2312" w:cs="Times New Roman"/>
          <w:sz w:val="32"/>
          <w:szCs w:val="32"/>
          <w:vertAlign w:val="superscript"/>
          <w:lang w:val="en-US" w:eastAsia="zh-CN"/>
        </w:rPr>
        <w:t>5</w:t>
      </w:r>
      <w:r>
        <w:rPr>
          <w:rFonts w:hint="default" w:ascii="Times New Roman" w:hAnsi="Times New Roman" w:eastAsia="仿宋_GB2312" w:cs="Times New Roman"/>
          <w:sz w:val="32"/>
          <w:szCs w:val="32"/>
          <w:lang w:val="en-US" w:eastAsia="zh-CN"/>
        </w:rPr>
        <w:t>CFU/g，且最多允许2个样品的检</w:t>
      </w:r>
      <w:r>
        <w:rPr>
          <w:rFonts w:hint="eastAsia" w:ascii="Times New Roman" w:hAnsi="Times New Roman" w:eastAsia="仿宋_GB2312" w:cs="Times New Roman"/>
          <w:sz w:val="32"/>
          <w:szCs w:val="32"/>
          <w:lang w:val="en-US" w:eastAsia="zh-CN"/>
        </w:rPr>
        <w:t>验</w:t>
      </w:r>
      <w:r>
        <w:rPr>
          <w:rFonts w:hint="default" w:ascii="Times New Roman" w:hAnsi="Times New Roman" w:eastAsia="仿宋_GB2312" w:cs="Times New Roman"/>
          <w:sz w:val="32"/>
          <w:szCs w:val="32"/>
          <w:lang w:val="en-US" w:eastAsia="zh-CN"/>
        </w:rPr>
        <w:t>结果超过10</w:t>
      </w:r>
      <w:r>
        <w:rPr>
          <w:rFonts w:hint="default" w:ascii="Times New Roman" w:hAnsi="Times New Roman" w:eastAsia="仿宋_GB2312" w:cs="Times New Roman"/>
          <w:sz w:val="32"/>
          <w:szCs w:val="32"/>
          <w:vertAlign w:val="superscript"/>
          <w:lang w:val="en-US" w:eastAsia="zh-CN"/>
        </w:rPr>
        <w:t>4</w:t>
      </w:r>
      <w:r>
        <w:rPr>
          <w:rFonts w:hint="default" w:ascii="Times New Roman" w:hAnsi="Times New Roman" w:eastAsia="仿宋_GB2312" w:cs="Times New Roman"/>
          <w:sz w:val="32"/>
          <w:szCs w:val="32"/>
          <w:lang w:val="en-US" w:eastAsia="zh-CN"/>
        </w:rPr>
        <w:t>CFU/g</w:t>
      </w:r>
      <w:r>
        <w:rPr>
          <w:rFonts w:hint="eastAsia" w:ascii="Times New Roman" w:hAnsi="Times New Roman" w:eastAsia="仿宋_GB2312" w:cs="Times New Roman"/>
          <w:sz w:val="32"/>
          <w:szCs w:val="32"/>
          <w:lang w:val="en-US" w:eastAsia="zh-CN"/>
        </w:rPr>
        <w:t>；《食品安全国家标准 糕点、面包》（GB 7099—2015）中规定，糕点同一批次产品5个样品的菌落总数检验结果均不得超过10</w:t>
      </w:r>
      <w:r>
        <w:rPr>
          <w:rFonts w:hint="eastAsia" w:ascii="Times New Roman" w:hAnsi="Times New Roman" w:eastAsia="仿宋_GB2312" w:cs="Times New Roman"/>
          <w:sz w:val="32"/>
          <w:szCs w:val="32"/>
          <w:vertAlign w:val="superscript"/>
          <w:lang w:val="en-US" w:eastAsia="zh-CN"/>
        </w:rPr>
        <w:t>5</w:t>
      </w:r>
      <w:r>
        <w:rPr>
          <w:rFonts w:hint="eastAsia" w:ascii="Times New Roman" w:hAnsi="Times New Roman" w:eastAsia="仿宋_GB2312" w:cs="Times New Roman"/>
          <w:sz w:val="32"/>
          <w:szCs w:val="32"/>
          <w:lang w:val="en-US" w:eastAsia="zh-CN"/>
        </w:rPr>
        <w:t>CFU/g，且最多允许2个样品的检验结果超过10</w:t>
      </w:r>
      <w:r>
        <w:rPr>
          <w:rFonts w:hint="eastAsia" w:ascii="Times New Roman" w:hAnsi="Times New Roman" w:eastAsia="仿宋_GB2312" w:cs="Times New Roman"/>
          <w:sz w:val="32"/>
          <w:szCs w:val="32"/>
          <w:vertAlign w:val="superscript"/>
          <w:lang w:val="en-US" w:eastAsia="zh-CN"/>
        </w:rPr>
        <w:t>4</w:t>
      </w:r>
      <w:r>
        <w:rPr>
          <w:rFonts w:hint="eastAsia" w:ascii="Times New Roman" w:hAnsi="Times New Roman" w:eastAsia="仿宋_GB2312" w:cs="Times New Roman"/>
          <w:sz w:val="32"/>
          <w:szCs w:val="32"/>
          <w:lang w:val="en-US" w:eastAsia="zh-CN"/>
        </w:rPr>
        <w:t>CFU/g；《食品安全国家标准 冲调谷物制品》（GB 19640—2016）中规定，冲调谷物制品同一批次产品5个样品的菌落总数检验结果均不得超过10</w:t>
      </w:r>
      <w:r>
        <w:rPr>
          <w:rFonts w:hint="eastAsia" w:ascii="Times New Roman" w:hAnsi="Times New Roman" w:eastAsia="仿宋_GB2312" w:cs="Times New Roman"/>
          <w:sz w:val="32"/>
          <w:szCs w:val="32"/>
          <w:vertAlign w:val="superscript"/>
          <w:lang w:val="en-US" w:eastAsia="zh-CN"/>
        </w:rPr>
        <w:t>5</w:t>
      </w:r>
      <w:r>
        <w:rPr>
          <w:rFonts w:hint="eastAsia" w:ascii="Times New Roman" w:hAnsi="Times New Roman" w:eastAsia="仿宋_GB2312" w:cs="Times New Roman"/>
          <w:sz w:val="32"/>
          <w:szCs w:val="32"/>
          <w:lang w:val="en-US" w:eastAsia="zh-CN"/>
        </w:rPr>
        <w:t>CFU/g，且最多允许2个样品的检验结果超过10</w:t>
      </w:r>
      <w:r>
        <w:rPr>
          <w:rFonts w:hint="eastAsia" w:ascii="Times New Roman" w:hAnsi="Times New Roman" w:eastAsia="仿宋_GB2312" w:cs="Times New Roman"/>
          <w:sz w:val="32"/>
          <w:szCs w:val="32"/>
          <w:vertAlign w:val="superscript"/>
          <w:lang w:val="en-US" w:eastAsia="zh-CN"/>
        </w:rPr>
        <w:t>4</w:t>
      </w:r>
      <w:r>
        <w:rPr>
          <w:rFonts w:hint="eastAsia" w:ascii="Times New Roman" w:hAnsi="Times New Roman" w:eastAsia="仿宋_GB2312" w:cs="Times New Roman"/>
          <w:sz w:val="32"/>
          <w:szCs w:val="32"/>
          <w:lang w:val="en-US" w:eastAsia="zh-CN"/>
        </w:rPr>
        <w:t>CFU/g。</w:t>
      </w:r>
      <w:r>
        <w:rPr>
          <w:rFonts w:hint="default" w:ascii="Times New Roman" w:hAnsi="Times New Roman" w:eastAsia="仿宋_GB2312" w:cs="Times New Roman"/>
          <w:sz w:val="32"/>
          <w:szCs w:val="32"/>
          <w:lang w:val="en-US" w:eastAsia="zh-CN"/>
        </w:rPr>
        <w:t>饼干</w:t>
      </w:r>
      <w:r>
        <w:rPr>
          <w:rFonts w:hint="eastAsia" w:ascii="Times New Roman" w:hAnsi="Times New Roman" w:eastAsia="仿宋_GB2312" w:cs="Times New Roman"/>
          <w:sz w:val="32"/>
          <w:szCs w:val="32"/>
          <w:lang w:val="en-US" w:eastAsia="zh-CN"/>
        </w:rPr>
        <w:t>、糕点、</w:t>
      </w:r>
      <w:r>
        <w:rPr>
          <w:rFonts w:hint="eastAsia" w:ascii="等线" w:hAnsi="等线" w:eastAsia="仿宋_GB2312" w:cs="Times New Roman"/>
          <w:sz w:val="32"/>
          <w:szCs w:val="32"/>
          <w:lang w:val="en-US" w:eastAsia="zh-CN"/>
        </w:rPr>
        <w:t>冲调谷物制品</w:t>
      </w:r>
      <w:r>
        <w:rPr>
          <w:rFonts w:hint="default" w:ascii="Times New Roman" w:hAnsi="Times New Roman" w:eastAsia="仿宋_GB2312" w:cs="Times New Roman"/>
          <w:sz w:val="32"/>
          <w:szCs w:val="32"/>
          <w:lang w:val="en-US" w:eastAsia="zh-CN"/>
        </w:rPr>
        <w:t>中菌落总数超标的原因，可能是企业未按要求严格控制生产加工过程的卫生条件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也可能与产品包装密封不严或储运条件不当等有关。</w:t>
      </w:r>
    </w:p>
    <w:p w14:paraId="748BEB8D">
      <w:pPr>
        <w:keepNext w:val="0"/>
        <w:keepLines w:val="0"/>
        <w:pageBreakBefore w:val="0"/>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三</w:t>
      </w:r>
      <w:r>
        <w:rPr>
          <w:rFonts w:hint="default" w:ascii="Times New Roman" w:hAnsi="Times New Roman" w:eastAsia="黑体" w:cs="Times New Roman"/>
          <w:spacing w:val="0"/>
          <w:sz w:val="32"/>
          <w:szCs w:val="32"/>
        </w:rPr>
        <w:t>、</w:t>
      </w:r>
      <w:r>
        <w:rPr>
          <w:rFonts w:hint="eastAsia" w:ascii="Times New Roman" w:hAnsi="Times New Roman" w:eastAsia="黑体" w:cs="Times New Roman"/>
          <w:spacing w:val="0"/>
          <w:sz w:val="32"/>
          <w:szCs w:val="32"/>
          <w:lang w:val="en-US" w:eastAsia="zh-CN"/>
        </w:rPr>
        <w:t>柠檬黄</w:t>
      </w:r>
    </w:p>
    <w:p w14:paraId="28E9898A">
      <w:pPr>
        <w:pStyle w:val="2"/>
        <w:keepNext w:val="0"/>
        <w:keepLines w:val="0"/>
        <w:pageBreakBefore w:val="0"/>
        <w:widowControl w:val="0"/>
        <w:kinsoku/>
        <w:wordWrap/>
        <w:overflowPunct/>
        <w:topLinePunct w:val="0"/>
        <w:bidi w:val="0"/>
        <w:adjustRightInd/>
        <w:snapToGrid/>
        <w:spacing w:after="0" w:line="594" w:lineRule="exact"/>
        <w:ind w:firstLine="0"/>
        <w:jc w:val="both"/>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仿宋_GB2312" w:cs="Times New Roman"/>
          <w:color w:val="000000"/>
          <w:sz w:val="32"/>
          <w:szCs w:val="32"/>
          <w:highlight w:val="none"/>
          <w:lang w:eastAsia="zh-CN"/>
        </w:rPr>
        <w:t>柠檬黄</w:t>
      </w:r>
      <w:r>
        <w:rPr>
          <w:rFonts w:hint="default" w:ascii="Times New Roman" w:hAnsi="Times New Roman" w:eastAsia="仿宋_GB2312" w:cs="Times New Roman"/>
          <w:color w:val="000000"/>
          <w:sz w:val="32"/>
          <w:szCs w:val="32"/>
          <w:highlight w:val="none"/>
        </w:rPr>
        <w:t>又名食用黄色</w:t>
      </w: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号，</w:t>
      </w:r>
      <w:r>
        <w:rPr>
          <w:rFonts w:hint="eastAsia" w:ascii="Times New Roman" w:hAnsi="Times New Roman" w:eastAsia="仿宋_GB2312" w:cs="Times New Roman"/>
          <w:color w:val="000000"/>
          <w:sz w:val="32"/>
          <w:szCs w:val="32"/>
          <w:highlight w:val="none"/>
          <w:lang w:eastAsia="zh-CN"/>
        </w:rPr>
        <w:t>水溶性</w:t>
      </w:r>
      <w:r>
        <w:rPr>
          <w:rFonts w:hint="default" w:ascii="Times New Roman" w:hAnsi="Times New Roman" w:eastAsia="仿宋_GB2312" w:cs="Times New Roman"/>
          <w:color w:val="000000"/>
          <w:sz w:val="32"/>
          <w:szCs w:val="32"/>
          <w:highlight w:val="none"/>
        </w:rPr>
        <w:t>偶氮类</w:t>
      </w:r>
      <w:r>
        <w:rPr>
          <w:rFonts w:hint="default" w:ascii="Times New Roman" w:hAnsi="Times New Roman" w:eastAsia="仿宋_GB2312" w:cs="Times New Roman"/>
          <w:color w:val="000000"/>
          <w:sz w:val="32"/>
          <w:szCs w:val="32"/>
          <w:highlight w:val="none"/>
          <w:lang w:eastAsia="zh-CN"/>
        </w:rPr>
        <w:t>化合物，</w:t>
      </w:r>
      <w:r>
        <w:rPr>
          <w:rFonts w:hint="default" w:ascii="Times New Roman" w:hAnsi="Times New Roman" w:eastAsia="仿宋_GB2312" w:cs="Times New Roman"/>
          <w:color w:val="000000"/>
          <w:sz w:val="32"/>
          <w:szCs w:val="32"/>
          <w:highlight w:val="none"/>
        </w:rPr>
        <w:t>是常见的人工合成着色剂，在食品</w:t>
      </w:r>
      <w:r>
        <w:rPr>
          <w:rFonts w:hint="default" w:ascii="Times New Roman" w:hAnsi="Times New Roman" w:eastAsia="仿宋_GB2312" w:cs="Times New Roman"/>
          <w:color w:val="000000"/>
          <w:sz w:val="32"/>
          <w:szCs w:val="32"/>
          <w:highlight w:val="none"/>
          <w:lang w:eastAsia="zh-CN"/>
        </w:rPr>
        <w:t>生产</w:t>
      </w:r>
      <w:r>
        <w:rPr>
          <w:rFonts w:hint="default" w:ascii="Times New Roman" w:hAnsi="Times New Roman" w:eastAsia="仿宋_GB2312" w:cs="Times New Roman"/>
          <w:color w:val="000000"/>
          <w:sz w:val="32"/>
          <w:szCs w:val="32"/>
          <w:highlight w:val="none"/>
        </w:rPr>
        <w:t>中应用广泛。如果长期摄入</w:t>
      </w:r>
      <w:r>
        <w:rPr>
          <w:rFonts w:hint="eastAsia" w:ascii="Times New Roman" w:hAnsi="Times New Roman" w:eastAsia="仿宋_GB2312" w:cs="Times New Roman"/>
          <w:color w:val="000000"/>
          <w:sz w:val="32"/>
          <w:szCs w:val="32"/>
          <w:highlight w:val="none"/>
          <w:lang w:eastAsia="zh-CN"/>
        </w:rPr>
        <w:t>柠檬黄</w:t>
      </w:r>
      <w:r>
        <w:rPr>
          <w:rFonts w:hint="default" w:ascii="Times New Roman" w:hAnsi="Times New Roman" w:eastAsia="仿宋_GB2312" w:cs="Times New Roman"/>
          <w:color w:val="000000"/>
          <w:sz w:val="32"/>
          <w:szCs w:val="32"/>
          <w:highlight w:val="none"/>
          <w:lang w:eastAsia="zh-CN"/>
        </w:rPr>
        <w:t>超标的食品</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可能</w:t>
      </w:r>
      <w:r>
        <w:rPr>
          <w:rFonts w:hint="default" w:ascii="Times New Roman" w:hAnsi="Times New Roman" w:eastAsia="仿宋_GB2312" w:cs="Times New Roman"/>
          <w:color w:val="000000"/>
          <w:sz w:val="32"/>
          <w:szCs w:val="32"/>
          <w:highlight w:val="none"/>
        </w:rPr>
        <w:t>对人体肝脏等造成损害。</w:t>
      </w:r>
      <w:r>
        <w:rPr>
          <w:rFonts w:hint="eastAsia" w:ascii="Times New Roman" w:hAnsi="Times New Roman" w:eastAsia="仿宋_GB2312" w:cs="Times New Roman"/>
          <w:kern w:val="2"/>
          <w:sz w:val="32"/>
          <w:szCs w:val="32"/>
          <w:lang w:val="en-US" w:eastAsia="zh-CN" w:bidi="ar-SA"/>
        </w:rPr>
        <w:t>《食品安全国家标准 食品添加剂使用标准》（GB 2760—2014）中规定除糕点上彩装和焙烤食品馅料及表面用挂浆外，糕点中不得使用柠檬黄；</w:t>
      </w:r>
      <w:r>
        <w:rPr>
          <w:rFonts w:hint="eastAsia" w:ascii="Times New Roman" w:hAnsi="Times New Roman" w:eastAsia="仿宋_GB2312" w:cs="Times New Roman"/>
          <w:color w:val="000000"/>
          <w:sz w:val="32"/>
          <w:szCs w:val="32"/>
          <w:highlight w:val="none"/>
          <w:lang w:eastAsia="zh-CN"/>
        </w:rPr>
        <w:t>调味面制品</w:t>
      </w:r>
      <w:r>
        <w:rPr>
          <w:rFonts w:hint="default" w:ascii="Times New Roman" w:hAnsi="Times New Roman" w:eastAsia="仿宋_GB2312" w:cs="Times New Roman"/>
          <w:color w:val="000000"/>
          <w:sz w:val="32"/>
          <w:szCs w:val="32"/>
          <w:highlight w:val="none"/>
        </w:rPr>
        <w:t>中</w:t>
      </w:r>
      <w:r>
        <w:rPr>
          <w:rFonts w:hint="eastAsia" w:ascii="Times New Roman" w:hAnsi="Times New Roman" w:eastAsia="仿宋_GB2312" w:cs="Times New Roman"/>
          <w:color w:val="000000"/>
          <w:sz w:val="32"/>
          <w:szCs w:val="32"/>
          <w:highlight w:val="none"/>
          <w:lang w:eastAsia="zh-CN"/>
        </w:rPr>
        <w:t>不得使用</w:t>
      </w:r>
      <w:r>
        <w:rPr>
          <w:rFonts w:hint="eastAsia" w:ascii="Times New Roman" w:hAnsi="Times New Roman" w:eastAsia="仿宋_GB2312" w:cs="Times New Roman"/>
          <w:color w:val="000000"/>
          <w:sz w:val="32"/>
          <w:szCs w:val="32"/>
          <w:highlight w:val="none"/>
          <w:lang w:val="en-US" w:eastAsia="zh-CN"/>
        </w:rPr>
        <w:t>柠檬黄</w:t>
      </w:r>
      <w:r>
        <w:rPr>
          <w:rFonts w:hint="eastAsia" w:ascii="Times New Roman" w:hAnsi="Times New Roman" w:eastAsia="仿宋_GB2312" w:cs="Times New Roman"/>
          <w:kern w:val="2"/>
          <w:sz w:val="32"/>
          <w:szCs w:val="32"/>
          <w:lang w:val="en-US" w:eastAsia="zh-CN" w:bidi="ar-SA"/>
        </w:rPr>
        <w:t>。糕点、调味面制品中检出柠檬黄可能是企业</w:t>
      </w:r>
      <w:r>
        <w:rPr>
          <w:rFonts w:hint="default" w:ascii="Times New Roman" w:hAnsi="Times New Roman" w:eastAsia="仿宋_GB2312" w:cs="Times New Roman"/>
          <w:color w:val="000000"/>
          <w:sz w:val="32"/>
          <w:szCs w:val="32"/>
          <w:highlight w:val="none"/>
        </w:rPr>
        <w:t>为改善产品色泽</w:t>
      </w:r>
      <w:r>
        <w:rPr>
          <w:rFonts w:hint="eastAsia" w:ascii="Times New Roman" w:hAnsi="Times New Roman" w:eastAsia="仿宋_GB2312" w:cs="Times New Roman"/>
          <w:kern w:val="2"/>
          <w:sz w:val="32"/>
          <w:szCs w:val="32"/>
          <w:lang w:val="en-US" w:eastAsia="zh-CN" w:bidi="ar-SA"/>
        </w:rPr>
        <w:t>在生产加工过程中超范围使用食品添加剂。</w:t>
      </w:r>
    </w:p>
    <w:p w14:paraId="3F241677">
      <w:pPr>
        <w:pStyle w:val="2"/>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四</w:t>
      </w:r>
      <w:r>
        <w:rPr>
          <w:rFonts w:hint="default" w:ascii="Times New Roman" w:hAnsi="Times New Roman" w:eastAsia="黑体" w:cs="Times New Roman"/>
          <w:spacing w:val="0"/>
          <w:sz w:val="32"/>
          <w:szCs w:val="32"/>
        </w:rPr>
        <w:t>、</w:t>
      </w:r>
      <w:r>
        <w:rPr>
          <w:rFonts w:hint="eastAsia" w:ascii="黑体" w:hAnsi="黑体" w:eastAsia="黑体" w:cs="黑体"/>
          <w:spacing w:val="0"/>
          <w:sz w:val="32"/>
          <w:szCs w:val="32"/>
          <w:lang w:val="en-US" w:eastAsia="zh-CN"/>
        </w:rPr>
        <w:t>镉（以Cd计）</w:t>
      </w:r>
    </w:p>
    <w:p w14:paraId="2D9231A3">
      <w:pPr>
        <w:spacing w:line="594" w:lineRule="exact"/>
        <w:ind w:firstLine="640" w:firstLineChars="200"/>
        <w:jc w:val="both"/>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kern w:val="2"/>
          <w:sz w:val="32"/>
          <w:szCs w:val="22"/>
          <w:lang w:val="en-US" w:eastAsia="zh-CN" w:bidi="ar-SA"/>
        </w:rPr>
        <w:t>镉是一种蓄积性的重金属元素，可通过食物链进入人体。长期食用镉超标的食品，可能会对人体肾脏和肝脏造成损害，还会影响免疫系统，甚至可能对儿童高级神经活动有损害。《食品安全国家标准 食品中污染物限量》（GB 2762</w:t>
      </w:r>
      <w:r>
        <w:rPr>
          <w:rFonts w:hint="eastAsia" w:ascii="Times New Roman" w:hAnsi="Times New Roman" w:eastAsia="仿宋_GB2312" w:cs="Times New Roman"/>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2022）</w:t>
      </w:r>
      <w:r>
        <w:rPr>
          <w:rFonts w:hint="eastAsia" w:ascii="Times New Roman" w:hAnsi="Times New Roman" w:eastAsia="仿宋_GB2312" w:cs="Times New Roman"/>
          <w:kern w:val="2"/>
          <w:sz w:val="32"/>
          <w:szCs w:val="22"/>
          <w:lang w:val="en-US" w:eastAsia="zh-CN" w:bidi="ar-SA"/>
        </w:rPr>
        <w:t>中</w:t>
      </w:r>
      <w:r>
        <w:rPr>
          <w:rFonts w:hint="default" w:ascii="Times New Roman" w:hAnsi="Times New Roman" w:eastAsia="仿宋_GB2312" w:cs="Times New Roman"/>
          <w:kern w:val="2"/>
          <w:sz w:val="32"/>
          <w:szCs w:val="22"/>
          <w:lang w:val="en-US" w:eastAsia="zh-CN" w:bidi="ar-SA"/>
        </w:rPr>
        <w:t>规定</w:t>
      </w:r>
      <w:r>
        <w:rPr>
          <w:rFonts w:hint="eastAsia" w:ascii="Times New Roman" w:hAnsi="Times New Roman" w:eastAsia="仿宋_GB2312" w:cs="Times New Roman"/>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婴幼儿谷类辅助食品中镉（以Cd计）的</w:t>
      </w:r>
      <w:r>
        <w:rPr>
          <w:rFonts w:hint="eastAsia" w:ascii="Times New Roman" w:hAnsi="Times New Roman" w:eastAsia="仿宋_GB2312" w:cs="Times New Roman"/>
          <w:kern w:val="2"/>
          <w:sz w:val="32"/>
          <w:szCs w:val="22"/>
          <w:lang w:val="en-US" w:eastAsia="zh-CN" w:bidi="ar-SA"/>
        </w:rPr>
        <w:t>最大</w:t>
      </w:r>
      <w:r>
        <w:rPr>
          <w:rFonts w:hint="default" w:ascii="Times New Roman" w:hAnsi="Times New Roman" w:eastAsia="仿宋_GB2312" w:cs="Times New Roman"/>
          <w:kern w:val="2"/>
          <w:sz w:val="32"/>
          <w:szCs w:val="22"/>
          <w:lang w:val="en-US" w:eastAsia="zh-CN" w:bidi="ar-SA"/>
        </w:rPr>
        <w:t>限量</w:t>
      </w:r>
      <w:r>
        <w:rPr>
          <w:rFonts w:hint="eastAsia" w:ascii="Times New Roman" w:hAnsi="Times New Roman" w:eastAsia="仿宋_GB2312" w:cs="Times New Roman"/>
          <w:kern w:val="2"/>
          <w:sz w:val="32"/>
          <w:szCs w:val="22"/>
          <w:lang w:val="en-US" w:eastAsia="zh-CN" w:bidi="ar-SA"/>
        </w:rPr>
        <w:t>值</w:t>
      </w:r>
      <w:r>
        <w:rPr>
          <w:rFonts w:hint="default" w:ascii="Times New Roman" w:hAnsi="Times New Roman" w:eastAsia="仿宋_GB2312" w:cs="Times New Roman"/>
          <w:kern w:val="2"/>
          <w:sz w:val="32"/>
          <w:szCs w:val="22"/>
          <w:lang w:val="en-US" w:eastAsia="zh-CN" w:bidi="ar-SA"/>
        </w:rPr>
        <w:t>为0.06mg/kg。婴幼儿谷类辅助食品中镉（以Cd计）</w:t>
      </w:r>
      <w:r>
        <w:rPr>
          <w:rFonts w:hint="eastAsia" w:ascii="Times New Roman" w:hAnsi="Times New Roman" w:eastAsia="仿宋_GB2312" w:cs="Times New Roman"/>
          <w:kern w:val="2"/>
          <w:sz w:val="32"/>
          <w:szCs w:val="22"/>
          <w:lang w:val="en-US" w:eastAsia="zh-CN" w:bidi="ar-SA"/>
        </w:rPr>
        <w:t>检验值</w:t>
      </w:r>
      <w:r>
        <w:rPr>
          <w:rFonts w:hint="default" w:ascii="Times New Roman" w:hAnsi="Times New Roman" w:eastAsia="仿宋_GB2312" w:cs="Times New Roman"/>
          <w:kern w:val="2"/>
          <w:sz w:val="32"/>
          <w:szCs w:val="22"/>
          <w:lang w:val="en-US" w:eastAsia="zh-CN" w:bidi="ar-SA"/>
        </w:rPr>
        <w:t>超标的原因，可能是生产企业使用的原料大米中存在一定含量的镉。</w:t>
      </w:r>
    </w:p>
    <w:p w14:paraId="7F98A0B5">
      <w:pPr>
        <w:pStyle w:val="2"/>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五</w:t>
      </w:r>
      <w:r>
        <w:rPr>
          <w:rFonts w:hint="default" w:ascii="Times New Roman" w:hAnsi="Times New Roman" w:eastAsia="黑体" w:cs="Times New Roman"/>
          <w:spacing w:val="0"/>
          <w:sz w:val="32"/>
          <w:szCs w:val="32"/>
        </w:rPr>
        <w:t>、</w:t>
      </w:r>
      <w:r>
        <w:rPr>
          <w:rFonts w:hint="eastAsia" w:ascii="黑体" w:hAnsi="黑体" w:eastAsia="黑体" w:cs="黑体"/>
          <w:spacing w:val="0"/>
          <w:sz w:val="32"/>
          <w:szCs w:val="32"/>
          <w:lang w:val="en-US" w:eastAsia="zh-CN"/>
        </w:rPr>
        <w:t>维生素A</w:t>
      </w:r>
    </w:p>
    <w:p w14:paraId="63F5AF4B">
      <w:pPr>
        <w:pStyle w:val="19"/>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default" w:ascii="Times New Roman" w:hAnsi="Times New Roman" w:eastAsia="黑体" w:cs="Times New Roman"/>
          <w:spacing w:val="0"/>
          <w:sz w:val="32"/>
          <w:szCs w:val="32"/>
        </w:rPr>
      </w:pPr>
      <w:r>
        <w:rPr>
          <w:rFonts w:hint="default" w:ascii="Times New Roman" w:hAnsi="Times New Roman" w:eastAsia="仿宋_GB2312" w:cs="Times New Roman"/>
          <w:kern w:val="2"/>
          <w:sz w:val="32"/>
          <w:szCs w:val="32"/>
          <w:lang w:val="en-US" w:eastAsia="zh-CN" w:bidi="ar-SA"/>
        </w:rPr>
        <w:t>维生素A是一种脂溶性维生素，在人体代谢过程中发挥重要作用，是婴幼儿生长发育不可缺少的微量营养素。维生素A缺乏可能引起夜盲症、干眼症等眼部症状，还可能会导致食欲减退、免疫功能低下，造成婴幼儿生长发育迟缓。《食品安全国家标准 婴幼儿谷类辅助食品》（GB 10769</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2010）中规定，婴幼儿谷类辅助食品中维生素A含量应在14</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43μgRE/100kJ范围内</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《食品安全国家标准 预包装特殊膳食用食品标签》（GB 13432</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2013）中规定，在产品保质期内，能量和营养成分的实际含量不应低于标示值的80%。婴幼儿谷类辅助食品中维生素A含量不达标的原因，可能是原辅料用食品营养强化剂不符合质量要求；也可能是生产加工过程中搅拌不均匀；还可能是在加工或储存过程中损失。</w:t>
      </w:r>
    </w:p>
    <w:p w14:paraId="756ECAF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六、维生素B</w:t>
      </w:r>
      <w:r>
        <w:rPr>
          <w:rFonts w:hint="eastAsia" w:ascii="黑体" w:hAnsi="黑体" w:eastAsia="黑体" w:cs="黑体"/>
          <w:spacing w:val="0"/>
          <w:sz w:val="32"/>
          <w:szCs w:val="32"/>
          <w:vertAlign w:val="subscript"/>
          <w:lang w:val="en-US" w:eastAsia="zh-CN"/>
        </w:rPr>
        <w:t>1</w:t>
      </w:r>
    </w:p>
    <w:p w14:paraId="7ADD370E">
      <w:pPr>
        <w:pStyle w:val="19"/>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eastAsia"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kern w:val="2"/>
          <w:sz w:val="32"/>
          <w:szCs w:val="32"/>
          <w:lang w:val="en-US" w:eastAsia="zh-CN" w:bidi="ar-SA"/>
        </w:rPr>
        <w:t>维生素B</w:t>
      </w:r>
      <w:r>
        <w:rPr>
          <w:rFonts w:hint="default" w:ascii="Times New Roman" w:hAnsi="Times New Roman" w:eastAsia="仿宋_GB2312" w:cs="Times New Roman"/>
          <w:kern w:val="2"/>
          <w:sz w:val="32"/>
          <w:szCs w:val="32"/>
          <w:vertAlign w:val="subscript"/>
          <w:lang w:val="en-US" w:eastAsia="zh-CN" w:bidi="ar-SA"/>
        </w:rPr>
        <w:t>1</w:t>
      </w:r>
      <w:r>
        <w:rPr>
          <w:rFonts w:hint="default" w:ascii="Times New Roman" w:hAnsi="Times New Roman" w:eastAsia="仿宋_GB2312" w:cs="Times New Roman"/>
          <w:kern w:val="2"/>
          <w:sz w:val="32"/>
          <w:szCs w:val="32"/>
          <w:lang w:val="en-US" w:eastAsia="zh-CN" w:bidi="ar-SA"/>
        </w:rPr>
        <w:t>是一种水溶性维生素，能够参与人体内能量代谢，对维持神经、肌肉特别是心肌正常功能方面有重要作用。维生素B</w:t>
      </w:r>
      <w:r>
        <w:rPr>
          <w:rFonts w:hint="default" w:ascii="Times New Roman" w:hAnsi="Times New Roman" w:eastAsia="仿宋_GB2312" w:cs="Times New Roman"/>
          <w:kern w:val="2"/>
          <w:sz w:val="32"/>
          <w:szCs w:val="32"/>
          <w:vertAlign w:val="subscript"/>
          <w:lang w:val="en-US" w:eastAsia="zh-CN" w:bidi="ar-SA"/>
        </w:rPr>
        <w:t>1</w:t>
      </w:r>
      <w:r>
        <w:rPr>
          <w:rFonts w:hint="default" w:ascii="Times New Roman" w:hAnsi="Times New Roman" w:eastAsia="仿宋_GB2312" w:cs="Times New Roman"/>
          <w:kern w:val="2"/>
          <w:sz w:val="32"/>
          <w:szCs w:val="32"/>
          <w:lang w:val="en-US" w:eastAsia="zh-CN" w:bidi="ar-SA"/>
        </w:rPr>
        <w:t>缺乏容易导致人体产生疲劳、食欲不振，还可能引起脚气病等神经</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血管系统损伤。《食品安全国家标准 婴幼儿谷类辅助食品》（GB 10769</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2010）中规定，婴幼儿谷类辅助食品中维生素B</w:t>
      </w:r>
      <w:r>
        <w:rPr>
          <w:rFonts w:hint="default" w:ascii="Times New Roman" w:hAnsi="Times New Roman" w:eastAsia="仿宋_GB2312" w:cs="Times New Roman"/>
          <w:kern w:val="2"/>
          <w:sz w:val="32"/>
          <w:szCs w:val="32"/>
          <w:vertAlign w:val="subscript"/>
          <w:lang w:val="en-US" w:eastAsia="zh-CN" w:bidi="ar-SA"/>
        </w:rPr>
        <w:t>1</w:t>
      </w:r>
      <w:r>
        <w:rPr>
          <w:rFonts w:hint="default" w:ascii="Times New Roman" w:hAnsi="Times New Roman" w:eastAsia="仿宋_GB2312" w:cs="Times New Roman"/>
          <w:kern w:val="2"/>
          <w:sz w:val="32"/>
          <w:szCs w:val="32"/>
          <w:lang w:val="en-US" w:eastAsia="zh-CN" w:bidi="ar-SA"/>
        </w:rPr>
        <w:t>含量应</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12.5μg/100kJ</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《食品安全国家标准 运动营养食品通则》（GB 24154</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2015）中规定，运动营养食品中维生素B</w:t>
      </w:r>
      <w:r>
        <w:rPr>
          <w:rFonts w:hint="default" w:ascii="Times New Roman" w:hAnsi="Times New Roman" w:eastAsia="仿宋_GB2312" w:cs="Times New Roman"/>
          <w:kern w:val="2"/>
          <w:sz w:val="32"/>
          <w:szCs w:val="32"/>
          <w:vertAlign w:val="subscript"/>
          <w:lang w:val="en-US" w:eastAsia="zh-CN" w:bidi="ar-SA"/>
        </w:rPr>
        <w:t>1</w:t>
      </w:r>
      <w:r>
        <w:rPr>
          <w:rFonts w:hint="default" w:ascii="Times New Roman" w:hAnsi="Times New Roman" w:eastAsia="仿宋_GB2312" w:cs="Times New Roman"/>
          <w:kern w:val="2"/>
          <w:sz w:val="32"/>
          <w:szCs w:val="32"/>
          <w:lang w:val="en-US" w:eastAsia="zh-CN" w:bidi="ar-SA"/>
        </w:rPr>
        <w:t>含量（以每日计）应在0.2</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4mg范围内</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《食品安全国家标准 预包装特殊膳食用食品标签》（GB 13432</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2013）中规定，在产品保质期内，能量和营养成分的实际含量不应低于标示值的80%。婴幼儿谷类辅助食品</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运动营养食品中维生素B</w:t>
      </w:r>
      <w:r>
        <w:rPr>
          <w:rFonts w:hint="default" w:ascii="Times New Roman" w:hAnsi="Times New Roman" w:eastAsia="仿宋_GB2312" w:cs="Times New Roman"/>
          <w:kern w:val="2"/>
          <w:sz w:val="32"/>
          <w:szCs w:val="32"/>
          <w:vertAlign w:val="subscript"/>
          <w:lang w:val="en-US" w:eastAsia="zh-CN" w:bidi="ar-SA"/>
        </w:rPr>
        <w:t>1</w:t>
      </w:r>
      <w:r>
        <w:rPr>
          <w:rFonts w:hint="default" w:ascii="Times New Roman" w:hAnsi="Times New Roman" w:eastAsia="仿宋_GB2312" w:cs="Times New Roman"/>
          <w:kern w:val="2"/>
          <w:sz w:val="32"/>
          <w:szCs w:val="32"/>
          <w:lang w:val="en-US" w:eastAsia="zh-CN" w:bidi="ar-SA"/>
        </w:rPr>
        <w:t>含量不达标的原因，可能是原辅料用食品营养强化剂不符合质量要求；也可能是生产加工过程中搅拌不均匀；还可能是在加工或储存过程中损失。</w:t>
      </w:r>
    </w:p>
    <w:p w14:paraId="50E2C30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pacing w:val="0"/>
          <w:sz w:val="32"/>
          <w:szCs w:val="32"/>
          <w:lang w:val="en-US" w:eastAsia="zh-CN"/>
        </w:rPr>
        <w:t>七、</w:t>
      </w:r>
      <w:r>
        <w:rPr>
          <w:rFonts w:hint="eastAsia" w:ascii="黑体" w:hAnsi="黑体" w:eastAsia="黑体" w:cs="黑体"/>
          <w:sz w:val="32"/>
          <w:szCs w:val="32"/>
          <w:lang w:val="en-US" w:eastAsia="zh-CN"/>
        </w:rPr>
        <w:t>维生素B</w:t>
      </w:r>
      <w:r>
        <w:rPr>
          <w:rFonts w:hint="eastAsia" w:ascii="黑体" w:hAnsi="黑体" w:eastAsia="黑体" w:cs="黑体"/>
          <w:sz w:val="32"/>
          <w:szCs w:val="32"/>
          <w:vertAlign w:val="subscript"/>
          <w:lang w:val="en-US" w:eastAsia="zh-CN"/>
        </w:rPr>
        <w:t>2</w:t>
      </w:r>
    </w:p>
    <w:p w14:paraId="17DC739C">
      <w:pPr>
        <w:pStyle w:val="19"/>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eastAsia"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kern w:val="2"/>
          <w:sz w:val="32"/>
          <w:szCs w:val="32"/>
          <w:lang w:val="en-US" w:eastAsia="zh-CN" w:bidi="ar-SA"/>
        </w:rPr>
        <w:t>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是一种水溶性维生素，能够参与体内生物氧化与能量代谢。维生素B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缺乏可能会导致疲倦乏力、口腔疼痛，严重时可引起维生素B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缺乏病</w:t>
      </w:r>
      <w:r>
        <w:rPr>
          <w:rFonts w:hint="eastAsia" w:ascii="Times New Roman" w:hAnsi="Times New Roman" w:eastAsia="仿宋_GB2312" w:cs="Times New Roman"/>
          <w:kern w:val="2"/>
          <w:sz w:val="32"/>
          <w:szCs w:val="32"/>
          <w:lang w:val="en-US" w:eastAsia="zh-CN" w:bidi="ar-SA"/>
        </w:rPr>
        <w:t>；长期缺乏可能会导致婴幼儿生长迟缓</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rPr>
        <w:t xml:space="preserve">《食品安全国家标准 </w:t>
      </w:r>
      <w:r>
        <w:rPr>
          <w:rFonts w:hint="default" w:ascii="Times New Roman" w:hAnsi="Times New Roman" w:eastAsia="仿宋_GB2312" w:cs="Times New Roman"/>
          <w:sz w:val="32"/>
          <w:szCs w:val="32"/>
          <w:lang w:val="en-US" w:eastAsia="zh-CN"/>
        </w:rPr>
        <w:t>婴幼儿谷类辅助食品</w:t>
      </w:r>
      <w:r>
        <w:rPr>
          <w:rFonts w:hint="default" w:ascii="Times New Roman" w:hAnsi="Times New Roman" w:eastAsia="仿宋_GB2312" w:cs="Times New Roman"/>
          <w:sz w:val="32"/>
          <w:szCs w:val="32"/>
        </w:rPr>
        <w:t xml:space="preserve">》（GB </w:t>
      </w:r>
      <w:r>
        <w:rPr>
          <w:rFonts w:hint="default" w:ascii="Times New Roman" w:hAnsi="Times New Roman" w:eastAsia="仿宋_GB2312" w:cs="Times New Roman"/>
          <w:sz w:val="32"/>
          <w:szCs w:val="32"/>
          <w:lang w:val="en-US" w:eastAsia="zh-CN"/>
        </w:rPr>
        <w:t>10769</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2010</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sz w:val="32"/>
          <w:szCs w:val="32"/>
          <w:lang w:val="en-US" w:eastAsia="zh-CN"/>
        </w:rPr>
        <w:t>婴幼儿谷类辅助食品中维生素B</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lang w:val="en-US" w:eastAsia="zh-CN"/>
        </w:rPr>
        <w:t>含量</w:t>
      </w:r>
      <w:r>
        <w:rPr>
          <w:rFonts w:hint="default" w:ascii="Times New Roman" w:hAnsi="Times New Roman" w:eastAsia="仿宋_GB2312" w:cs="Times New Roman"/>
          <w:sz w:val="32"/>
          <w:szCs w:val="32"/>
        </w:rPr>
        <w:t>应</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13.0</w:t>
      </w:r>
      <w:r>
        <w:rPr>
          <w:rFonts w:hint="default" w:ascii="Times New Roman" w:hAnsi="Times New Roman" w:eastAsia="仿宋_GB2312" w:cs="Times New Roman"/>
          <w:sz w:val="32"/>
          <w:szCs w:val="32"/>
        </w:rPr>
        <w:t>μg</w:t>
      </w:r>
      <w:r>
        <w:rPr>
          <w:rFonts w:hint="default" w:ascii="Times New Roman" w:hAnsi="Times New Roman" w:eastAsia="仿宋_GB2312" w:cs="Times New Roman"/>
          <w:sz w:val="32"/>
          <w:szCs w:val="32"/>
          <w:lang w:val="en-US" w:eastAsia="zh-CN"/>
        </w:rPr>
        <w:t>/100kJ</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2015）中规定，运动营养食品中维生素B</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lang w:val="en-US" w:eastAsia="zh-CN"/>
        </w:rPr>
        <w:t>含量（以每日计）应在0.2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kern w:val="2"/>
          <w:sz w:val="32"/>
          <w:szCs w:val="32"/>
          <w:lang w:val="en-US" w:eastAsia="zh-CN" w:bidi="ar-SA"/>
        </w:rPr>
        <w:t>婴幼儿谷类辅助食品</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运动营养食品中</w:t>
      </w:r>
      <w:r>
        <w:rPr>
          <w:rFonts w:hint="default" w:ascii="Times New Roman" w:hAnsi="Times New Roman" w:eastAsia="仿宋_GB2312" w:cs="Times New Roman"/>
          <w:sz w:val="32"/>
          <w:szCs w:val="32"/>
          <w:lang w:val="en-US" w:eastAsia="zh-CN"/>
        </w:rPr>
        <w:t>维生素B</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lang w:val="en-US" w:eastAsia="zh-CN"/>
        </w:rPr>
        <w:t>含量不达标</w:t>
      </w:r>
      <w:r>
        <w:rPr>
          <w:rFonts w:hint="default" w:ascii="Times New Roman" w:hAnsi="Times New Roman" w:eastAsia="仿宋_GB2312" w:cs="Times New Roman"/>
          <w:sz w:val="32"/>
          <w:szCs w:val="32"/>
        </w:rPr>
        <w:t>的原因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w:t>
      </w:r>
      <w:r>
        <w:rPr>
          <w:rFonts w:hint="default" w:ascii="Times New Roman" w:hAnsi="Times New Roman" w:eastAsia="仿宋_GB2312" w:cs="Times New Roman"/>
          <w:sz w:val="32"/>
          <w:szCs w:val="32"/>
        </w:rPr>
        <w:t>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w:t>
      </w:r>
      <w:r>
        <w:rPr>
          <w:rFonts w:hint="default" w:ascii="Times New Roman" w:hAnsi="Times New Roman" w:eastAsia="仿宋_GB2312" w:cs="Times New Roman"/>
          <w:sz w:val="32"/>
          <w:szCs w:val="32"/>
        </w:rPr>
        <w:t>可能是在加工或储存过程中损失。</w:t>
      </w:r>
    </w:p>
    <w:p w14:paraId="6B17204A">
      <w:pPr>
        <w:pStyle w:val="2"/>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黑体" w:cs="Times New Roman"/>
          <w:spacing w:val="0"/>
          <w:sz w:val="32"/>
          <w:szCs w:val="32"/>
          <w:lang w:val="en-US" w:eastAsia="zh-CN"/>
        </w:rPr>
      </w:pPr>
      <w:r>
        <w:rPr>
          <w:rFonts w:hint="eastAsia" w:eastAsia="黑体" w:cs="Times New Roman"/>
          <w:color w:val="000000" w:themeColor="text1"/>
          <w:sz w:val="32"/>
          <w:szCs w:val="32"/>
          <w:highlight w:val="none"/>
          <w:lang w:val="en-US" w:eastAsia="zh-CN"/>
          <w14:textFill>
            <w14:solidFill>
              <w14:schemeClr w14:val="tx1"/>
            </w14:solidFill>
          </w14:textFill>
        </w:rPr>
        <w:t>八、</w:t>
      </w:r>
      <w:r>
        <w:rPr>
          <w:rFonts w:hint="default" w:ascii="Times New Roman" w:hAnsi="Times New Roman" w:eastAsia="黑体" w:cs="Times New Roman"/>
          <w:spacing w:val="0"/>
          <w:sz w:val="32"/>
          <w:szCs w:val="32"/>
          <w:lang w:val="en-US" w:eastAsia="zh-CN"/>
        </w:rPr>
        <w:t>烟酸</w:t>
      </w:r>
    </w:p>
    <w:p w14:paraId="0EAB31A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黑体" w:cs="Times New Roman"/>
          <w:spacing w:val="0"/>
          <w:sz w:val="32"/>
          <w:szCs w:val="32"/>
        </w:rPr>
      </w:pPr>
      <w:r>
        <w:rPr>
          <w:rFonts w:hint="default" w:ascii="Times New Roman" w:hAnsi="Times New Roman" w:eastAsia="仿宋_GB2312" w:cs="Times New Roman"/>
          <w:kern w:val="2"/>
          <w:sz w:val="32"/>
          <w:szCs w:val="22"/>
          <w:lang w:val="en-US" w:eastAsia="zh-CN" w:bidi="ar-SA"/>
        </w:rPr>
        <w:t>烟酸是一种B族维生素，可参与人体内物质和能量代谢，在维持皮肤和消化器官正常功能中起重要作用。烟酸缺乏可能会引起糙皮病或癞皮病，影响婴幼儿生长发育。《食品安全国家标准 婴幼儿谷类辅助食品》（GB 10769</w:t>
      </w:r>
      <w:r>
        <w:rPr>
          <w:rFonts w:hint="eastAsia" w:ascii="仿宋_GB2312" w:hAnsi="仿宋_GB2312" w:eastAsia="仿宋_GB2312" w:cs="仿宋_GB2312"/>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2010）中规定，婴幼儿谷类辅助食品中烟酸含量应</w:t>
      </w:r>
      <w:r>
        <w:rPr>
          <w:rFonts w:hint="eastAsia" w:ascii="仿宋_GB2312" w:hAnsi="仿宋_GB2312" w:eastAsia="仿宋_GB2312" w:cs="仿宋_GB2312"/>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83.7μg/100kJ</w:t>
      </w:r>
      <w:r>
        <w:rPr>
          <w:rFonts w:hint="eastAsia" w:ascii="Times New Roman" w:hAnsi="Times New Roman" w:eastAsia="仿宋_GB2312" w:cs="Times New Roman"/>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《食品安全国家标准 预包装特殊膳食用食品标签》（GB 13432</w:t>
      </w:r>
      <w:r>
        <w:rPr>
          <w:rFonts w:hint="eastAsia" w:ascii="仿宋_GB2312" w:hAnsi="仿宋_GB2312" w:eastAsia="仿宋_GB2312" w:cs="仿宋_GB2312"/>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2013）中规定，在产品保质期内，能量和营养成分的实际含量不应低于标示值的80%。婴幼儿谷类辅助食品中烟酸含量不达标的原因，</w:t>
      </w:r>
      <w:r>
        <w:rPr>
          <w:rFonts w:hint="default"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val="en-US" w:eastAsia="zh-CN"/>
        </w:rPr>
        <w:t>符合质量要求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r>
        <w:rPr>
          <w:rFonts w:hint="default" w:ascii="Times New Roman" w:hAnsi="Times New Roman" w:eastAsia="仿宋_GB2312" w:cs="Times New Roman"/>
          <w:kern w:val="2"/>
          <w:sz w:val="32"/>
          <w:szCs w:val="22"/>
          <w:lang w:val="en-US" w:eastAsia="zh-CN" w:bidi="ar-SA"/>
        </w:rPr>
        <w:t>。</w:t>
      </w:r>
    </w:p>
    <w:p w14:paraId="269601A9">
      <w:pPr>
        <w:pStyle w:val="2"/>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九</w:t>
      </w:r>
      <w:r>
        <w:rPr>
          <w:rFonts w:hint="default" w:ascii="Times New Roman" w:hAnsi="Times New Roman" w:eastAsia="黑体" w:cs="Times New Roman"/>
          <w:spacing w:val="0"/>
          <w:sz w:val="32"/>
          <w:szCs w:val="32"/>
        </w:rPr>
        <w:t>、</w:t>
      </w:r>
      <w:r>
        <w:rPr>
          <w:rFonts w:hint="eastAsia" w:ascii="黑体" w:hAnsi="黑体" w:eastAsia="黑体" w:cs="黑体"/>
          <w:spacing w:val="0"/>
          <w:sz w:val="32"/>
          <w:szCs w:val="32"/>
          <w:lang w:val="en-US" w:eastAsia="zh-CN"/>
        </w:rPr>
        <w:t>维生素D</w:t>
      </w:r>
    </w:p>
    <w:p w14:paraId="1587270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黑体" w:hAnsi="黑体" w:eastAsia="黑体" w:cs="黑体"/>
          <w:sz w:val="32"/>
          <w:szCs w:val="32"/>
          <w:lang w:val="en-US" w:eastAsia="zh-CN"/>
        </w:rPr>
      </w:pPr>
      <w:r>
        <w:rPr>
          <w:rFonts w:hint="default" w:ascii="Times New Roman" w:hAnsi="Times New Roman" w:eastAsia="仿宋_GB2312" w:cs="Times New Roman"/>
          <w:spacing w:val="0"/>
          <w:sz w:val="32"/>
          <w:szCs w:val="32"/>
          <w:lang w:val="en-US" w:eastAsia="zh-CN"/>
        </w:rPr>
        <w:t>维生素D是一种脂溶性维生素，可以维持血浆钙和磷的水平稳定，满足骨骼矿物质化、肌肉收缩、神经传导及细胞的基本功能。维生素D缺乏容易导致儿童佝偻病等。</w:t>
      </w:r>
      <w:r>
        <w:rPr>
          <w:rFonts w:hint="default" w:ascii="Times New Roman" w:hAnsi="Times New Roman" w:eastAsia="仿宋_GB2312" w:cs="Times New Roman"/>
          <w:spacing w:val="0"/>
          <w:sz w:val="32"/>
          <w:szCs w:val="32"/>
        </w:rPr>
        <w:t xml:space="preserve">《食品安全国家标准 </w:t>
      </w:r>
      <w:r>
        <w:rPr>
          <w:rFonts w:hint="default" w:ascii="Times New Roman" w:hAnsi="Times New Roman" w:eastAsia="仿宋_GB2312" w:cs="Times New Roman"/>
          <w:spacing w:val="0"/>
          <w:sz w:val="32"/>
          <w:szCs w:val="32"/>
          <w:lang w:val="en-US" w:eastAsia="zh-CN"/>
        </w:rPr>
        <w:t>婴幼儿谷类辅助食品</w:t>
      </w:r>
      <w:r>
        <w:rPr>
          <w:rFonts w:hint="default" w:ascii="Times New Roman" w:hAnsi="Times New Roman" w:eastAsia="仿宋_GB2312" w:cs="Times New Roman"/>
          <w:spacing w:val="0"/>
          <w:sz w:val="32"/>
          <w:szCs w:val="32"/>
        </w:rPr>
        <w:t xml:space="preserve">》（GB </w:t>
      </w:r>
      <w:r>
        <w:rPr>
          <w:rFonts w:hint="default" w:ascii="Times New Roman" w:hAnsi="Times New Roman" w:eastAsia="仿宋_GB2312" w:cs="Times New Roman"/>
          <w:spacing w:val="0"/>
          <w:sz w:val="32"/>
          <w:szCs w:val="32"/>
          <w:lang w:val="en-US" w:eastAsia="zh-CN"/>
        </w:rPr>
        <w:t>10769</w:t>
      </w:r>
      <w:r>
        <w:rPr>
          <w:rFonts w:hint="eastAsia" w:ascii="仿宋_GB2312" w:hAnsi="仿宋_GB2312" w:eastAsia="仿宋_GB2312" w:cs="仿宋_GB2312"/>
          <w:spacing w:val="0"/>
          <w:sz w:val="32"/>
          <w:szCs w:val="32"/>
        </w:rPr>
        <w:t>—</w:t>
      </w:r>
      <w:r>
        <w:rPr>
          <w:rFonts w:hint="default" w:ascii="Times New Roman" w:hAnsi="Times New Roman" w:eastAsia="仿宋_GB2312" w:cs="Times New Roman"/>
          <w:spacing w:val="0"/>
          <w:sz w:val="32"/>
          <w:szCs w:val="32"/>
          <w:lang w:val="en-US" w:eastAsia="zh-CN"/>
        </w:rPr>
        <w:t>2010</w:t>
      </w:r>
      <w:r>
        <w:rPr>
          <w:rFonts w:hint="default" w:ascii="Times New Roman" w:hAnsi="Times New Roman" w:eastAsia="仿宋_GB2312" w:cs="Times New Roman"/>
          <w:spacing w:val="0"/>
          <w:sz w:val="32"/>
          <w:szCs w:val="32"/>
        </w:rPr>
        <w:t>）中规定，</w:t>
      </w:r>
      <w:r>
        <w:rPr>
          <w:rFonts w:hint="default" w:ascii="Times New Roman" w:hAnsi="Times New Roman" w:eastAsia="仿宋_GB2312" w:cs="Times New Roman"/>
          <w:spacing w:val="0"/>
          <w:sz w:val="32"/>
          <w:szCs w:val="32"/>
          <w:lang w:val="en-US" w:eastAsia="zh-CN"/>
        </w:rPr>
        <w:t>婴幼儿谷类辅助食品中维生素D含量</w:t>
      </w:r>
      <w:r>
        <w:rPr>
          <w:rFonts w:hint="default" w:ascii="Times New Roman" w:hAnsi="Times New Roman" w:eastAsia="仿宋_GB2312" w:cs="Times New Roman"/>
          <w:spacing w:val="0"/>
          <w:sz w:val="32"/>
          <w:szCs w:val="32"/>
        </w:rPr>
        <w:t>应</w:t>
      </w:r>
      <w:r>
        <w:rPr>
          <w:rFonts w:hint="default" w:ascii="Times New Roman" w:hAnsi="Times New Roman" w:eastAsia="仿宋_GB2312" w:cs="Times New Roman"/>
          <w:spacing w:val="0"/>
          <w:sz w:val="32"/>
          <w:szCs w:val="32"/>
          <w:lang w:val="en-US" w:eastAsia="zh-CN"/>
        </w:rPr>
        <w:t>在0.25</w:t>
      </w:r>
      <w:r>
        <w:rPr>
          <w:rFonts w:hint="eastAsia" w:ascii="仿宋_GB2312" w:hAnsi="仿宋_GB2312" w:eastAsia="仿宋_GB2312" w:cs="仿宋_GB2312"/>
          <w:spacing w:val="0"/>
          <w:sz w:val="32"/>
          <w:szCs w:val="32"/>
          <w:lang w:val="en-US" w:eastAsia="zh-CN"/>
        </w:rPr>
        <w:t>—</w:t>
      </w:r>
      <w:r>
        <w:rPr>
          <w:rFonts w:hint="default" w:ascii="Times New Roman" w:hAnsi="Times New Roman" w:eastAsia="仿宋_GB2312" w:cs="Times New Roman"/>
          <w:spacing w:val="0"/>
          <w:sz w:val="32"/>
          <w:szCs w:val="32"/>
          <w:lang w:val="en-US" w:eastAsia="zh-CN"/>
        </w:rPr>
        <w:t>0.75</w:t>
      </w:r>
      <w:r>
        <w:rPr>
          <w:rFonts w:hint="default" w:ascii="Times New Roman" w:hAnsi="Times New Roman" w:eastAsia="仿宋_GB2312" w:cs="Times New Roman"/>
          <w:spacing w:val="0"/>
          <w:sz w:val="32"/>
          <w:szCs w:val="32"/>
        </w:rPr>
        <w:t>μg</w:t>
      </w:r>
      <w:r>
        <w:rPr>
          <w:rFonts w:hint="default" w:ascii="Times New Roman" w:hAnsi="Times New Roman" w:eastAsia="仿宋_GB2312" w:cs="Times New Roman"/>
          <w:spacing w:val="0"/>
          <w:sz w:val="32"/>
          <w:szCs w:val="32"/>
          <w:lang w:val="en-US" w:eastAsia="zh-CN"/>
        </w:rPr>
        <w:t>/100kJ范围内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rPr>
        <w:t>《食品安全国家标准 预包装特殊膳食用食品标签》（GB 13432</w:t>
      </w:r>
      <w:r>
        <w:rPr>
          <w:rFonts w:hint="eastAsia" w:ascii="仿宋_GB2312" w:hAnsi="仿宋_GB2312" w:eastAsia="仿宋_GB2312" w:cs="仿宋_GB2312"/>
          <w:sz w:val="32"/>
          <w:lang w:eastAsia="zh-CN"/>
        </w:rPr>
        <w:t>—</w:t>
      </w:r>
      <w:r>
        <w:rPr>
          <w:rFonts w:hint="default" w:ascii="Times New Roman" w:hAnsi="Times New Roman" w:eastAsia="仿宋_GB2312" w:cs="Times New Roman"/>
          <w:sz w:val="32"/>
        </w:rPr>
        <w:t>2013）</w:t>
      </w:r>
      <w:r>
        <w:rPr>
          <w:rFonts w:hint="default" w:ascii="Times New Roman" w:hAnsi="Times New Roman" w:eastAsia="仿宋_GB2312" w:cs="Times New Roman"/>
          <w:sz w:val="32"/>
          <w:lang w:val="en-US" w:eastAsia="zh-CN"/>
        </w:rPr>
        <w:t>中</w:t>
      </w:r>
      <w:r>
        <w:rPr>
          <w:rFonts w:hint="default" w:ascii="Times New Roman" w:hAnsi="Times New Roman" w:eastAsia="仿宋_GB2312" w:cs="Times New Roman"/>
          <w:sz w:val="32"/>
        </w:rPr>
        <w:t>规定，在产品保质期内，能量和营养成分的实际含量不应低于标示值的80%。</w:t>
      </w:r>
      <w:r>
        <w:rPr>
          <w:rFonts w:hint="default" w:ascii="Times New Roman" w:hAnsi="Times New Roman" w:eastAsia="仿宋_GB2312" w:cs="Times New Roman"/>
          <w:sz w:val="32"/>
          <w:lang w:val="en-US" w:eastAsia="zh-CN"/>
        </w:rPr>
        <w:t>婴幼儿谷类辅助食品</w:t>
      </w:r>
      <w:r>
        <w:rPr>
          <w:rFonts w:hint="default" w:ascii="Times New Roman" w:hAnsi="Times New Roman" w:eastAsia="仿宋_GB2312" w:cs="Times New Roman"/>
          <w:sz w:val="32"/>
        </w:rPr>
        <w:t>中维生素D</w:t>
      </w:r>
      <w:r>
        <w:rPr>
          <w:rFonts w:hint="default" w:ascii="Times New Roman" w:hAnsi="Times New Roman" w:eastAsia="仿宋_GB2312" w:cs="Times New Roman"/>
          <w:sz w:val="32"/>
          <w:lang w:val="en-US" w:eastAsia="zh-CN"/>
        </w:rPr>
        <w:t>含量</w:t>
      </w:r>
      <w:r>
        <w:rPr>
          <w:rFonts w:hint="default" w:ascii="Times New Roman" w:hAnsi="Times New Roman" w:eastAsia="仿宋_GB2312" w:cs="Times New Roman"/>
          <w:sz w:val="32"/>
        </w:rPr>
        <w:t>不达标的原因，</w:t>
      </w:r>
      <w:r>
        <w:rPr>
          <w:rFonts w:hint="default"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val="en-US" w:eastAsia="zh-CN"/>
        </w:rPr>
        <w:t>符合质量要求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14:paraId="37DFD453">
      <w:pPr>
        <w:pStyle w:val="2"/>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color w:val="auto"/>
          <w:kern w:val="2"/>
          <w:sz w:val="32"/>
          <w:szCs w:val="32"/>
          <w:highlight w:val="none"/>
          <w:lang w:val="en-US" w:eastAsia="zh-CN" w:bidi="ar-SA"/>
        </w:rPr>
        <w:t>十、</w:t>
      </w:r>
      <w:r>
        <w:rPr>
          <w:rFonts w:hint="default" w:ascii="Times New Roman" w:hAnsi="Times New Roman" w:eastAsia="黑体" w:cs="Times New Roman"/>
          <w:spacing w:val="0"/>
          <w:sz w:val="32"/>
          <w:szCs w:val="32"/>
          <w:lang w:val="en-US" w:eastAsia="zh-CN"/>
        </w:rPr>
        <w:t>钙</w:t>
      </w:r>
    </w:p>
    <w:p w14:paraId="452AFC9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钙是人体含量最多的矿物质元素，可维持人体神经和肌肉活动、促进细胞信息传递。钙缺乏可能会导致生长发育迟缓</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易患龋齿等。</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highlight w:val="none"/>
        </w:rPr>
        <w:t>食品安全国家标准 婴幼儿谷类辅助食品》（GB 10769</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2010）中规定，婴幼儿谷</w:t>
      </w:r>
      <w:r>
        <w:rPr>
          <w:rFonts w:hint="default" w:ascii="Times New Roman" w:hAnsi="Times New Roman" w:eastAsia="仿宋_GB2312" w:cs="Times New Roman"/>
          <w:color w:val="auto"/>
          <w:sz w:val="32"/>
          <w:szCs w:val="32"/>
          <w:highlight w:val="none"/>
          <w:lang w:val="en-US" w:eastAsia="zh-CN"/>
        </w:rPr>
        <w:t>物</w:t>
      </w:r>
      <w:r>
        <w:rPr>
          <w:rFonts w:hint="default" w:ascii="Times New Roman" w:hAnsi="Times New Roman" w:eastAsia="仿宋_GB2312" w:cs="Times New Roman"/>
          <w:color w:val="auto"/>
          <w:sz w:val="32"/>
          <w:szCs w:val="32"/>
          <w:highlight w:val="none"/>
        </w:rPr>
        <w:t>辅助食品中</w:t>
      </w:r>
      <w:r>
        <w:rPr>
          <w:rFonts w:hint="default" w:ascii="Times New Roman" w:hAnsi="Times New Roman" w:eastAsia="仿宋_GB2312" w:cs="Times New Roman"/>
          <w:color w:val="auto"/>
          <w:sz w:val="32"/>
          <w:szCs w:val="32"/>
          <w:highlight w:val="none"/>
          <w:lang w:val="en-US" w:eastAsia="zh-CN"/>
        </w:rPr>
        <w:t>钙</w:t>
      </w:r>
      <w:r>
        <w:rPr>
          <w:rFonts w:hint="default" w:ascii="Times New Roman" w:hAnsi="Times New Roman" w:eastAsia="仿宋_GB2312" w:cs="Times New Roman"/>
          <w:color w:val="auto"/>
          <w:sz w:val="32"/>
          <w:szCs w:val="32"/>
          <w:highlight w:val="none"/>
        </w:rPr>
        <w:t>含量应</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12.0m</w:t>
      </w:r>
      <w:r>
        <w:rPr>
          <w:rFonts w:hint="default" w:ascii="Times New Roman" w:hAnsi="Times New Roman" w:eastAsia="仿宋_GB2312" w:cs="Times New Roman"/>
          <w:sz w:val="32"/>
          <w:szCs w:val="32"/>
        </w:rPr>
        <w:t>g</w:t>
      </w:r>
      <w:r>
        <w:rPr>
          <w:rFonts w:hint="default" w:ascii="Times New Roman" w:hAnsi="Times New Roman" w:eastAsia="仿宋_GB2312" w:cs="Times New Roman"/>
          <w:sz w:val="32"/>
          <w:szCs w:val="32"/>
          <w:lang w:val="en-US" w:eastAsia="zh-CN"/>
        </w:rPr>
        <w:t>/100kJ</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lang w:val="en-US" w:eastAsia="zh-CN"/>
        </w:rPr>
        <w:t>《食品安全国家标准 预包装特殊膳食用食品标签》（GB 13432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2013）中规定，在产品保质期内，能量和营养成分的实际含量不应低于标示值的80%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z w:val="32"/>
          <w:szCs w:val="32"/>
          <w:highlight w:val="none"/>
          <w:lang w:val="en-US" w:eastAsia="zh-CN"/>
        </w:rPr>
        <w:t>婴幼儿谷物辅助食品</w:t>
      </w:r>
      <w:r>
        <w:rPr>
          <w:rFonts w:hint="default" w:ascii="Times New Roman" w:hAnsi="Times New Roman" w:eastAsia="仿宋_GB2312" w:cs="Times New Roman"/>
          <w:sz w:val="32"/>
          <w:szCs w:val="32"/>
          <w:lang w:val="en-US" w:eastAsia="zh-CN"/>
        </w:rPr>
        <w:t>中钙含量不达标的原因，可能是原辅料用食品营养强化剂不符合质量要求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也可能是企业未按产品执行标准要求进行添加</w:t>
      </w:r>
      <w:r>
        <w:rPr>
          <w:rFonts w:hint="eastAsia" w:ascii="Times New Roman" w:hAnsi="Times New Roman" w:eastAsia="仿宋_GB2312" w:cs="Times New Roman"/>
          <w:sz w:val="32"/>
          <w:szCs w:val="32"/>
          <w:lang w:val="en-US" w:eastAsia="zh-CN"/>
        </w:rPr>
        <w:t>；还</w:t>
      </w:r>
      <w:r>
        <w:rPr>
          <w:rFonts w:hint="default" w:ascii="Times New Roman" w:hAnsi="Times New Roman" w:eastAsia="仿宋_GB2312" w:cs="Times New Roman"/>
          <w:sz w:val="32"/>
          <w:szCs w:val="32"/>
          <w:lang w:val="en-US" w:eastAsia="zh-CN"/>
        </w:rPr>
        <w:t>可能是生产加工过程中搅拌不均匀。</w:t>
      </w:r>
    </w:p>
    <w:p w14:paraId="24B9395B">
      <w:pPr>
        <w:pStyle w:val="2"/>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color w:val="auto"/>
          <w:spacing w:val="0"/>
          <w:sz w:val="32"/>
          <w:szCs w:val="32"/>
          <w:lang w:val="en-US" w:eastAsia="zh-CN"/>
        </w:rPr>
        <w:t>十一、</w:t>
      </w:r>
      <w:r>
        <w:rPr>
          <w:rFonts w:hint="default" w:ascii="Times New Roman" w:hAnsi="Times New Roman" w:eastAsia="黑体" w:cs="Times New Roman"/>
          <w:spacing w:val="0"/>
          <w:sz w:val="32"/>
          <w:szCs w:val="32"/>
          <w:lang w:val="en-US" w:eastAsia="zh-CN"/>
        </w:rPr>
        <w:t>铁</w:t>
      </w:r>
    </w:p>
    <w:p w14:paraId="06673FA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24"/>
          <w:lang w:val="en-US" w:eastAsia="zh-CN" w:bidi="ar-SA"/>
        </w:rPr>
        <w:t>铁是人体必需的微量元素。长期铁摄入不足可能会引起体内铁缺乏或导致缺铁性贫血，影响婴幼儿身体生长发育。《食品安全国家标准 婴幼儿谷类辅助食品》（GB 10769</w:t>
      </w:r>
      <w:r>
        <w:rPr>
          <w:rFonts w:hint="eastAsia" w:ascii="仿宋_GB2312" w:hAnsi="仿宋_GB2312" w:eastAsia="仿宋_GB2312" w:cs="仿宋_GB2312"/>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2010）中规定，婴幼儿谷类辅助食品中铁含量应在0.25</w:t>
      </w:r>
      <w:r>
        <w:rPr>
          <w:rFonts w:hint="eastAsia" w:ascii="仿宋_GB2312" w:hAnsi="仿宋_GB2312" w:eastAsia="仿宋_GB2312" w:cs="仿宋_GB2312"/>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0.50mg/100kJ范围内</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《食品安全国家标准 预包装特殊膳食用食品标签》（GB 13432</w:t>
      </w:r>
      <w:r>
        <w:rPr>
          <w:rFonts w:hint="eastAsia" w:ascii="仿宋_GB2312" w:hAnsi="仿宋_GB2312" w:eastAsia="仿宋_GB2312" w:cs="仿宋_GB2312"/>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2013）中规定，在产品保质期内，能量和营养成分的实际含量不应低于标示值的80%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kern w:val="2"/>
          <w:sz w:val="32"/>
          <w:szCs w:val="24"/>
          <w:lang w:val="en-US" w:eastAsia="zh-CN" w:bidi="ar-SA"/>
        </w:rPr>
        <w:t>婴幼儿谷类辅助食品中铁含量不达标的原因，可能是原辅料用食品营养强化剂不符合质量要求</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sz w:val="32"/>
          <w:szCs w:val="32"/>
          <w:lang w:val="en-US" w:eastAsia="zh-CN"/>
        </w:rPr>
        <w:t>也可能是企业未按产品执行标准要求进行添加</w:t>
      </w:r>
      <w:r>
        <w:rPr>
          <w:rFonts w:hint="eastAsia" w:ascii="Times New Roman" w:hAnsi="Times New Roman" w:eastAsia="仿宋_GB2312" w:cs="Times New Roman"/>
          <w:sz w:val="32"/>
          <w:szCs w:val="32"/>
          <w:lang w:val="en-US" w:eastAsia="zh-CN"/>
        </w:rPr>
        <w:t>；还</w:t>
      </w:r>
      <w:r>
        <w:rPr>
          <w:rFonts w:hint="default" w:ascii="Times New Roman" w:hAnsi="Times New Roman" w:eastAsia="仿宋_GB2312" w:cs="Times New Roman"/>
          <w:kern w:val="2"/>
          <w:sz w:val="32"/>
          <w:szCs w:val="24"/>
          <w:lang w:val="en-US" w:eastAsia="zh-CN" w:bidi="ar-SA"/>
        </w:rPr>
        <w:t>可能是生产加工过程中搅拌不均匀。</w:t>
      </w:r>
    </w:p>
    <w:p w14:paraId="715F2640">
      <w:pPr>
        <w:pStyle w:val="2"/>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b w:val="0"/>
          <w:bCs w:val="0"/>
          <w:sz w:val="32"/>
          <w:szCs w:val="32"/>
          <w:lang w:val="en-US" w:eastAsia="zh-CN"/>
        </w:rPr>
        <w:t>十二、</w:t>
      </w:r>
      <w:r>
        <w:rPr>
          <w:rFonts w:hint="default" w:ascii="Times New Roman" w:hAnsi="Times New Roman" w:eastAsia="黑体" w:cs="Times New Roman"/>
          <w:spacing w:val="0"/>
          <w:sz w:val="32"/>
          <w:szCs w:val="32"/>
          <w:lang w:val="en-US" w:eastAsia="zh-CN"/>
        </w:rPr>
        <w:t>锌</w:t>
      </w:r>
    </w:p>
    <w:p w14:paraId="6295DAD0">
      <w:pPr>
        <w:spacing w:line="594" w:lineRule="exact"/>
        <w:ind w:firstLine="640" w:firstLineChars="200"/>
        <w:jc w:val="both"/>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z w:val="32"/>
          <w:szCs w:val="32"/>
          <w:lang w:val="en-US" w:eastAsia="zh-CN"/>
        </w:rPr>
        <w:t>锌是人体必需的微量元素，对生长发育、免疫功能、物质代谢等均有重要作用。锌缺乏可能导致味觉障碍、生长发育不良、皮肤干燥等症状。《食品安全国家标准 婴幼儿谷类辅助食品》（GB 10769</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2010）中规定，婴幼儿谷类辅助食品中锌含量应在0.17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0.46mg/100kJ范围内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2013）中规定，在产品保质期内，能量和营养成分的实际含量不应低于标示值的80%。婴幼儿谷类辅助食品中锌含量不达标的原因，可能是原辅料用食品营养强化剂不符合质量要求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也可能是生产加工过程中搅拌不均匀。</w:t>
      </w:r>
    </w:p>
    <w:p w14:paraId="027E4DFD">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十三</w:t>
      </w:r>
      <w:r>
        <w:rPr>
          <w:rFonts w:hint="default" w:ascii="Times New Roman" w:hAnsi="Times New Roman" w:eastAsia="黑体" w:cs="Times New Roman"/>
          <w:spacing w:val="0"/>
          <w:sz w:val="32"/>
          <w:szCs w:val="32"/>
        </w:rPr>
        <w:t>、</w:t>
      </w:r>
      <w:r>
        <w:rPr>
          <w:rFonts w:hint="eastAsia" w:ascii="Times New Roman" w:hAnsi="Times New Roman" w:eastAsia="黑体" w:cs="Times New Roman"/>
          <w:spacing w:val="0"/>
          <w:sz w:val="32"/>
          <w:szCs w:val="32"/>
          <w:lang w:val="en-US" w:eastAsia="zh-CN"/>
        </w:rPr>
        <w:t>脱氢乙酸及其钠盐（以脱氢乙酸计）</w:t>
      </w:r>
    </w:p>
    <w:p w14:paraId="3D7C7224">
      <w:pPr>
        <w:pStyle w:val="19"/>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default" w:ascii="Times New Roman" w:hAnsi="Times New Roman" w:eastAsia="黑体" w:cs="Times New Roman"/>
          <w:spacing w:val="0"/>
          <w:sz w:val="32"/>
          <w:szCs w:val="32"/>
        </w:rPr>
      </w:pPr>
      <w:r>
        <w:rPr>
          <w:rFonts w:hint="eastAsia" w:ascii="Times New Roman" w:hAnsi="Times New Roman" w:eastAsia="仿宋_GB2312" w:cs="Times New Roman"/>
          <w:sz w:val="32"/>
          <w:szCs w:val="32"/>
          <w:lang w:val="en-US" w:eastAsia="zh-CN"/>
        </w:rPr>
        <w:t>脱氢乙酸及其钠盐作为一种广谱食品防腐剂，对霉菌和酵母菌的抑制能力强。脱氢乙酸及其钠盐能被人体完全吸收，并能抑制人体内多种氧化酶，长期过量摄入脱氢乙酸及其钠盐的食品会危害人体健康。</w:t>
      </w:r>
      <w:bookmarkStart w:id="0" w:name="hmcheck_1ceb93055b1543cc984b02229716b1fa"/>
      <w:r>
        <w:rPr>
          <w:rFonts w:hint="eastAsia" w:ascii="Times New Roman" w:hAnsi="Times New Roman" w:eastAsia="仿宋_GB2312" w:cs="Times New Roman"/>
          <w:sz w:val="32"/>
          <w:szCs w:val="32"/>
          <w:shd w:val="clear" w:fill="FFFFFF"/>
          <w:lang w:val="en-US" w:eastAsia="zh-CN"/>
        </w:rPr>
        <w:t>《食品安全国家标准 食品添加剂使用标准》（GB 2760—2014）中规定</w:t>
      </w:r>
      <w:bookmarkEnd w:id="0"/>
      <w:r>
        <w:rPr>
          <w:rFonts w:hint="eastAsia" w:ascii="Times New Roman" w:hAnsi="Times New Roman" w:eastAsia="仿宋_GB2312" w:cs="Times New Roman"/>
          <w:sz w:val="32"/>
          <w:szCs w:val="32"/>
          <w:lang w:val="en-US" w:eastAsia="zh-CN"/>
        </w:rPr>
        <w:t>，果蔬汁（浆）类饮料中不得使用脱氢乙酸及其钠盐（以脱氢乙酸计）。果蔬汁（浆）类饮料中检出脱氢乙酸及其钠盐的原因，可能是生产企业为防止食品腐败变质超范围使用。</w:t>
      </w:r>
    </w:p>
    <w:p w14:paraId="30225B64">
      <w:pPr>
        <w:spacing w:line="594" w:lineRule="exact"/>
        <w:ind w:firstLine="640" w:firstLineChars="200"/>
        <w:rPr>
          <w:rFonts w:hint="eastAsia" w:ascii="黑体" w:hAnsi="黑体" w:eastAsia="黑体" w:cs="Times New Roman"/>
          <w:sz w:val="32"/>
          <w:szCs w:val="32"/>
          <w:lang w:val="en-US" w:eastAsia="zh-CN"/>
        </w:rPr>
      </w:pPr>
      <w:r>
        <w:rPr>
          <w:rFonts w:hint="eastAsia" w:ascii="黑体" w:hAnsi="黑体" w:eastAsia="黑体" w:cs="黑体"/>
          <w:spacing w:val="0"/>
          <w:sz w:val="32"/>
          <w:szCs w:val="32"/>
          <w:lang w:val="en-US" w:eastAsia="zh-CN"/>
        </w:rPr>
        <w:t>十四、</w:t>
      </w:r>
      <w:r>
        <w:rPr>
          <w:rFonts w:hint="eastAsia" w:ascii="黑体" w:hAnsi="黑体" w:eastAsia="黑体" w:cs="Times New Roman"/>
          <w:sz w:val="32"/>
          <w:szCs w:val="32"/>
          <w:lang w:eastAsia="zh-CN"/>
        </w:rPr>
        <w:t>日落黄</w:t>
      </w:r>
    </w:p>
    <w:p w14:paraId="053CCFD9">
      <w:pPr>
        <w:pStyle w:val="19"/>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eastAsia" w:eastAsia="黑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sz w:val="32"/>
          <w:szCs w:val="32"/>
          <w:highlight w:val="none"/>
          <w:lang w:eastAsia="zh-CN"/>
        </w:rPr>
        <w:t>日落黄</w:t>
      </w:r>
      <w:r>
        <w:rPr>
          <w:rFonts w:hint="default" w:ascii="Times New Roman" w:hAnsi="Times New Roman" w:eastAsia="仿宋_GB2312" w:cs="Times New Roman"/>
          <w:color w:val="000000"/>
          <w:sz w:val="32"/>
          <w:szCs w:val="32"/>
          <w:highlight w:val="none"/>
        </w:rPr>
        <w:t>是</w:t>
      </w:r>
      <w:r>
        <w:rPr>
          <w:rFonts w:hint="eastAsia" w:ascii="Times New Roman" w:hAnsi="Times New Roman" w:eastAsia="仿宋_GB2312" w:cs="Times New Roman"/>
          <w:color w:val="000000"/>
          <w:sz w:val="32"/>
          <w:szCs w:val="32"/>
          <w:highlight w:val="none"/>
          <w:lang w:eastAsia="zh-CN"/>
        </w:rPr>
        <w:t>一种</w:t>
      </w:r>
      <w:r>
        <w:rPr>
          <w:rFonts w:hint="default" w:ascii="Times New Roman" w:hAnsi="Times New Roman" w:eastAsia="仿宋_GB2312" w:cs="Times New Roman"/>
          <w:color w:val="000000"/>
          <w:sz w:val="32"/>
          <w:szCs w:val="32"/>
          <w:highlight w:val="none"/>
        </w:rPr>
        <w:t>常见的人工合成着色剂，在食品</w:t>
      </w:r>
      <w:r>
        <w:rPr>
          <w:rFonts w:hint="default" w:ascii="Times New Roman" w:hAnsi="Times New Roman" w:eastAsia="仿宋_GB2312" w:cs="Times New Roman"/>
          <w:color w:val="000000"/>
          <w:sz w:val="32"/>
          <w:szCs w:val="32"/>
          <w:highlight w:val="none"/>
          <w:lang w:eastAsia="zh-CN"/>
        </w:rPr>
        <w:t>生产</w:t>
      </w:r>
      <w:r>
        <w:rPr>
          <w:rFonts w:hint="default" w:ascii="Times New Roman" w:hAnsi="Times New Roman" w:eastAsia="仿宋_GB2312" w:cs="Times New Roman"/>
          <w:color w:val="000000"/>
          <w:sz w:val="32"/>
          <w:szCs w:val="32"/>
          <w:highlight w:val="none"/>
        </w:rPr>
        <w:t>中应用广泛。如果长期摄入</w:t>
      </w:r>
      <w:r>
        <w:rPr>
          <w:rFonts w:hint="eastAsia" w:ascii="Times New Roman" w:hAnsi="Times New Roman" w:eastAsia="仿宋_GB2312" w:cs="Times New Roman"/>
          <w:color w:val="000000"/>
          <w:sz w:val="32"/>
          <w:szCs w:val="32"/>
          <w:highlight w:val="none"/>
          <w:lang w:eastAsia="zh-CN"/>
        </w:rPr>
        <w:t>日落黄</w:t>
      </w:r>
      <w:r>
        <w:rPr>
          <w:rFonts w:hint="default" w:ascii="Times New Roman" w:hAnsi="Times New Roman" w:eastAsia="仿宋_GB2312" w:cs="Times New Roman"/>
          <w:color w:val="000000"/>
          <w:sz w:val="32"/>
          <w:szCs w:val="32"/>
          <w:highlight w:val="none"/>
          <w:lang w:eastAsia="zh-CN"/>
        </w:rPr>
        <w:t>超标的食品</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可能</w:t>
      </w:r>
      <w:r>
        <w:rPr>
          <w:rFonts w:hint="default" w:ascii="Times New Roman" w:hAnsi="Times New Roman" w:eastAsia="仿宋_GB2312" w:cs="Times New Roman"/>
          <w:color w:val="000000"/>
          <w:sz w:val="32"/>
          <w:szCs w:val="32"/>
          <w:highlight w:val="none"/>
        </w:rPr>
        <w:t>对人体肝脏等造成损害。《食品安全国家标准 食品添加剂使用标准》（GB 2760</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2014）中规定，</w:t>
      </w:r>
      <w:r>
        <w:rPr>
          <w:rFonts w:hint="eastAsia" w:ascii="Times New Roman" w:hAnsi="Times New Roman" w:eastAsia="仿宋_GB2312" w:cs="Times New Roman"/>
          <w:color w:val="000000"/>
          <w:sz w:val="32"/>
          <w:szCs w:val="32"/>
          <w:highlight w:val="none"/>
          <w:lang w:eastAsia="zh-CN"/>
        </w:rPr>
        <w:t>调味面制品</w:t>
      </w:r>
      <w:r>
        <w:rPr>
          <w:rFonts w:hint="default" w:ascii="Times New Roman" w:hAnsi="Times New Roman" w:eastAsia="仿宋_GB2312" w:cs="Times New Roman"/>
          <w:color w:val="000000"/>
          <w:sz w:val="32"/>
          <w:szCs w:val="32"/>
          <w:highlight w:val="none"/>
        </w:rPr>
        <w:t>中</w:t>
      </w:r>
      <w:r>
        <w:rPr>
          <w:rFonts w:hint="eastAsia" w:ascii="Times New Roman" w:hAnsi="Times New Roman" w:eastAsia="仿宋_GB2312" w:cs="Times New Roman"/>
          <w:color w:val="000000"/>
          <w:sz w:val="32"/>
          <w:szCs w:val="32"/>
          <w:highlight w:val="none"/>
          <w:lang w:eastAsia="zh-CN"/>
        </w:rPr>
        <w:t>不得使用日落黄</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调味面制品</w:t>
      </w:r>
      <w:r>
        <w:rPr>
          <w:rFonts w:hint="default" w:ascii="Times New Roman" w:hAnsi="Times New Roman" w:eastAsia="仿宋_GB2312" w:cs="Times New Roman"/>
          <w:color w:val="000000"/>
          <w:sz w:val="32"/>
          <w:szCs w:val="32"/>
          <w:highlight w:val="none"/>
        </w:rPr>
        <w:t>中检</w:t>
      </w:r>
      <w:r>
        <w:rPr>
          <w:rFonts w:hint="eastAsia" w:ascii="Times New Roman" w:hAnsi="Times New Roman" w:eastAsia="仿宋_GB2312" w:cs="Times New Roman"/>
          <w:color w:val="000000"/>
          <w:sz w:val="32"/>
          <w:szCs w:val="32"/>
          <w:highlight w:val="none"/>
          <w:lang w:eastAsia="zh-CN"/>
        </w:rPr>
        <w:t>出日落黄</w:t>
      </w:r>
      <w:r>
        <w:rPr>
          <w:rFonts w:hint="eastAsia" w:ascii="Times New Roman" w:hAnsi="Times New Roman" w:eastAsia="仿宋_GB2312" w:cs="Times New Roman"/>
          <w:color w:val="000000"/>
          <w:sz w:val="32"/>
          <w:szCs w:val="32"/>
          <w:highlight w:val="none"/>
          <w:lang w:val="en-US" w:eastAsia="zh-CN"/>
        </w:rPr>
        <w:t>的</w:t>
      </w:r>
      <w:r>
        <w:rPr>
          <w:rFonts w:hint="default" w:ascii="Times New Roman" w:hAnsi="Times New Roman" w:eastAsia="仿宋_GB2312" w:cs="Times New Roman"/>
          <w:sz w:val="32"/>
          <w:szCs w:val="32"/>
          <w:highlight w:val="none"/>
        </w:rPr>
        <w:t>原因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可能是</w:t>
      </w:r>
      <w:r>
        <w:rPr>
          <w:rFonts w:hint="default" w:ascii="Times New Roman" w:hAnsi="Times New Roman" w:eastAsia="仿宋_GB2312" w:cs="Times New Roman"/>
          <w:color w:val="000000"/>
          <w:sz w:val="32"/>
          <w:szCs w:val="32"/>
          <w:highlight w:val="none"/>
        </w:rPr>
        <w:t>生产企业为改善产品色泽而</w:t>
      </w:r>
      <w:r>
        <w:rPr>
          <w:rFonts w:hint="eastAsia" w:ascii="Times New Roman" w:hAnsi="Times New Roman" w:eastAsia="仿宋_GB2312" w:cs="Times New Roman"/>
          <w:color w:val="000000"/>
          <w:sz w:val="32"/>
          <w:szCs w:val="32"/>
          <w:highlight w:val="none"/>
          <w:lang w:eastAsia="zh-CN"/>
        </w:rPr>
        <w:t>超范围使用</w:t>
      </w:r>
      <w:r>
        <w:rPr>
          <w:rFonts w:hint="default" w:ascii="Times New Roman" w:hAnsi="Times New Roman" w:eastAsia="仿宋_GB2312" w:cs="Times New Roman"/>
          <w:color w:val="000000"/>
          <w:sz w:val="32"/>
          <w:szCs w:val="32"/>
          <w:highlight w:val="none"/>
        </w:rPr>
        <w:t>。</w:t>
      </w:r>
    </w:p>
    <w:p w14:paraId="7544E588">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spacing w:val="0"/>
          <w:sz w:val="32"/>
          <w:szCs w:val="32"/>
          <w:lang w:eastAsia="zh-CN"/>
        </w:rPr>
      </w:pPr>
      <w:r>
        <w:rPr>
          <w:rFonts w:hint="eastAsia" w:ascii="黑体" w:hAnsi="黑体" w:eastAsia="黑体" w:cs="黑体"/>
          <w:spacing w:val="0"/>
          <w:sz w:val="32"/>
          <w:szCs w:val="32"/>
          <w:lang w:val="en-US" w:eastAsia="zh-CN"/>
        </w:rPr>
        <w:t>十五、</w:t>
      </w:r>
      <w:r>
        <w:rPr>
          <w:rFonts w:hint="eastAsia" w:ascii="Times New Roman" w:hAnsi="Times New Roman" w:eastAsia="黑体" w:cs="Times New Roman"/>
          <w:spacing w:val="0"/>
          <w:sz w:val="32"/>
          <w:szCs w:val="32"/>
          <w:lang w:eastAsia="zh-CN"/>
        </w:rPr>
        <w:t>苋菜红</w:t>
      </w:r>
    </w:p>
    <w:p w14:paraId="2B2AF165">
      <w:pPr>
        <w:keepNext w:val="0"/>
        <w:keepLines w:val="0"/>
        <w:pageBreakBefore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黑体" w:hAnsi="黑体" w:eastAsia="黑体" w:cs="黑体"/>
          <w:spacing w:val="0"/>
          <w:sz w:val="32"/>
          <w:szCs w:val="32"/>
          <w:lang w:val="en-US" w:eastAsia="zh-CN"/>
        </w:rPr>
      </w:pPr>
      <w:r>
        <w:rPr>
          <w:rFonts w:hint="eastAsia" w:ascii="Times New Roman" w:hAnsi="Times New Roman" w:eastAsia="仿宋_GB2312" w:cs="Times New Roman"/>
          <w:sz w:val="32"/>
          <w:szCs w:val="32"/>
        </w:rPr>
        <w:t>苋菜红又名</w:t>
      </w:r>
      <w:r>
        <w:rPr>
          <w:rFonts w:hint="eastAsia" w:ascii="Times New Roman" w:hAnsi="Times New Roman" w:eastAsia="仿宋_GB2312" w:cs="Times New Roman"/>
          <w:sz w:val="32"/>
          <w:szCs w:val="32"/>
          <w:lang w:val="en-US" w:eastAsia="zh-CN"/>
        </w:rPr>
        <w:t>蓝光酸性红</w:t>
      </w:r>
      <w:r>
        <w:rPr>
          <w:rFonts w:hint="eastAsia" w:ascii="Times New Roman" w:hAnsi="Times New Roman" w:eastAsia="仿宋_GB2312" w:cs="Times New Roman"/>
          <w:sz w:val="32"/>
          <w:szCs w:val="32"/>
        </w:rPr>
        <w:t>，</w:t>
      </w:r>
      <w:bookmarkStart w:id="1" w:name="hmcheck_f7346bc8e1cf4fddb71e358bee51a9f9"/>
      <w:r>
        <w:rPr>
          <w:rFonts w:hint="eastAsia" w:ascii="Times New Roman" w:hAnsi="Times New Roman" w:eastAsia="仿宋_GB2312" w:cs="Times New Roman"/>
          <w:sz w:val="32"/>
          <w:szCs w:val="32"/>
          <w:lang w:val="en-US" w:eastAsia="zh-CN"/>
        </w:rPr>
        <w:t>偶氮类化合物，是常见的食品合成着色剂</w:t>
      </w:r>
      <w:bookmarkEnd w:id="1"/>
      <w:r>
        <w:rPr>
          <w:rFonts w:hint="eastAsia" w:ascii="Times New Roman" w:hAnsi="Times New Roman" w:eastAsia="仿宋_GB2312" w:cs="Times New Roman"/>
          <w:sz w:val="32"/>
          <w:szCs w:val="32"/>
        </w:rPr>
        <w:t>。如果长期摄入苋菜红超标的食品，</w:t>
      </w:r>
      <w:bookmarkStart w:id="2" w:name="hmcheck_2b2237307c2e4c1f93e4c3d447f63c60"/>
      <w:r>
        <w:rPr>
          <w:rFonts w:hint="eastAsia" w:ascii="Times New Roman" w:hAnsi="Times New Roman" w:eastAsia="仿宋_GB2312" w:cs="Times New Roman"/>
          <w:sz w:val="32"/>
          <w:szCs w:val="32"/>
          <w:shd w:val="clear" w:fill="FFFFFF"/>
          <w:lang w:eastAsia="zh-CN"/>
        </w:rPr>
        <w:t>存在一定健康风险</w:t>
      </w:r>
      <w:bookmarkEnd w:id="2"/>
      <w:r>
        <w:rPr>
          <w:rFonts w:hint="eastAsia" w:ascii="Times New Roman" w:hAnsi="Times New Roman" w:eastAsia="仿宋_GB2312" w:cs="Times New Roman"/>
          <w:sz w:val="32"/>
          <w:szCs w:val="32"/>
        </w:rPr>
        <w:t>。</w:t>
      </w:r>
      <w:bookmarkStart w:id="3" w:name="hmcheck_19fc2ac409ce4d2fb06093f52d275b12"/>
      <w:r>
        <w:rPr>
          <w:rFonts w:hint="eastAsia" w:ascii="Times New Roman" w:hAnsi="Times New Roman" w:eastAsia="仿宋_GB2312" w:cs="Times New Roman"/>
          <w:sz w:val="32"/>
          <w:szCs w:val="32"/>
          <w:shd w:val="clear" w:fill="FFFFFF"/>
          <w:lang w:val="en-US" w:eastAsia="zh-CN"/>
        </w:rPr>
        <w:t>《食品安全国家标准 食品添加剂使用标准》（GB 2760—2014）中规定</w:t>
      </w:r>
      <w:bookmarkEnd w:id="3"/>
      <w:r>
        <w:rPr>
          <w:rFonts w:hint="eastAsia" w:ascii="Times New Roman" w:hAnsi="Times New Roman" w:eastAsia="仿宋_GB2312" w:cs="Times New Roman"/>
          <w:sz w:val="32"/>
          <w:szCs w:val="32"/>
          <w:shd w:val="clear" w:fill="FFFFFF"/>
          <w:lang w:val="en-US" w:eastAsia="zh-CN"/>
        </w:rPr>
        <w:t>果蔬汁</w:t>
      </w:r>
      <w:r>
        <w:rPr>
          <w:rFonts w:hint="eastAsia" w:ascii="Times New Roman" w:hAnsi="Times New Roman" w:eastAsia="仿宋_GB2312" w:cs="Times New Roman"/>
          <w:sz w:val="32"/>
          <w:szCs w:val="32"/>
          <w:lang w:val="en-US" w:eastAsia="zh-CN"/>
        </w:rPr>
        <w:t>（浆）</w:t>
      </w:r>
      <w:r>
        <w:rPr>
          <w:rFonts w:hint="eastAsia" w:ascii="Times New Roman" w:hAnsi="Times New Roman" w:eastAsia="仿宋_GB2312" w:cs="Times New Roman"/>
          <w:sz w:val="32"/>
          <w:szCs w:val="32"/>
          <w:shd w:val="clear" w:fill="FFFFFF"/>
          <w:lang w:val="en-US" w:eastAsia="zh-CN"/>
        </w:rPr>
        <w:t>中</w:t>
      </w:r>
      <w:r>
        <w:rPr>
          <w:rFonts w:hint="eastAsia" w:ascii="Times New Roman" w:hAnsi="Times New Roman" w:eastAsia="仿宋_GB2312" w:cs="Times New Roman"/>
          <w:sz w:val="32"/>
          <w:szCs w:val="32"/>
          <w:lang w:val="en-US" w:eastAsia="zh-CN"/>
        </w:rPr>
        <w:t>不得使用苋菜红。果蔬汁（浆）中检出苋菜红的原因，</w:t>
      </w:r>
      <w:bookmarkStart w:id="4" w:name="hmcheck_988f4d8a87b142a4b62a1550e7bae9c0"/>
      <w:r>
        <w:rPr>
          <w:rFonts w:hint="eastAsia" w:ascii="Times New Roman" w:hAnsi="Times New Roman" w:eastAsia="仿宋_GB2312" w:cs="Times New Roman"/>
          <w:sz w:val="32"/>
          <w:szCs w:val="32"/>
          <w:shd w:val="clear" w:fill="FFFFFF"/>
          <w:lang w:val="en-US" w:eastAsia="zh-CN"/>
        </w:rPr>
        <w:t>可能是生产企业为改善产品色泽、提高市场价值而</w:t>
      </w:r>
      <w:bookmarkEnd w:id="4"/>
      <w:r>
        <w:rPr>
          <w:rFonts w:hint="eastAsia" w:ascii="Times New Roman" w:hAnsi="Times New Roman" w:eastAsia="仿宋_GB2312" w:cs="Times New Roman"/>
          <w:sz w:val="32"/>
          <w:szCs w:val="32"/>
          <w:shd w:val="clear" w:fill="FFFFFF"/>
          <w:lang w:val="en-US" w:eastAsia="zh-CN"/>
        </w:rPr>
        <w:t>超范围使用</w:t>
      </w:r>
      <w:r>
        <w:rPr>
          <w:rFonts w:hint="eastAsia" w:ascii="Times New Roman" w:hAnsi="Times New Roman" w:eastAsia="仿宋_GB2312" w:cs="Times New Roman"/>
          <w:sz w:val="32"/>
          <w:szCs w:val="32"/>
          <w:lang w:val="en-US" w:eastAsia="zh-CN"/>
        </w:rPr>
        <w:t>。</w:t>
      </w:r>
    </w:p>
    <w:p w14:paraId="4DB06D44">
      <w:pPr>
        <w:widowControl/>
        <w:numPr>
          <w:ilvl w:val="0"/>
          <w:numId w:val="0"/>
        </w:numPr>
        <w:spacing w:line="594" w:lineRule="exact"/>
        <w:ind w:firstLine="640" w:firstLineChars="200"/>
        <w:rPr>
          <w:rFonts w:hint="eastAsia" w:ascii="黑体" w:hAnsi="黑体" w:eastAsia="黑体" w:cs="黑体"/>
          <w:color w:val="auto"/>
          <w:spacing w:val="0"/>
          <w:sz w:val="32"/>
          <w:szCs w:val="32"/>
          <w:highlight w:val="none"/>
          <w:lang w:val="en-US" w:eastAsia="zh-CN"/>
        </w:rPr>
      </w:pPr>
      <w:r>
        <w:rPr>
          <w:rFonts w:hint="eastAsia" w:ascii="黑体" w:hAnsi="黑体" w:eastAsia="黑体" w:cs="黑体"/>
          <w:color w:val="auto"/>
          <w:sz w:val="32"/>
          <w:szCs w:val="32"/>
          <w:highlight w:val="none"/>
          <w:lang w:val="en-US" w:eastAsia="zh-CN"/>
        </w:rPr>
        <w:t>十六、铝的残留量（干样品，以Al计）</w:t>
      </w:r>
    </w:p>
    <w:p w14:paraId="0555A709">
      <w:pPr>
        <w:keepNext w:val="0"/>
        <w:keepLines w:val="0"/>
        <w:pageBreakBefore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Times New Roman" w:hAnsi="Times New Roman" w:eastAsia="黑体" w:cs="Times New Roman"/>
          <w:spacing w:val="0"/>
          <w:sz w:val="32"/>
          <w:szCs w:val="32"/>
          <w:lang w:val="en-US" w:eastAsia="zh-CN"/>
        </w:rPr>
      </w:pPr>
      <w:r>
        <w:rPr>
          <w:rFonts w:hint="default" w:ascii="Times New Roman" w:hAnsi="Times New Roman" w:eastAsia="仿宋_GB2312" w:cs="Times New Roman"/>
          <w:sz w:val="32"/>
          <w:szCs w:val="32"/>
          <w:lang w:val="en-US" w:eastAsia="zh-CN"/>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影响儿童智力发育。《食品安全国家标准 食品添加剂使用标准》（GB 2760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2014）中规定，油炸面制品中铝的残留量（干样品，以Al计）最大限量值为100mg/kg。油条等油炸面制品中铝的残留量（干样品，以Al计）超标的原因，可能是食品生产经营者在生产加工过程中未控制好含铝食品添加剂的使用量；也可能是其使用的复配食品添加剂中铝含量过高。</w:t>
      </w:r>
    </w:p>
    <w:p w14:paraId="5EA707C6">
      <w:pPr>
        <w:keepNext w:val="0"/>
        <w:keepLines w:val="0"/>
        <w:pageBreakBefore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黑体" w:cs="Times New Roman"/>
          <w:sz w:val="32"/>
          <w:szCs w:val="32"/>
          <w:lang w:val="en-US"/>
        </w:rPr>
      </w:pPr>
      <w:r>
        <w:rPr>
          <w:rFonts w:hint="eastAsia" w:ascii="Times New Roman" w:hAnsi="Times New Roman" w:eastAsia="黑体" w:cs="Times New Roman"/>
          <w:spacing w:val="0"/>
          <w:sz w:val="32"/>
          <w:szCs w:val="32"/>
          <w:lang w:val="en-US" w:eastAsia="zh-CN"/>
        </w:rPr>
        <w:t>十七、二氧化硫残留量</w:t>
      </w:r>
    </w:p>
    <w:p w14:paraId="1602929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rPr>
        <w:t>二氧化硫是食品加工中常用的漂白剂和防腐剂，具有漂白、防腐和抗氧化作用。少量二氧化硫进入人体不会对身体造成健康危害，但过量食用会引起如恶心、呕吐等胃肠道反应。《食品安全国家标准 食品添加剂使用标准》（GB 2760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2014）中规定，</w:t>
      </w:r>
      <w:r>
        <w:rPr>
          <w:rFonts w:hint="eastAsia" w:ascii="Times New Roman" w:hAnsi="Times New Roman" w:eastAsia="仿宋_GB2312" w:cs="Times New Roman"/>
          <w:kern w:val="2"/>
          <w:sz w:val="32"/>
          <w:szCs w:val="32"/>
          <w:lang w:val="en-US" w:eastAsia="zh-CN" w:bidi="ar-SA"/>
        </w:rPr>
        <w:t>腌渍的蔬菜中二氧化硫（以二氧化硫残留量计）最大使用量为0.1g/kg；</w:t>
      </w:r>
      <w:r>
        <w:rPr>
          <w:rFonts w:hint="default" w:ascii="Times New Roman" w:hAnsi="Times New Roman" w:eastAsia="仿宋_GB2312" w:cs="Times New Roman"/>
          <w:color w:val="auto"/>
          <w:kern w:val="2"/>
          <w:sz w:val="32"/>
          <w:szCs w:val="32"/>
          <w:highlight w:val="none"/>
          <w:lang w:val="en-US" w:eastAsia="zh-CN" w:bidi="ar-SA"/>
        </w:rPr>
        <w:t>香辛料及粉（仅限八角）中</w:t>
      </w:r>
      <w:r>
        <w:rPr>
          <w:rFonts w:hint="default" w:ascii="Times New Roman" w:hAnsi="Times New Roman" w:eastAsia="仿宋_GB2312" w:cs="Times New Roman"/>
          <w:kern w:val="2"/>
          <w:sz w:val="32"/>
          <w:szCs w:val="32"/>
          <w:lang w:val="en-US" w:eastAsia="zh-CN" w:bidi="ar-SA"/>
        </w:rPr>
        <w:t>二氧化硫</w:t>
      </w:r>
      <w:r>
        <w:rPr>
          <w:rFonts w:hint="default" w:ascii="Times New Roman" w:hAnsi="Times New Roman" w:eastAsia="仿宋_GB2312" w:cs="Times New Roman"/>
          <w:kern w:val="2"/>
          <w:sz w:val="32"/>
          <w:szCs w:val="32"/>
          <w:u w:val="none"/>
          <w:lang w:val="en-US" w:eastAsia="zh-CN" w:bidi="ar-SA"/>
        </w:rPr>
        <w:t>（以二氧化硫残留量计）最大使用量为0.15g/kg</w:t>
      </w:r>
      <w:r>
        <w:rPr>
          <w:rFonts w:hint="default" w:ascii="Times New Roman" w:hAnsi="Times New Roman"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kern w:val="2"/>
          <w:sz w:val="32"/>
          <w:szCs w:val="32"/>
          <w:lang w:val="en-US" w:eastAsia="zh-CN" w:bidi="ar-SA"/>
        </w:rPr>
        <w:t>腌渍的蔬菜</w:t>
      </w:r>
      <w:r>
        <w:rPr>
          <w:rFonts w:hint="eastAsia" w:ascii="Times New Roman" w:hAnsi="Times New Roman" w:eastAsia="仿宋_GB2312" w:cs="Times New Roman"/>
          <w:sz w:val="32"/>
          <w:szCs w:val="32"/>
          <w:highlight w:val="none"/>
          <w:u w:val="none"/>
          <w:lang w:val="en-US" w:eastAsia="zh-CN"/>
        </w:rPr>
        <w:t>、八角</w:t>
      </w:r>
      <w:r>
        <w:rPr>
          <w:rFonts w:hint="default" w:ascii="Times New Roman" w:hAnsi="Times New Roman" w:eastAsia="仿宋_GB2312" w:cs="Times New Roman"/>
          <w:sz w:val="32"/>
          <w:szCs w:val="32"/>
          <w:highlight w:val="none"/>
          <w:u w:val="none"/>
        </w:rPr>
        <w:t>中</w:t>
      </w:r>
      <w:r>
        <w:rPr>
          <w:rFonts w:hint="default" w:ascii="Times New Roman" w:hAnsi="Times New Roman" w:eastAsia="仿宋_GB2312" w:cs="Times New Roman"/>
          <w:sz w:val="32"/>
          <w:szCs w:val="32"/>
          <w:highlight w:val="none"/>
          <w:u w:val="none"/>
          <w:lang w:eastAsia="zh-CN"/>
        </w:rPr>
        <w:t>二</w:t>
      </w:r>
      <w:r>
        <w:rPr>
          <w:rFonts w:hint="default" w:ascii="Times New Roman" w:hAnsi="Times New Roman" w:eastAsia="仿宋_GB2312" w:cs="Times New Roman"/>
          <w:sz w:val="32"/>
          <w:szCs w:val="32"/>
          <w:highlight w:val="none"/>
          <w:lang w:eastAsia="zh-CN"/>
        </w:rPr>
        <w:t>氧化硫残留量</w:t>
      </w:r>
      <w:r>
        <w:rPr>
          <w:rFonts w:hint="default" w:ascii="Times New Roman" w:hAnsi="Times New Roman" w:eastAsia="仿宋_GB2312" w:cs="Times New Roman"/>
          <w:sz w:val="32"/>
          <w:szCs w:val="32"/>
          <w:highlight w:val="none"/>
        </w:rPr>
        <w:t>超标</w:t>
      </w:r>
      <w:r>
        <w:rPr>
          <w:rFonts w:hint="eastAsia" w:ascii="Times New Roman" w:hAnsi="Times New Roman" w:eastAsia="仿宋_GB2312" w:cs="Times New Roman"/>
          <w:sz w:val="32"/>
          <w:szCs w:val="32"/>
          <w:highlight w:val="none"/>
          <w:lang w:val="en-US" w:eastAsia="zh-CN"/>
        </w:rPr>
        <w:t>的原因，</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可能是生产企业为了</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改善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产品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色泽而超量使用二氧化硫</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也可能是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使用时不计量或计量不准确；还可能是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由于使用硫磺熏蒸漂白这种传统工艺或直接使用亚硫酸盐浸泡</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造成。</w:t>
      </w:r>
    </w:p>
    <w:p w14:paraId="490E345C">
      <w:pPr>
        <w:spacing w:line="594" w:lineRule="exact"/>
        <w:ind w:firstLine="640" w:firstLineChars="200"/>
        <w:rPr>
          <w:rFonts w:hint="eastAsia" w:ascii="黑体" w:hAnsi="黑体" w:eastAsia="黑体" w:cs="Times New Roman"/>
          <w:sz w:val="32"/>
          <w:szCs w:val="32"/>
          <w:lang w:eastAsia="zh-CN"/>
        </w:rPr>
      </w:pPr>
      <w:r>
        <w:rPr>
          <w:rFonts w:hint="eastAsia" w:ascii="黑体" w:hAnsi="黑体" w:eastAsia="黑体" w:cs="Times New Roman"/>
          <w:sz w:val="32"/>
          <w:szCs w:val="32"/>
          <w:lang w:val="en-US" w:eastAsia="zh-CN"/>
        </w:rPr>
        <w:t>十八、</w:t>
      </w:r>
      <w:r>
        <w:rPr>
          <w:rFonts w:hint="eastAsia" w:ascii="黑体" w:hAnsi="黑体" w:eastAsia="黑体" w:cs="Times New Roman"/>
          <w:sz w:val="32"/>
          <w:szCs w:val="32"/>
          <w:lang w:eastAsia="zh-CN"/>
        </w:rPr>
        <w:t>甜蜜素（以环己基氨基磺酸计）</w:t>
      </w:r>
    </w:p>
    <w:p w14:paraId="142014C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黑体" w:cs="Times New Roman"/>
          <w:spacing w:val="0"/>
          <w:sz w:val="32"/>
          <w:szCs w:val="32"/>
        </w:rPr>
      </w:pPr>
      <w:r>
        <w:rPr>
          <w:rFonts w:hint="default" w:ascii="Times New Roman" w:hAnsi="Times New Roman" w:eastAsia="仿宋_GB2312" w:cs="Times New Roman"/>
          <w:sz w:val="32"/>
          <w:szCs w:val="32"/>
          <w:lang w:val="en-US" w:eastAsia="zh-CN"/>
        </w:rPr>
        <w:t>甜蜜素，化学名称为环己基氨基磺酸钠，是食品生产中常用的</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"https://baike.baidu.com/item/%E6%B7%BB%E5%8A%A0%E5%89%82/5134870" \t "https://baike.baidu.com/item/%E7%94%9C%E8%9C%9C%E7%B4%A0/_blank"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甜味剂</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之一，甜度是蔗糖的40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50倍。长期摄入甜蜜素超标的食品，可能会对人体的肝脏和神经系统造成一定危害。《食品安全国家标准 食品添加剂使用标准》（GB 2760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2014）中规定，</w:t>
      </w:r>
      <w:r>
        <w:rPr>
          <w:rFonts w:hint="eastAsia" w:ascii="Times New Roman" w:hAnsi="Times New Roman" w:eastAsia="仿宋_GB2312" w:cs="Times New Roman"/>
          <w:sz w:val="32"/>
          <w:szCs w:val="32"/>
          <w:lang w:val="en-US" w:eastAsia="zh-CN"/>
        </w:rPr>
        <w:t>调味面制品中甜蜜素（以环己基氨基磺酸计）的最大使用量为1.6g/kg。调味面制品中甜蜜素（以环己基氨基磺酸计）检验值超标的原因，</w:t>
      </w:r>
      <w:r>
        <w:rPr>
          <w:rFonts w:hint="default" w:ascii="Times New Roman" w:hAnsi="Times New Roman" w:eastAsia="仿宋_GB2312" w:cs="Times New Roman"/>
          <w:color w:val="000000"/>
          <w:sz w:val="32"/>
          <w:szCs w:val="32"/>
          <w:highlight w:val="none"/>
        </w:rPr>
        <w:t>可能是生产企业为</w:t>
      </w:r>
      <w:r>
        <w:rPr>
          <w:rFonts w:hint="eastAsia" w:ascii="Times New Roman" w:hAnsi="Times New Roman" w:eastAsia="仿宋_GB2312" w:cs="Times New Roman"/>
          <w:color w:val="000000"/>
          <w:sz w:val="32"/>
          <w:szCs w:val="32"/>
          <w:highlight w:val="none"/>
          <w:lang w:eastAsia="zh-CN"/>
        </w:rPr>
        <w:t>增加产品甜味而过量使用；</w:t>
      </w:r>
      <w:r>
        <w:rPr>
          <w:rFonts w:hint="default" w:ascii="Times New Roman" w:hAnsi="Times New Roman" w:eastAsia="仿宋_GB2312" w:cs="Times New Roman"/>
          <w:color w:val="000000"/>
          <w:sz w:val="32"/>
          <w:szCs w:val="32"/>
          <w:highlight w:val="none"/>
        </w:rPr>
        <w:t>也</w:t>
      </w:r>
      <w:r>
        <w:rPr>
          <w:rFonts w:hint="default" w:ascii="Times New Roman" w:hAnsi="Times New Roman" w:eastAsia="仿宋_GB2312" w:cs="Times New Roman"/>
          <w:sz w:val="32"/>
          <w:szCs w:val="32"/>
          <w:highlight w:val="none"/>
        </w:rPr>
        <w:t>可能是</w:t>
      </w:r>
      <w:r>
        <w:rPr>
          <w:rFonts w:hint="default" w:ascii="Times New Roman" w:hAnsi="Times New Roman" w:eastAsia="仿宋_GB2312" w:cs="Times New Roman"/>
          <w:color w:val="000000"/>
          <w:sz w:val="32"/>
          <w:szCs w:val="32"/>
          <w:highlight w:val="none"/>
        </w:rPr>
        <w:t>生产过程中计量不准导致终产品</w:t>
      </w:r>
      <w:r>
        <w:rPr>
          <w:rFonts w:hint="eastAsia" w:ascii="Times New Roman" w:hAnsi="Times New Roman" w:eastAsia="仿宋_GB2312" w:cs="Times New Roman"/>
          <w:color w:val="000000"/>
          <w:sz w:val="32"/>
          <w:szCs w:val="32"/>
          <w:highlight w:val="none"/>
          <w:lang w:eastAsia="zh-CN"/>
        </w:rPr>
        <w:t>甜蜜素（以环己基氨基磺酸计）</w:t>
      </w:r>
      <w:r>
        <w:rPr>
          <w:rFonts w:hint="default" w:ascii="Times New Roman" w:hAnsi="Times New Roman" w:eastAsia="仿宋_GB2312" w:cs="Times New Roman"/>
          <w:color w:val="000000"/>
          <w:sz w:val="32"/>
          <w:szCs w:val="32"/>
          <w:highlight w:val="none"/>
        </w:rPr>
        <w:t>超标</w:t>
      </w:r>
      <w:r>
        <w:rPr>
          <w:rFonts w:hint="eastAsia" w:ascii="Times New Roman" w:hAnsi="Times New Roman" w:eastAsia="仿宋_GB2312" w:cs="Times New Roman"/>
          <w:color w:val="000000"/>
          <w:sz w:val="32"/>
          <w:szCs w:val="32"/>
          <w:highlight w:val="none"/>
          <w:lang w:eastAsia="zh-CN"/>
        </w:rPr>
        <w:t>。</w:t>
      </w:r>
    </w:p>
    <w:p w14:paraId="184AE49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十九、过氧化值（以脂肪计）</w:t>
      </w:r>
    </w:p>
    <w:p w14:paraId="29DB6DB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cs="Times New Roman"/>
          <w:sz w:val="32"/>
          <w:szCs w:val="32"/>
          <w:highlight w:val="none"/>
        </w:rPr>
        <w:t>过氧化值是油脂酸败的早期指标，主要反映油脂被氧化的程度。食用过氧化值超标的食品一般不会对人体健康造成损害，但长期食用过氧化值严重超标的食品可能导致肠胃不适、腹泻等。</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 xml:space="preserve">《食品安全国家标准 </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膨化食品</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 xml:space="preserve">》（GB </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17401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201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）中规定，</w:t>
      </w:r>
      <w:r>
        <w:rPr>
          <w:rFonts w:hint="eastAsia" w:ascii="Times New Roman" w:hAnsi="Times New Roman" w:eastAsia="仿宋_GB2312" w:cs="Times New Roman"/>
          <w:color w:val="auto"/>
          <w:sz w:val="32"/>
          <w:szCs w:val="32"/>
          <w:highlight w:val="none"/>
          <w:lang w:val="en-US" w:eastAsia="zh-CN"/>
        </w:rPr>
        <w:t>膨化食品中</w:t>
      </w:r>
      <w:r>
        <w:rPr>
          <w:rFonts w:ascii="Times New Roman" w:hAnsi="Times New Roman" w:eastAsia="仿宋_GB2312" w:cs="Times New Roman"/>
          <w:sz w:val="32"/>
          <w:szCs w:val="32"/>
        </w:rPr>
        <w:t>过氧化值（以脂肪计）的最大限量值为</w:t>
      </w:r>
      <w:r>
        <w:rPr>
          <w:rFonts w:hint="eastAsia" w:ascii="Times New Roman" w:hAnsi="Times New Roman" w:eastAsia="仿宋_GB2312" w:cs="Times New Roman"/>
          <w:sz w:val="32"/>
          <w:szCs w:val="32"/>
          <w:lang w:val="en-US" w:eastAsia="zh-CN"/>
        </w:rPr>
        <w:t>0.25</w:t>
      </w:r>
      <w:r>
        <w:rPr>
          <w:rFonts w:ascii="Times New Roman" w:hAnsi="Times New Roman" w:eastAsia="仿宋_GB2312" w:cs="Times New Roman"/>
          <w:sz w:val="32"/>
          <w:szCs w:val="32"/>
        </w:rPr>
        <w:t>g/100</w:t>
      </w:r>
      <w:r>
        <w:rPr>
          <w:rFonts w:ascii="Times New Roman" w:hAnsi="Times New Roman" w:eastAsia="仿宋_GB2312"/>
          <w:sz w:val="32"/>
          <w:szCs w:val="32"/>
        </w:rPr>
        <w:t>g</w:t>
      </w:r>
      <w:r>
        <w:rPr>
          <w:rFonts w:hint="eastAsia" w:ascii="Times New Roman" w:hAnsi="Times New Roman" w:eastAsia="仿宋_GB2312"/>
          <w:sz w:val="32"/>
          <w:szCs w:val="32"/>
          <w:lang w:eastAsia="zh-CN"/>
        </w:rPr>
        <w:t>。</w:t>
      </w:r>
      <w:r>
        <w:rPr>
          <w:rFonts w:hint="eastAsia" w:ascii="Times New Roman" w:hAnsi="Times New Roman" w:eastAsia="仿宋_GB2312" w:cs="Times New Roman"/>
          <w:color w:val="auto"/>
          <w:sz w:val="32"/>
          <w:szCs w:val="32"/>
          <w:highlight w:val="none"/>
          <w:lang w:val="en-US" w:eastAsia="zh-CN"/>
        </w:rPr>
        <w:t>膨化食品</w:t>
      </w:r>
      <w:r>
        <w:rPr>
          <w:rFonts w:hint="eastAsia" w:ascii="Times New Roman" w:hAnsi="Times New Roman" w:eastAsia="仿宋_GB2312"/>
          <w:sz w:val="32"/>
          <w:szCs w:val="32"/>
        </w:rPr>
        <w:t>中</w:t>
      </w:r>
      <w:r>
        <w:rPr>
          <w:rFonts w:hint="eastAsia" w:eastAsia="仿宋_GB2312"/>
          <w:sz w:val="32"/>
          <w:szCs w:val="32"/>
        </w:rPr>
        <w:t>过氧化值（以脂肪计）</w:t>
      </w:r>
      <w:bookmarkStart w:id="5" w:name="_GoBack"/>
      <w:bookmarkEnd w:id="5"/>
      <w:r>
        <w:rPr>
          <w:rFonts w:hint="eastAsia" w:ascii="Times New Roman" w:hAnsi="Times New Roman" w:eastAsia="仿宋_GB2312" w:cs="Times New Roman"/>
          <w:sz w:val="32"/>
          <w:szCs w:val="32"/>
          <w:lang w:val="en-US" w:eastAsia="zh-CN"/>
        </w:rPr>
        <w:t>检验值超标的原因</w:t>
      </w:r>
      <w:r>
        <w:rPr>
          <w:rFonts w:hint="eastAsia" w:ascii="Times New Roman" w:hAnsi="Times New Roman" w:eastAsia="仿宋_GB2312"/>
          <w:sz w:val="32"/>
          <w:szCs w:val="32"/>
        </w:rPr>
        <w:t>，可能是原料中的脂肪已经被氧化</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也可能与产品在储运过程中环境条件控制不当等有关。</w:t>
      </w:r>
    </w:p>
    <w:p w14:paraId="3CDC3C7F">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二十、酸价（以脂肪计）（KOH）</w:t>
      </w:r>
    </w:p>
    <w:p w14:paraId="504CC7D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eastAsia="仿宋_GB2312"/>
          <w:sz w:val="32"/>
          <w:szCs w:val="32"/>
        </w:rPr>
      </w:pPr>
      <w:r>
        <w:rPr>
          <w:rFonts w:hint="eastAsia" w:eastAsia="仿宋_GB2312"/>
          <w:sz w:val="32"/>
          <w:szCs w:val="32"/>
        </w:rPr>
        <w:t>酸价</w:t>
      </w:r>
      <w:r>
        <w:rPr>
          <w:rFonts w:hint="eastAsia" w:eastAsia="仿宋_GB2312"/>
          <w:sz w:val="32"/>
          <w:szCs w:val="32"/>
          <w:lang w:eastAsia="zh-CN"/>
        </w:rPr>
        <w:t>，</w:t>
      </w:r>
      <w:r>
        <w:rPr>
          <w:rFonts w:hint="eastAsia" w:eastAsia="仿宋_GB2312"/>
          <w:sz w:val="32"/>
          <w:szCs w:val="32"/>
          <w:lang w:val="en-US" w:eastAsia="zh-CN"/>
        </w:rPr>
        <w:t>又称酸值，</w:t>
      </w:r>
      <w:r>
        <w:rPr>
          <w:rFonts w:hint="eastAsia" w:eastAsia="仿宋_GB2312"/>
          <w:sz w:val="32"/>
          <w:szCs w:val="32"/>
        </w:rPr>
        <w:t>主要反映食品中油脂的酸败程度。酸价超标会导致食品有哈喇</w:t>
      </w:r>
      <w:r>
        <w:rPr>
          <w:rFonts w:hint="eastAsia" w:eastAsia="仿宋_GB2312"/>
          <w:sz w:val="32"/>
          <w:szCs w:val="32"/>
          <w:lang w:val="en-US" w:eastAsia="zh-CN"/>
        </w:rPr>
        <w:t>等异味</w:t>
      </w:r>
      <w:r>
        <w:rPr>
          <w:rFonts w:hint="eastAsia" w:eastAsia="仿宋_GB2312"/>
          <w:sz w:val="32"/>
          <w:szCs w:val="32"/>
        </w:rPr>
        <w:t>，</w:t>
      </w:r>
      <w:r>
        <w:rPr>
          <w:rFonts w:hint="eastAsia" w:eastAsia="仿宋_GB2312"/>
          <w:sz w:val="32"/>
          <w:szCs w:val="32"/>
          <w:lang w:val="en-US" w:eastAsia="zh-CN"/>
        </w:rPr>
        <w:t>严重超标时会</w:t>
      </w:r>
      <w:r>
        <w:rPr>
          <w:rFonts w:hint="eastAsia" w:eastAsia="仿宋_GB2312"/>
          <w:sz w:val="32"/>
          <w:szCs w:val="32"/>
        </w:rPr>
        <w:t>产生醛酮类化合物</w:t>
      </w:r>
      <w:r>
        <w:rPr>
          <w:rFonts w:hint="eastAsia" w:eastAsia="仿宋_GB2312"/>
          <w:sz w:val="32"/>
          <w:szCs w:val="32"/>
          <w:lang w:eastAsia="zh-CN"/>
        </w:rPr>
        <w:t>，</w:t>
      </w:r>
      <w:r>
        <w:rPr>
          <w:rFonts w:hint="eastAsia" w:eastAsia="仿宋_GB2312"/>
          <w:sz w:val="32"/>
          <w:szCs w:val="32"/>
        </w:rPr>
        <w:t>长期摄入</w:t>
      </w:r>
      <w:r>
        <w:rPr>
          <w:rFonts w:hint="eastAsia" w:eastAsia="仿宋_GB2312"/>
          <w:sz w:val="32"/>
          <w:szCs w:val="32"/>
          <w:lang w:val="en-US" w:eastAsia="zh-CN"/>
        </w:rPr>
        <w:t>酸价超标的食品</w:t>
      </w:r>
      <w:r>
        <w:rPr>
          <w:rFonts w:hint="eastAsia" w:eastAsia="仿宋_GB2312"/>
          <w:sz w:val="32"/>
          <w:szCs w:val="32"/>
        </w:rPr>
        <w:t>会对健康有一定影响。</w:t>
      </w:r>
      <w:r>
        <w:rPr>
          <w:rFonts w:ascii="Times New Roman" w:hAnsi="Times New Roman" w:eastAsia="仿宋_GB2312" w:cs="Times New Roman"/>
          <w:sz w:val="32"/>
          <w:szCs w:val="32"/>
        </w:rPr>
        <w:t>《食品安全国家标准 坚果与籽类食品》（GB 19300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2014）</w:t>
      </w:r>
      <w:r>
        <w:rPr>
          <w:rFonts w:hint="default" w:ascii="Times New Roman" w:hAnsi="Times New Roman" w:eastAsia="仿宋_GB2312" w:cs="Times New Roman"/>
          <w:sz w:val="32"/>
          <w:szCs w:val="32"/>
        </w:rPr>
        <w:t>中规定，</w:t>
      </w:r>
      <w:r>
        <w:rPr>
          <w:rFonts w:hint="eastAsia" w:ascii="Times New Roman" w:hAnsi="Times New Roman" w:eastAsia="仿宋_GB2312" w:cs="Times New Roman"/>
          <w:sz w:val="32"/>
          <w:szCs w:val="32"/>
          <w:highlight w:val="none"/>
          <w:lang w:val="en-US" w:eastAsia="zh-CN"/>
        </w:rPr>
        <w:t>熟制坚果与籽类食品</w:t>
      </w:r>
      <w:r>
        <w:rPr>
          <w:rFonts w:hint="default" w:ascii="Times New Roman" w:hAnsi="Times New Roman" w:eastAsia="仿宋_GB2312" w:cs="Times New Roman"/>
          <w:sz w:val="32"/>
          <w:szCs w:val="32"/>
        </w:rPr>
        <w:t>中酸价</w:t>
      </w:r>
      <w:r>
        <w:rPr>
          <w:rFonts w:ascii="Times New Roman" w:hAnsi="Times New Roman" w:eastAsia="仿宋_GB2312" w:cs="Times New Roman"/>
          <w:sz w:val="32"/>
          <w:szCs w:val="32"/>
        </w:rPr>
        <w:t>（以脂肪计）</w:t>
      </w:r>
      <w:r>
        <w:rPr>
          <w:rFonts w:hint="default" w:ascii="Times New Roman" w:hAnsi="Times New Roman" w:eastAsia="仿宋_GB2312" w:cs="Times New Roman"/>
          <w:sz w:val="32"/>
          <w:szCs w:val="32"/>
        </w:rPr>
        <w:t>的最大限量值为3mg/g</w:t>
      </w:r>
      <w:r>
        <w:rPr>
          <w:rFonts w:hint="eastAsia" w:eastAsia="仿宋_GB2312"/>
          <w:sz w:val="32"/>
          <w:szCs w:val="32"/>
          <w:lang w:eastAsia="zh-CN"/>
        </w:rPr>
        <w:t>。</w:t>
      </w:r>
      <w:r>
        <w:rPr>
          <w:rFonts w:hint="eastAsia" w:ascii="Times New Roman" w:hAnsi="Times New Roman" w:eastAsia="仿宋_GB2312" w:cs="Times New Roman"/>
          <w:sz w:val="32"/>
          <w:szCs w:val="32"/>
          <w:highlight w:val="none"/>
          <w:lang w:val="en-US" w:eastAsia="zh-CN"/>
        </w:rPr>
        <w:t>熟制坚果与籽类食品</w:t>
      </w:r>
      <w:r>
        <w:rPr>
          <w:rFonts w:hint="eastAsia" w:eastAsia="仿宋_GB2312"/>
          <w:sz w:val="32"/>
          <w:szCs w:val="32"/>
        </w:rPr>
        <w:t>中酸价</w:t>
      </w:r>
      <w:r>
        <w:rPr>
          <w:rFonts w:ascii="Times New Roman" w:hAnsi="Times New Roman" w:eastAsia="仿宋_GB2312" w:cs="Times New Roman"/>
          <w:sz w:val="32"/>
          <w:szCs w:val="32"/>
        </w:rPr>
        <w:t>（以脂肪计）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KOH</w:t>
      </w:r>
      <w:r>
        <w:rPr>
          <w:rFonts w:hint="eastAsia" w:ascii="Times New Roman" w:hAnsi="Times New Roman" w:eastAsia="仿宋_GB2312" w:cs="Times New Roman"/>
          <w:sz w:val="32"/>
          <w:szCs w:val="32"/>
          <w:lang w:eastAsia="zh-CN"/>
        </w:rPr>
        <w:t>）</w:t>
      </w:r>
      <w:r>
        <w:rPr>
          <w:rFonts w:hint="eastAsia" w:eastAsia="仿宋_GB2312"/>
          <w:sz w:val="32"/>
          <w:szCs w:val="32"/>
          <w:lang w:val="en-US" w:eastAsia="zh-CN"/>
        </w:rPr>
        <w:t>检验值</w:t>
      </w:r>
      <w:r>
        <w:rPr>
          <w:rFonts w:hint="eastAsia" w:eastAsia="仿宋_GB2312"/>
          <w:sz w:val="32"/>
          <w:szCs w:val="32"/>
        </w:rPr>
        <w:t>超标的原因，可能是企业原料采购把关不严</w:t>
      </w:r>
      <w:r>
        <w:rPr>
          <w:rFonts w:hint="eastAsia" w:eastAsia="仿宋_GB2312"/>
          <w:sz w:val="32"/>
          <w:szCs w:val="32"/>
          <w:lang w:eastAsia="zh-CN"/>
        </w:rPr>
        <w:t>；</w:t>
      </w:r>
      <w:r>
        <w:rPr>
          <w:rFonts w:hint="eastAsia" w:eastAsia="仿宋_GB2312"/>
          <w:sz w:val="32"/>
          <w:szCs w:val="32"/>
        </w:rPr>
        <w:t>也可能是生产工艺不达标</w:t>
      </w:r>
      <w:r>
        <w:rPr>
          <w:rFonts w:hint="eastAsia" w:eastAsia="仿宋_GB2312"/>
          <w:sz w:val="32"/>
          <w:szCs w:val="32"/>
          <w:lang w:eastAsia="zh-CN"/>
        </w:rPr>
        <w:t>；</w:t>
      </w:r>
      <w:r>
        <w:rPr>
          <w:rFonts w:hint="eastAsia" w:eastAsia="仿宋_GB2312"/>
          <w:sz w:val="32"/>
          <w:szCs w:val="32"/>
        </w:rPr>
        <w:t>还可能与产品储藏条件不当有关。</w:t>
      </w:r>
    </w:p>
    <w:p w14:paraId="694C1473">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jc w:val="both"/>
        <w:textAlignment w:val="auto"/>
        <w:rPr>
          <w:rFonts w:hint="default" w:ascii="Times New Roman" w:hAnsi="Times New Roman" w:eastAsia="黑体" w:cs="Times New Roman"/>
          <w:color w:val="auto"/>
          <w:spacing w:val="0"/>
          <w:sz w:val="32"/>
          <w:szCs w:val="32"/>
          <w:lang w:val="en-US" w:eastAsia="zh-CN"/>
        </w:rPr>
      </w:pPr>
      <w:r>
        <w:rPr>
          <w:rFonts w:hint="eastAsia" w:ascii="Times New Roman" w:hAnsi="Times New Roman" w:eastAsia="黑体" w:cs="Times New Roman"/>
          <w:color w:val="auto"/>
          <w:spacing w:val="0"/>
          <w:sz w:val="32"/>
          <w:szCs w:val="32"/>
          <w:lang w:val="en-US" w:eastAsia="zh-CN"/>
        </w:rPr>
        <w:t>二十一、</w:t>
      </w:r>
      <w:r>
        <w:rPr>
          <w:rFonts w:hint="default" w:ascii="Times New Roman" w:hAnsi="Times New Roman" w:eastAsia="黑体" w:cs="Times New Roman"/>
          <w:color w:val="auto"/>
          <w:spacing w:val="0"/>
          <w:sz w:val="32"/>
          <w:szCs w:val="32"/>
          <w:lang w:val="en-US" w:eastAsia="zh-CN"/>
        </w:rPr>
        <w:t>铵盐（以占氨基酸态氮的百分比计）</w:t>
      </w:r>
    </w:p>
    <w:p w14:paraId="35F1AC6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color w:val="auto"/>
          <w:spacing w:val="0"/>
          <w:sz w:val="32"/>
          <w:szCs w:val="32"/>
          <w:lang w:val="en-US" w:eastAsia="zh-CN"/>
        </w:rPr>
      </w:pPr>
      <w:r>
        <w:rPr>
          <w:rFonts w:hint="default" w:ascii="Times New Roman" w:hAnsi="Times New Roman" w:eastAsia="仿宋_GB2312" w:cs="Times New Roman"/>
          <w:color w:val="auto"/>
          <w:sz w:val="32"/>
          <w:szCs w:val="32"/>
          <w:lang w:val="en-US" w:eastAsia="zh-CN"/>
        </w:rPr>
        <w:t>铵盐是酱油中存在的非营养成分。铵盐含量超标会影响酱油的风味。《酿造酱油》（GB/T 18186</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2000）中规定，酱油中铵盐（以占氨基酸态氮的百分比计）的含量不得超过氨基酸态氮含量的30%。酱油中铵盐（以占氨基酸态氮的百分比计）含量超标的原因，可能是原料被杂菌污染，在发酵过程中大豆蛋白质被分解过度而产生无机铵；也有可能是在生产过程中添加焦糖色等添加剂带入；还有可能是生产经营企业为提高酱油全氮和氨基酸态氮含量而违规加入。</w:t>
      </w:r>
    </w:p>
    <w:p w14:paraId="6D85203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pacing w:val="0"/>
          <w:sz w:val="32"/>
          <w:szCs w:val="32"/>
          <w:lang w:val="en-US" w:eastAsia="zh-CN"/>
        </w:rPr>
        <w:t>二十二</w:t>
      </w:r>
      <w:r>
        <w:rPr>
          <w:rFonts w:hint="default" w:ascii="Times New Roman" w:hAnsi="Times New Roman" w:eastAsia="黑体" w:cs="Times New Roman"/>
          <w:spacing w:val="0"/>
          <w:sz w:val="32"/>
          <w:szCs w:val="32"/>
          <w:lang w:val="en-US" w:eastAsia="zh-CN"/>
        </w:rPr>
        <w:t>、</w:t>
      </w:r>
      <w:r>
        <w:rPr>
          <w:rFonts w:hint="eastAsia" w:ascii="黑体" w:hAnsi="黑体" w:eastAsia="黑体" w:cs="黑体"/>
          <w:spacing w:val="0"/>
          <w:sz w:val="32"/>
          <w:szCs w:val="32"/>
          <w:lang w:val="en-US" w:eastAsia="zh-CN"/>
        </w:rPr>
        <w:t>维生素C</w:t>
      </w:r>
    </w:p>
    <w:p w14:paraId="6D48612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维生素C是一种水溶性维生素，在人体代谢过程中发挥重要作用。维生素C缺乏会影响人体正常生理功能，长期严重缺乏可能导致坏血病。《食品安全国家标准 运动营养食品通则》（GB 24154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2015）中规定，运动营养食品中维生素C含量（以每日计）应在15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100mg范围内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val="en-US" w:eastAsia="zh-CN"/>
        </w:rPr>
        <w:t>运动营养食品中维生素C含量不达标的原因，可能是原辅料用食品营养强化剂不符合质量要求；也可能是生产加工过程中搅拌不均匀；还可能是在加工或储存过程中损失</w:t>
      </w:r>
      <w:r>
        <w:rPr>
          <w:rFonts w:hint="default" w:ascii="Times New Roman" w:hAnsi="Times New Roman" w:eastAsia="仿宋_GB2312" w:cs="Times New Roman"/>
          <w:sz w:val="32"/>
          <w:szCs w:val="32"/>
        </w:rPr>
        <w:t>。</w:t>
      </w:r>
    </w:p>
    <w:p w14:paraId="27DFF57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二十三</w:t>
      </w:r>
      <w:r>
        <w:rPr>
          <w:rFonts w:hint="default" w:ascii="Times New Roman" w:hAnsi="Times New Roman" w:eastAsia="黑体" w:cs="Times New Roman"/>
          <w:spacing w:val="0"/>
          <w:sz w:val="32"/>
          <w:szCs w:val="32"/>
          <w:lang w:val="en-US" w:eastAsia="zh-CN"/>
        </w:rPr>
        <w:t>、钠</w:t>
      </w:r>
    </w:p>
    <w:p w14:paraId="20C4C359">
      <w:pPr>
        <w:adjustRightInd/>
        <w:spacing w:line="594"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钠是人体必需的</w:t>
      </w:r>
      <w:r>
        <w:rPr>
          <w:rFonts w:hint="default" w:ascii="Times New Roman" w:hAnsi="Times New Roman" w:eastAsia="仿宋_GB2312" w:cs="Times New Roman"/>
          <w:sz w:val="32"/>
          <w:szCs w:val="32"/>
          <w:lang w:val="en-US" w:eastAsia="zh-CN"/>
        </w:rPr>
        <w:t>常量元素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钠离子在体内有助于维持渗透压和酸碱平衡，协助生理功能正常运作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钠缺乏可能会导致食欲减退、倦怠、恶心呕吐、血压降低等。《食品安全国家标准 运动营养食品通则》（GB 24154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sz w:val="32"/>
          <w:szCs w:val="32"/>
          <w:lang w:val="en-US" w:eastAsia="zh-CN"/>
        </w:rPr>
        <w:t>没有特别添加钠营养素的运动营养食品中</w:t>
      </w:r>
      <w:r>
        <w:rPr>
          <w:rFonts w:hint="default" w:ascii="Times New Roman" w:hAnsi="Times New Roman" w:eastAsia="仿宋_GB2312" w:cs="Times New Roman"/>
          <w:sz w:val="32"/>
          <w:szCs w:val="32"/>
        </w:rPr>
        <w:t>钠</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val="en-US" w:eastAsia="zh-CN"/>
        </w:rPr>
        <w:t>最大含量（以每日计）</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1600</w:t>
      </w:r>
      <w:r>
        <w:rPr>
          <w:rFonts w:hint="default" w:ascii="Times New Roman" w:hAnsi="Times New Roman" w:eastAsia="仿宋_GB2312" w:cs="Times New Roman"/>
          <w:sz w:val="32"/>
          <w:szCs w:val="32"/>
        </w:rPr>
        <w:t>mg</w:t>
      </w:r>
      <w:r>
        <w:rPr>
          <w:rFonts w:hint="eastAsia" w:ascii="Times New Roman" w:hAnsi="Times New Roman" w:eastAsia="仿宋_GB2312" w:cs="Times New Roman"/>
          <w:sz w:val="32"/>
          <w:szCs w:val="32"/>
          <w:lang w:eastAsia="zh-CN"/>
        </w:rPr>
        <w:t>；《食品安全国家标准 婴幼儿谷类辅助食品》（GB 10769—2010）中规定，婴幼儿谷类辅助食品中</w:t>
      </w:r>
      <w:r>
        <w:rPr>
          <w:rFonts w:hint="eastAsia" w:ascii="Times New Roman" w:hAnsi="Times New Roman" w:eastAsia="仿宋_GB2312" w:cs="Times New Roman"/>
          <w:sz w:val="32"/>
          <w:szCs w:val="32"/>
          <w:lang w:val="en-US" w:eastAsia="zh-CN"/>
        </w:rPr>
        <w:t>钠的</w:t>
      </w:r>
      <w:r>
        <w:rPr>
          <w:rFonts w:hint="eastAsia" w:ascii="Times New Roman" w:hAnsi="Times New Roman" w:eastAsia="仿宋_GB2312" w:cs="Times New Roman"/>
          <w:sz w:val="32"/>
          <w:szCs w:val="32"/>
          <w:lang w:eastAsia="zh-CN"/>
        </w:rPr>
        <w:t>最大含量为</w:t>
      </w:r>
      <w:r>
        <w:rPr>
          <w:rFonts w:hint="eastAsia" w:ascii="Times New Roman" w:hAnsi="Times New Roman" w:eastAsia="仿宋_GB2312" w:cs="Times New Roman"/>
          <w:sz w:val="32"/>
          <w:szCs w:val="32"/>
          <w:lang w:val="en-US" w:eastAsia="zh-CN"/>
        </w:rPr>
        <w:t>24.0mg/100kJ；</w:t>
      </w:r>
      <w:r>
        <w:rPr>
          <w:rFonts w:hint="default" w:ascii="Times New Roman" w:hAnsi="Times New Roman" w:eastAsia="仿宋_GB2312" w:cs="Times New Roman"/>
          <w:sz w:val="32"/>
          <w:szCs w:val="32"/>
        </w:rPr>
        <w:t>《食品安全国家标准 预包装特殊膳食用食品标签》（GB 13432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2013）中规定，</w:t>
      </w:r>
      <w:r>
        <w:rPr>
          <w:rFonts w:hint="default" w:ascii="Times New Roman" w:hAnsi="Times New Roman" w:eastAsia="仿宋_GB2312" w:cs="Times New Roman"/>
          <w:sz w:val="32"/>
        </w:rPr>
        <w:t>在产品保质期内，能量和营养成分的实际含量不应低于标示值的80%</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szCs w:val="32"/>
          <w:lang w:val="en-US" w:eastAsia="zh-CN"/>
        </w:rPr>
        <w:t>运动营养食品</w:t>
      </w:r>
      <w:r>
        <w:rPr>
          <w:rFonts w:hint="eastAsia" w:ascii="Times New Roman" w:hAnsi="Times New Roman" w:eastAsia="仿宋_GB2312" w:cs="Times New Roman"/>
          <w:sz w:val="32"/>
          <w:szCs w:val="32"/>
          <w:lang w:val="en-US" w:eastAsia="zh-CN"/>
        </w:rPr>
        <w:t>、婴幼儿谷类辅助食品</w:t>
      </w:r>
      <w:r>
        <w:rPr>
          <w:rFonts w:hint="default" w:ascii="Times New Roman" w:hAnsi="Times New Roman" w:eastAsia="仿宋_GB2312" w:cs="Times New Roman"/>
          <w:sz w:val="32"/>
          <w:szCs w:val="32"/>
          <w:lang w:val="en-US" w:eastAsia="zh-CN"/>
        </w:rPr>
        <w:t>中钠</w:t>
      </w:r>
      <w:r>
        <w:rPr>
          <w:rFonts w:hint="default" w:ascii="Times New Roman" w:hAnsi="Times New Roman" w:eastAsia="仿宋_GB2312" w:cs="Times New Roman"/>
          <w:sz w:val="32"/>
          <w:szCs w:val="32"/>
        </w:rPr>
        <w:t>含量不达标</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rPr>
        <w:t>可能是生产工艺不合理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也可能是产品标签标注不规范</w:t>
      </w:r>
      <w:r>
        <w:rPr>
          <w:rFonts w:hint="default" w:ascii="Times New Roman" w:hAnsi="Times New Roman" w:eastAsia="仿宋_GB2312" w:cs="Times New Roman"/>
          <w:sz w:val="32"/>
          <w:szCs w:val="32"/>
        </w:rPr>
        <w:t>。</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A1904F-E1B1-43D2-9344-0247FE1C28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1E8D8C6E-2156-4CF5-9802-A8A9DEE35996}"/>
  </w:font>
  <w:font w:name="方正小标宋简体">
    <w:panose1 w:val="03000509000000000000"/>
    <w:charset w:val="86"/>
    <w:family w:val="script"/>
    <w:pitch w:val="default"/>
    <w:sig w:usb0="00000001" w:usb1="080E0000" w:usb2="00000000" w:usb3="00000000" w:csb0="00040000" w:csb1="00000000"/>
    <w:embedRegular r:id="rId3" w:fontKey="{94F0409F-F439-4000-B586-F3205E524709}"/>
  </w:font>
  <w:font w:name="等线">
    <w:panose1 w:val="02010600030101010101"/>
    <w:charset w:val="86"/>
    <w:family w:val="auto"/>
    <w:pitch w:val="default"/>
    <w:sig w:usb0="A00002BF" w:usb1="38CF7CFA" w:usb2="00000016" w:usb3="00000000" w:csb0="0004000F" w:csb1="00000000"/>
    <w:embedRegular r:id="rId4" w:fontKey="{00AAE203-7C77-49C0-B440-D18C8A0BADE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792034"/>
    </w:sdtPr>
    <w:sdtEndPr>
      <w:rPr>
        <w:lang w:val="zh-CN"/>
      </w:rPr>
    </w:sdtEndPr>
    <w:sdtContent>
      <w:p w14:paraId="69D6350B">
        <w:pPr>
          <w:pStyle w:val="6"/>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14:paraId="0334816A">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zk0NGJjYjlhZTdmZjU0YmM5NTY3ODhkYTUwMzcifQ=="/>
  </w:docVars>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E6218"/>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876A6"/>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1521B81"/>
    <w:rsid w:val="01A56D4B"/>
    <w:rsid w:val="01C40DDD"/>
    <w:rsid w:val="02661E94"/>
    <w:rsid w:val="027A5D95"/>
    <w:rsid w:val="028D1A14"/>
    <w:rsid w:val="02EE52CA"/>
    <w:rsid w:val="038F0445"/>
    <w:rsid w:val="03A414C8"/>
    <w:rsid w:val="03F93ABC"/>
    <w:rsid w:val="04025BED"/>
    <w:rsid w:val="04294F27"/>
    <w:rsid w:val="043132CE"/>
    <w:rsid w:val="04B16515"/>
    <w:rsid w:val="052446EE"/>
    <w:rsid w:val="053242B0"/>
    <w:rsid w:val="05462D97"/>
    <w:rsid w:val="055E15B3"/>
    <w:rsid w:val="05907CAB"/>
    <w:rsid w:val="06A61BD4"/>
    <w:rsid w:val="06A71C34"/>
    <w:rsid w:val="06FC4B75"/>
    <w:rsid w:val="070639D0"/>
    <w:rsid w:val="0722265B"/>
    <w:rsid w:val="07265873"/>
    <w:rsid w:val="0780615A"/>
    <w:rsid w:val="07A30962"/>
    <w:rsid w:val="07DA160B"/>
    <w:rsid w:val="081C479D"/>
    <w:rsid w:val="084F41B0"/>
    <w:rsid w:val="089E37AF"/>
    <w:rsid w:val="09227595"/>
    <w:rsid w:val="09FE6495"/>
    <w:rsid w:val="0AAD48BF"/>
    <w:rsid w:val="0AC442D1"/>
    <w:rsid w:val="0ADC3742"/>
    <w:rsid w:val="0B107A4A"/>
    <w:rsid w:val="0B437A81"/>
    <w:rsid w:val="0BC8771C"/>
    <w:rsid w:val="0BCF39F7"/>
    <w:rsid w:val="0C2A1C3C"/>
    <w:rsid w:val="0C2D133B"/>
    <w:rsid w:val="0C364B74"/>
    <w:rsid w:val="0CD40A10"/>
    <w:rsid w:val="0CF0645F"/>
    <w:rsid w:val="0E092D0B"/>
    <w:rsid w:val="0EC81837"/>
    <w:rsid w:val="0F5238B5"/>
    <w:rsid w:val="0FEB509E"/>
    <w:rsid w:val="0FF5732E"/>
    <w:rsid w:val="102D3FF1"/>
    <w:rsid w:val="103364D3"/>
    <w:rsid w:val="105542C0"/>
    <w:rsid w:val="10625608"/>
    <w:rsid w:val="108233AD"/>
    <w:rsid w:val="10A511DC"/>
    <w:rsid w:val="10C75499"/>
    <w:rsid w:val="10F93D79"/>
    <w:rsid w:val="111C434C"/>
    <w:rsid w:val="11A245C9"/>
    <w:rsid w:val="11A552D9"/>
    <w:rsid w:val="11AD305F"/>
    <w:rsid w:val="12076629"/>
    <w:rsid w:val="12D22C2E"/>
    <w:rsid w:val="12FD4DF0"/>
    <w:rsid w:val="130B5CD4"/>
    <w:rsid w:val="133001AE"/>
    <w:rsid w:val="134D526F"/>
    <w:rsid w:val="156E0206"/>
    <w:rsid w:val="160A5910"/>
    <w:rsid w:val="17033CEF"/>
    <w:rsid w:val="1722569F"/>
    <w:rsid w:val="178C1298"/>
    <w:rsid w:val="19067FF8"/>
    <w:rsid w:val="196B1D4E"/>
    <w:rsid w:val="19977A4A"/>
    <w:rsid w:val="19D6063F"/>
    <w:rsid w:val="19DD082F"/>
    <w:rsid w:val="1A907481"/>
    <w:rsid w:val="1AEC7B0C"/>
    <w:rsid w:val="1B03607B"/>
    <w:rsid w:val="1B2E77B1"/>
    <w:rsid w:val="1B3D7278"/>
    <w:rsid w:val="1CE5696D"/>
    <w:rsid w:val="1D513069"/>
    <w:rsid w:val="1D6C2FCD"/>
    <w:rsid w:val="1DA014D7"/>
    <w:rsid w:val="1DF6698D"/>
    <w:rsid w:val="1E0B5C9C"/>
    <w:rsid w:val="1E37319B"/>
    <w:rsid w:val="1E9157FB"/>
    <w:rsid w:val="1F961D6E"/>
    <w:rsid w:val="1FA03EF4"/>
    <w:rsid w:val="1FF5604A"/>
    <w:rsid w:val="1FF77807"/>
    <w:rsid w:val="20582274"/>
    <w:rsid w:val="2059449C"/>
    <w:rsid w:val="20BC665B"/>
    <w:rsid w:val="20C11697"/>
    <w:rsid w:val="20DF2D7E"/>
    <w:rsid w:val="20E97796"/>
    <w:rsid w:val="21372698"/>
    <w:rsid w:val="215701F0"/>
    <w:rsid w:val="22E67475"/>
    <w:rsid w:val="239D06F1"/>
    <w:rsid w:val="23D113E8"/>
    <w:rsid w:val="24235EAA"/>
    <w:rsid w:val="247A6FAA"/>
    <w:rsid w:val="249D47DC"/>
    <w:rsid w:val="25124A75"/>
    <w:rsid w:val="259E23E3"/>
    <w:rsid w:val="26314ACD"/>
    <w:rsid w:val="266C5903"/>
    <w:rsid w:val="269D741C"/>
    <w:rsid w:val="26B71989"/>
    <w:rsid w:val="27584E00"/>
    <w:rsid w:val="27894434"/>
    <w:rsid w:val="27B8270D"/>
    <w:rsid w:val="27C43035"/>
    <w:rsid w:val="27CF1A25"/>
    <w:rsid w:val="28CC6DE2"/>
    <w:rsid w:val="294A7F7D"/>
    <w:rsid w:val="29F8276D"/>
    <w:rsid w:val="29FB7D70"/>
    <w:rsid w:val="2A53594F"/>
    <w:rsid w:val="2ABF7615"/>
    <w:rsid w:val="2AEB7548"/>
    <w:rsid w:val="2AF42F2E"/>
    <w:rsid w:val="2BD07C59"/>
    <w:rsid w:val="2C1205D9"/>
    <w:rsid w:val="2CD74E22"/>
    <w:rsid w:val="2CE70F66"/>
    <w:rsid w:val="2D64060D"/>
    <w:rsid w:val="2D7D16EA"/>
    <w:rsid w:val="2DA62CE5"/>
    <w:rsid w:val="2E25104B"/>
    <w:rsid w:val="2E4243E1"/>
    <w:rsid w:val="2F033EB0"/>
    <w:rsid w:val="2F2C68FC"/>
    <w:rsid w:val="2F712A79"/>
    <w:rsid w:val="2F9B35E3"/>
    <w:rsid w:val="2FDD066F"/>
    <w:rsid w:val="30706BFB"/>
    <w:rsid w:val="30730D18"/>
    <w:rsid w:val="308001C6"/>
    <w:rsid w:val="30AC7B38"/>
    <w:rsid w:val="31252E3F"/>
    <w:rsid w:val="31FD11FC"/>
    <w:rsid w:val="32A67649"/>
    <w:rsid w:val="33844E91"/>
    <w:rsid w:val="33BA14BA"/>
    <w:rsid w:val="34151A1C"/>
    <w:rsid w:val="34516D2E"/>
    <w:rsid w:val="34DB4439"/>
    <w:rsid w:val="34F97B15"/>
    <w:rsid w:val="358F3E74"/>
    <w:rsid w:val="35B553BC"/>
    <w:rsid w:val="36256509"/>
    <w:rsid w:val="36AD5E36"/>
    <w:rsid w:val="36BB0136"/>
    <w:rsid w:val="36BB4D35"/>
    <w:rsid w:val="37E01180"/>
    <w:rsid w:val="37E56DDC"/>
    <w:rsid w:val="37F900FD"/>
    <w:rsid w:val="38933D71"/>
    <w:rsid w:val="38AA3B42"/>
    <w:rsid w:val="394C2E8B"/>
    <w:rsid w:val="39673EBA"/>
    <w:rsid w:val="3A4A0926"/>
    <w:rsid w:val="3A8A5A19"/>
    <w:rsid w:val="3AA478AB"/>
    <w:rsid w:val="3B2D45F6"/>
    <w:rsid w:val="3B5B0921"/>
    <w:rsid w:val="3C2512EE"/>
    <w:rsid w:val="3C3812CC"/>
    <w:rsid w:val="3C432FF1"/>
    <w:rsid w:val="3C4B12A5"/>
    <w:rsid w:val="3C4D2E8B"/>
    <w:rsid w:val="3C81270D"/>
    <w:rsid w:val="3D54210C"/>
    <w:rsid w:val="3DD57988"/>
    <w:rsid w:val="3E56682C"/>
    <w:rsid w:val="3ED05834"/>
    <w:rsid w:val="3EF229BA"/>
    <w:rsid w:val="3F42581D"/>
    <w:rsid w:val="3FA01312"/>
    <w:rsid w:val="3FED319C"/>
    <w:rsid w:val="401234CD"/>
    <w:rsid w:val="405B301B"/>
    <w:rsid w:val="408B4949"/>
    <w:rsid w:val="40F962F7"/>
    <w:rsid w:val="41025C20"/>
    <w:rsid w:val="411B6563"/>
    <w:rsid w:val="4218656A"/>
    <w:rsid w:val="4236267D"/>
    <w:rsid w:val="42590783"/>
    <w:rsid w:val="42843858"/>
    <w:rsid w:val="42BC2694"/>
    <w:rsid w:val="42C6205B"/>
    <w:rsid w:val="43AF5096"/>
    <w:rsid w:val="43ED18D3"/>
    <w:rsid w:val="44120B90"/>
    <w:rsid w:val="446C036D"/>
    <w:rsid w:val="448604CB"/>
    <w:rsid w:val="44921DE2"/>
    <w:rsid w:val="44CE64DA"/>
    <w:rsid w:val="44DE50C7"/>
    <w:rsid w:val="45562D9B"/>
    <w:rsid w:val="45AF268C"/>
    <w:rsid w:val="463A646A"/>
    <w:rsid w:val="46994A91"/>
    <w:rsid w:val="46CC3297"/>
    <w:rsid w:val="471E6356"/>
    <w:rsid w:val="47242D51"/>
    <w:rsid w:val="47D450E7"/>
    <w:rsid w:val="47D93B1F"/>
    <w:rsid w:val="48CD06B6"/>
    <w:rsid w:val="48CE02C4"/>
    <w:rsid w:val="48D63B60"/>
    <w:rsid w:val="491E2B74"/>
    <w:rsid w:val="493B6E40"/>
    <w:rsid w:val="494C3F8C"/>
    <w:rsid w:val="494E4E79"/>
    <w:rsid w:val="495138DA"/>
    <w:rsid w:val="497763FD"/>
    <w:rsid w:val="49B00079"/>
    <w:rsid w:val="49BD4A24"/>
    <w:rsid w:val="49D57EE1"/>
    <w:rsid w:val="4A612A04"/>
    <w:rsid w:val="4ADC5E51"/>
    <w:rsid w:val="4B5D2CD5"/>
    <w:rsid w:val="4C544655"/>
    <w:rsid w:val="4C9204E2"/>
    <w:rsid w:val="4C95329C"/>
    <w:rsid w:val="4CA036CC"/>
    <w:rsid w:val="4CB7255F"/>
    <w:rsid w:val="4D2968B7"/>
    <w:rsid w:val="4D5B1BD1"/>
    <w:rsid w:val="4D61085B"/>
    <w:rsid w:val="4D96357F"/>
    <w:rsid w:val="4DF711BF"/>
    <w:rsid w:val="4E196222"/>
    <w:rsid w:val="4E8159AF"/>
    <w:rsid w:val="4ED53EED"/>
    <w:rsid w:val="4EFB0F58"/>
    <w:rsid w:val="4F69410F"/>
    <w:rsid w:val="4FAF363F"/>
    <w:rsid w:val="4FDF48D9"/>
    <w:rsid w:val="4FE173F8"/>
    <w:rsid w:val="50B25B41"/>
    <w:rsid w:val="50BC54AF"/>
    <w:rsid w:val="514C2084"/>
    <w:rsid w:val="51861C65"/>
    <w:rsid w:val="51B24EEC"/>
    <w:rsid w:val="51B43769"/>
    <w:rsid w:val="51BC1E2A"/>
    <w:rsid w:val="51F05D16"/>
    <w:rsid w:val="528A11AE"/>
    <w:rsid w:val="52FD335B"/>
    <w:rsid w:val="532062CE"/>
    <w:rsid w:val="533407C0"/>
    <w:rsid w:val="5387412A"/>
    <w:rsid w:val="53FD2F44"/>
    <w:rsid w:val="53FF0DCE"/>
    <w:rsid w:val="54544D6D"/>
    <w:rsid w:val="545804DE"/>
    <w:rsid w:val="56A276D0"/>
    <w:rsid w:val="56CD4EBA"/>
    <w:rsid w:val="57B03788"/>
    <w:rsid w:val="57F401E5"/>
    <w:rsid w:val="580C5E2D"/>
    <w:rsid w:val="586C779B"/>
    <w:rsid w:val="58873140"/>
    <w:rsid w:val="588C340E"/>
    <w:rsid w:val="58A7355C"/>
    <w:rsid w:val="5917309A"/>
    <w:rsid w:val="592526F4"/>
    <w:rsid w:val="59840098"/>
    <w:rsid w:val="59C949EC"/>
    <w:rsid w:val="59D04F91"/>
    <w:rsid w:val="5AB54607"/>
    <w:rsid w:val="5AB741B0"/>
    <w:rsid w:val="5B035A3A"/>
    <w:rsid w:val="5B7D1719"/>
    <w:rsid w:val="5B9E651D"/>
    <w:rsid w:val="5BE41C7F"/>
    <w:rsid w:val="5BFF1837"/>
    <w:rsid w:val="5C435B8D"/>
    <w:rsid w:val="5CD643C2"/>
    <w:rsid w:val="5D3C5BA5"/>
    <w:rsid w:val="5DA1645E"/>
    <w:rsid w:val="5DBE4F38"/>
    <w:rsid w:val="5E14229A"/>
    <w:rsid w:val="5E38554B"/>
    <w:rsid w:val="5E5431CD"/>
    <w:rsid w:val="5F2065C8"/>
    <w:rsid w:val="613D1EB7"/>
    <w:rsid w:val="61C61E38"/>
    <w:rsid w:val="62331957"/>
    <w:rsid w:val="63213BB4"/>
    <w:rsid w:val="63BA5678"/>
    <w:rsid w:val="64165519"/>
    <w:rsid w:val="643200F6"/>
    <w:rsid w:val="64CE046B"/>
    <w:rsid w:val="64D82E8B"/>
    <w:rsid w:val="653E7950"/>
    <w:rsid w:val="66D46B60"/>
    <w:rsid w:val="676770CE"/>
    <w:rsid w:val="679E2A0F"/>
    <w:rsid w:val="68A74C6B"/>
    <w:rsid w:val="69872FA0"/>
    <w:rsid w:val="69C7211C"/>
    <w:rsid w:val="69E34809"/>
    <w:rsid w:val="6B487B7E"/>
    <w:rsid w:val="6B8F3DB5"/>
    <w:rsid w:val="6B997EDF"/>
    <w:rsid w:val="6BA50B91"/>
    <w:rsid w:val="6BC54056"/>
    <w:rsid w:val="6C57653C"/>
    <w:rsid w:val="6C8F263F"/>
    <w:rsid w:val="6D3323BC"/>
    <w:rsid w:val="6E0D279D"/>
    <w:rsid w:val="6E157149"/>
    <w:rsid w:val="6E1B7C7E"/>
    <w:rsid w:val="6E9D44F7"/>
    <w:rsid w:val="6EFF5CCE"/>
    <w:rsid w:val="6F7C56DB"/>
    <w:rsid w:val="707961D1"/>
    <w:rsid w:val="70CF7EE0"/>
    <w:rsid w:val="70F00C1D"/>
    <w:rsid w:val="71052DB8"/>
    <w:rsid w:val="71346E5A"/>
    <w:rsid w:val="72404633"/>
    <w:rsid w:val="728D7A35"/>
    <w:rsid w:val="72ED6B92"/>
    <w:rsid w:val="735D6752"/>
    <w:rsid w:val="73712CCC"/>
    <w:rsid w:val="739C3AEB"/>
    <w:rsid w:val="73A155A6"/>
    <w:rsid w:val="73F64CEB"/>
    <w:rsid w:val="741C16EF"/>
    <w:rsid w:val="743531C2"/>
    <w:rsid w:val="743B3E91"/>
    <w:rsid w:val="74631C62"/>
    <w:rsid w:val="749704B3"/>
    <w:rsid w:val="751C7E3C"/>
    <w:rsid w:val="75A22D1B"/>
    <w:rsid w:val="75A47394"/>
    <w:rsid w:val="7773491F"/>
    <w:rsid w:val="77775FE6"/>
    <w:rsid w:val="77DD70DB"/>
    <w:rsid w:val="784B4258"/>
    <w:rsid w:val="78BF19EB"/>
    <w:rsid w:val="78FB4BB6"/>
    <w:rsid w:val="79043F06"/>
    <w:rsid w:val="79DE2FF1"/>
    <w:rsid w:val="7A7226AF"/>
    <w:rsid w:val="7A971365"/>
    <w:rsid w:val="7AE837E3"/>
    <w:rsid w:val="7B081C9A"/>
    <w:rsid w:val="7B0C1162"/>
    <w:rsid w:val="7B344CA7"/>
    <w:rsid w:val="7BAF49F6"/>
    <w:rsid w:val="7BBC107B"/>
    <w:rsid w:val="7BDB4D25"/>
    <w:rsid w:val="7C3B5127"/>
    <w:rsid w:val="7D750B61"/>
    <w:rsid w:val="7D9B6771"/>
    <w:rsid w:val="7DBD7C50"/>
    <w:rsid w:val="7E0B3EED"/>
    <w:rsid w:val="7EF37C31"/>
    <w:rsid w:val="7F056143"/>
    <w:rsid w:val="7F362E0C"/>
    <w:rsid w:val="7F3A6B56"/>
    <w:rsid w:val="7F3C7129"/>
    <w:rsid w:val="7F413799"/>
    <w:rsid w:val="7F7F5721"/>
    <w:rsid w:val="7FBE32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7"/>
    <w:autoRedefine/>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link w:val="16"/>
    <w:autoRedefine/>
    <w:qFormat/>
    <w:uiPriority w:val="0"/>
    <w:pPr>
      <w:spacing w:after="120"/>
      <w:ind w:left="420" w:leftChars="200"/>
    </w:pPr>
  </w:style>
  <w:style w:type="paragraph" w:styleId="4">
    <w:name w:val="annotation text"/>
    <w:basedOn w:val="1"/>
    <w:autoRedefine/>
    <w:semiHidden/>
    <w:unhideWhenUsed/>
    <w:qFormat/>
    <w:uiPriority w:val="0"/>
    <w:pPr>
      <w:jc w:val="left"/>
    </w:pPr>
  </w:style>
  <w:style w:type="paragraph" w:styleId="5">
    <w:name w:val="Balloon Text"/>
    <w:basedOn w:val="1"/>
    <w:link w:val="15"/>
    <w:autoRedefine/>
    <w:qFormat/>
    <w:uiPriority w:val="0"/>
    <w:rPr>
      <w:sz w:val="18"/>
      <w:szCs w:val="18"/>
    </w:rPr>
  </w:style>
  <w:style w:type="paragraph" w:styleId="6">
    <w:name w:val="footer"/>
    <w:basedOn w:val="1"/>
    <w:link w:val="14"/>
    <w:autoRedefine/>
    <w:qFormat/>
    <w:uiPriority w:val="99"/>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0"/>
  </w:style>
  <w:style w:type="paragraph" w:styleId="9">
    <w:name w:val="Normal (Web)"/>
    <w:basedOn w:val="1"/>
    <w:autoRedefine/>
    <w:unhideWhenUsed/>
    <w:qFormat/>
    <w:uiPriority w:val="99"/>
    <w:pPr>
      <w:spacing w:beforeAutospacing="1" w:afterAutospacing="1"/>
      <w:jc w:val="left"/>
    </w:pPr>
    <w:rPr>
      <w:rFonts w:cs="Times New Roman"/>
      <w:kern w:val="0"/>
      <w:sz w:val="24"/>
    </w:rPr>
  </w:style>
  <w:style w:type="character" w:styleId="12">
    <w:name w:val="page number"/>
    <w:basedOn w:val="11"/>
    <w:autoRedefine/>
    <w:qFormat/>
    <w:uiPriority w:val="0"/>
  </w:style>
  <w:style w:type="character" w:customStyle="1" w:styleId="13">
    <w:name w:val="页眉 Char"/>
    <w:basedOn w:val="11"/>
    <w:link w:val="7"/>
    <w:autoRedefine/>
    <w:qFormat/>
    <w:uiPriority w:val="0"/>
    <w:rPr>
      <w:rFonts w:asciiTheme="minorHAnsi" w:hAnsiTheme="minorHAnsi" w:eastAsiaTheme="minorEastAsia" w:cstheme="minorBidi"/>
      <w:kern w:val="2"/>
      <w:sz w:val="18"/>
      <w:szCs w:val="18"/>
    </w:rPr>
  </w:style>
  <w:style w:type="character" w:customStyle="1" w:styleId="14">
    <w:name w:val="页脚 Char"/>
    <w:basedOn w:val="11"/>
    <w:link w:val="6"/>
    <w:autoRedefine/>
    <w:qFormat/>
    <w:uiPriority w:val="99"/>
    <w:rPr>
      <w:rFonts w:asciiTheme="minorHAnsi" w:hAnsiTheme="minorHAnsi" w:eastAsiaTheme="minorEastAsia" w:cstheme="minorBidi"/>
      <w:kern w:val="2"/>
      <w:sz w:val="18"/>
      <w:szCs w:val="18"/>
    </w:rPr>
  </w:style>
  <w:style w:type="character" w:customStyle="1" w:styleId="15">
    <w:name w:val="批注框文本 Char"/>
    <w:basedOn w:val="11"/>
    <w:link w:val="5"/>
    <w:autoRedefine/>
    <w:qFormat/>
    <w:uiPriority w:val="0"/>
    <w:rPr>
      <w:rFonts w:asciiTheme="minorHAnsi" w:hAnsiTheme="minorHAnsi" w:eastAsiaTheme="minorEastAsia" w:cstheme="minorBidi"/>
      <w:kern w:val="2"/>
      <w:sz w:val="18"/>
      <w:szCs w:val="18"/>
    </w:rPr>
  </w:style>
  <w:style w:type="character" w:customStyle="1" w:styleId="16">
    <w:name w:val="正文文本缩进 Char"/>
    <w:basedOn w:val="11"/>
    <w:link w:val="3"/>
    <w:autoRedefine/>
    <w:qFormat/>
    <w:uiPriority w:val="0"/>
    <w:rPr>
      <w:rFonts w:asciiTheme="minorHAnsi" w:hAnsiTheme="minorHAnsi" w:eastAsiaTheme="minorEastAsia" w:cstheme="minorBidi"/>
      <w:kern w:val="2"/>
      <w:sz w:val="21"/>
      <w:szCs w:val="22"/>
    </w:rPr>
  </w:style>
  <w:style w:type="character" w:customStyle="1" w:styleId="17">
    <w:name w:val="正文首行缩进 2 Char"/>
    <w:basedOn w:val="16"/>
    <w:link w:val="2"/>
    <w:autoRedefine/>
    <w:qFormat/>
    <w:uiPriority w:val="0"/>
    <w:rPr>
      <w:rFonts w:ascii="Calibri" w:hAnsi="Calibri" w:eastAsia="仿宋" w:cstheme="minorBidi"/>
      <w:kern w:val="2"/>
      <w:sz w:val="32"/>
      <w:szCs w:val="22"/>
    </w:rPr>
  </w:style>
  <w:style w:type="paragraph" w:customStyle="1" w:styleId="18">
    <w:name w:val="列出段落2"/>
    <w:basedOn w:val="1"/>
    <w:autoRedefine/>
    <w:qFormat/>
    <w:uiPriority w:val="34"/>
    <w:pPr>
      <w:ind w:firstLine="420" w:firstLineChars="200"/>
    </w:pPr>
  </w:style>
  <w:style w:type="paragraph" w:styleId="19">
    <w:name w:val="List Paragraph"/>
    <w:basedOn w:val="1"/>
    <w:autoRedefine/>
    <w:unhideWhenUsed/>
    <w:qFormat/>
    <w:uiPriority w:val="99"/>
    <w:pPr>
      <w:ind w:firstLine="420" w:firstLineChars="200"/>
    </w:pPr>
    <w:rPr>
      <w:rFonts w:ascii="Calibri" w:hAnsi="Calibri"/>
      <w:szCs w:val="22"/>
    </w:rPr>
  </w:style>
  <w:style w:type="paragraph" w:customStyle="1" w:styleId="20">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5991</Words>
  <Characters>6614</Characters>
  <Lines>9</Lines>
  <Paragraphs>2</Paragraphs>
  <TotalTime>2</TotalTime>
  <ScaleCrop>false</ScaleCrop>
  <LinksUpToDate>false</LinksUpToDate>
  <CharactersWithSpaces>6694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2021-01-12T01:57:00Z</dcterms:created>
  <dc:creator>ywk-rx</dc:creator>
  <cp:lastModifiedBy>aly</cp:lastModifiedBy>
  <cp:lastPrinted>2024-06-12T06:27:00Z</cp:lastPrinted>
  <dcterms:modified xsi:type="dcterms:W3CDTF">2024-11-08T08:14:54Z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138B4556BBAE486AA84D4A5CC556E31B_13</vt:lpwstr>
  </property>
</Properties>
</file>