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rPr>
          <w:rFonts w:hint="eastAsia" w:ascii="黑体" w:hAnsi="黑体" w:eastAsia="黑体" w:cs="黑体"/>
          <w:sz w:val="32"/>
        </w:rPr>
      </w:pPr>
      <w:r>
        <w:rPr>
          <w:rFonts w:hint="eastAsia" w:ascii="黑体" w:hAnsi="黑体" w:eastAsia="黑体" w:cs="黑体"/>
          <w:sz w:val="32"/>
        </w:rPr>
        <w:t>一、项目名称</w:t>
      </w:r>
    </w:p>
    <w:p>
      <w:pPr>
        <w:ind w:firstLine="314" w:firstLineChars="131"/>
        <w:rPr>
          <w:rFonts w:ascii="Times New Roman" w:hAnsi="Times New Roman" w:cs="Times New Roman"/>
          <w:sz w:val="24"/>
          <w:szCs w:val="24"/>
        </w:rPr>
      </w:pPr>
      <w:r>
        <w:rPr>
          <w:rFonts w:ascii="Times New Roman" w:hAnsi="Times New Roman" w:cs="Times New Roman"/>
          <w:sz w:val="24"/>
          <w:szCs w:val="24"/>
        </w:rPr>
        <w:t>重症脑卒中救治关键技术创新与应用</w:t>
      </w:r>
    </w:p>
    <w:p>
      <w:pPr>
        <w:ind w:firstLine="640" w:firstLineChars="200"/>
        <w:rPr>
          <w:rFonts w:hint="eastAsia" w:ascii="黑体" w:hAnsi="黑体" w:eastAsia="黑体" w:cs="黑体"/>
          <w:sz w:val="32"/>
        </w:rPr>
      </w:pPr>
      <w:r>
        <w:rPr>
          <w:rFonts w:hint="eastAsia" w:ascii="黑体" w:hAnsi="黑体" w:eastAsia="黑体" w:cs="黑体"/>
          <w:sz w:val="32"/>
        </w:rPr>
        <w:t>二、主要完成人</w:t>
      </w:r>
    </w:p>
    <w:tbl>
      <w:tblPr>
        <w:tblStyle w:val="8"/>
        <w:tblW w:w="9356" w:type="dxa"/>
        <w:tblInd w:w="-31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93"/>
        <w:gridCol w:w="708"/>
        <w:gridCol w:w="1276"/>
        <w:gridCol w:w="1276"/>
        <w:gridCol w:w="1725"/>
        <w:gridCol w:w="1677"/>
        <w:gridCol w:w="170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Align w:val="center"/>
          </w:tcPr>
          <w:p>
            <w:pPr>
              <w:rPr>
                <w:rFonts w:ascii="Times New Roman" w:hAnsi="Times New Roman" w:eastAsia="仿宋" w:cs="Times New Roman"/>
                <w:b/>
                <w:bCs/>
                <w:sz w:val="24"/>
                <w:szCs w:val="24"/>
              </w:rPr>
            </w:pPr>
            <w:r>
              <w:rPr>
                <w:rFonts w:ascii="Times New Roman" w:hAnsi="Times New Roman" w:eastAsia="仿宋" w:cs="Times New Roman"/>
                <w:b/>
                <w:bCs/>
                <w:sz w:val="24"/>
                <w:szCs w:val="24"/>
              </w:rPr>
              <w:t>姓名</w:t>
            </w:r>
          </w:p>
        </w:tc>
        <w:tc>
          <w:tcPr>
            <w:tcW w:w="708" w:type="dxa"/>
            <w:vAlign w:val="center"/>
          </w:tcPr>
          <w:p>
            <w:pPr>
              <w:rPr>
                <w:rFonts w:ascii="Times New Roman" w:hAnsi="Times New Roman" w:eastAsia="仿宋" w:cs="Times New Roman"/>
                <w:b/>
                <w:bCs/>
                <w:sz w:val="24"/>
                <w:szCs w:val="24"/>
              </w:rPr>
            </w:pPr>
            <w:r>
              <w:rPr>
                <w:rFonts w:ascii="Times New Roman" w:hAnsi="Times New Roman" w:eastAsia="仿宋" w:cs="Times New Roman"/>
                <w:b/>
                <w:bCs/>
                <w:sz w:val="24"/>
                <w:szCs w:val="24"/>
              </w:rPr>
              <w:t>排名</w:t>
            </w:r>
          </w:p>
        </w:tc>
        <w:tc>
          <w:tcPr>
            <w:tcW w:w="1276" w:type="dxa"/>
            <w:vAlign w:val="center"/>
          </w:tcPr>
          <w:p>
            <w:pPr>
              <w:rPr>
                <w:rFonts w:ascii="Times New Roman" w:hAnsi="Times New Roman" w:eastAsia="仿宋" w:cs="Times New Roman"/>
                <w:b/>
                <w:bCs/>
                <w:sz w:val="24"/>
                <w:szCs w:val="24"/>
              </w:rPr>
            </w:pPr>
            <w:r>
              <w:rPr>
                <w:rFonts w:ascii="Times New Roman" w:hAnsi="Times New Roman" w:eastAsia="仿宋" w:cs="Times New Roman"/>
                <w:b/>
                <w:bCs/>
                <w:sz w:val="24"/>
                <w:szCs w:val="24"/>
              </w:rPr>
              <w:t>行政职务</w:t>
            </w:r>
          </w:p>
        </w:tc>
        <w:tc>
          <w:tcPr>
            <w:tcW w:w="1276" w:type="dxa"/>
            <w:vAlign w:val="center"/>
          </w:tcPr>
          <w:p>
            <w:pPr>
              <w:rPr>
                <w:rFonts w:ascii="Times New Roman" w:hAnsi="Times New Roman" w:eastAsia="仿宋" w:cs="Times New Roman"/>
                <w:b/>
                <w:bCs/>
                <w:sz w:val="24"/>
                <w:szCs w:val="24"/>
              </w:rPr>
            </w:pPr>
            <w:r>
              <w:rPr>
                <w:rFonts w:ascii="Times New Roman" w:hAnsi="Times New Roman" w:eastAsia="仿宋" w:cs="Times New Roman"/>
                <w:b/>
                <w:bCs/>
                <w:sz w:val="24"/>
                <w:szCs w:val="24"/>
              </w:rPr>
              <w:t>技术职称</w:t>
            </w:r>
          </w:p>
        </w:tc>
        <w:tc>
          <w:tcPr>
            <w:tcW w:w="1725" w:type="dxa"/>
            <w:vAlign w:val="center"/>
          </w:tcPr>
          <w:p>
            <w:pPr>
              <w:rPr>
                <w:rFonts w:ascii="Times New Roman" w:hAnsi="Times New Roman" w:eastAsia="仿宋" w:cs="Times New Roman"/>
                <w:b/>
                <w:bCs/>
                <w:sz w:val="24"/>
                <w:szCs w:val="24"/>
              </w:rPr>
            </w:pPr>
            <w:r>
              <w:rPr>
                <w:rFonts w:ascii="Times New Roman" w:hAnsi="Times New Roman" w:eastAsia="仿宋" w:cs="Times New Roman"/>
                <w:b/>
                <w:bCs/>
                <w:sz w:val="24"/>
                <w:szCs w:val="24"/>
              </w:rPr>
              <w:t>工作单位</w:t>
            </w:r>
          </w:p>
        </w:tc>
        <w:tc>
          <w:tcPr>
            <w:tcW w:w="1677" w:type="dxa"/>
            <w:vAlign w:val="center"/>
          </w:tcPr>
          <w:p>
            <w:pPr>
              <w:rPr>
                <w:rFonts w:ascii="Times New Roman" w:hAnsi="Times New Roman" w:eastAsia="仿宋" w:cs="Times New Roman"/>
                <w:b/>
                <w:bCs/>
                <w:sz w:val="24"/>
                <w:szCs w:val="24"/>
              </w:rPr>
            </w:pPr>
            <w:r>
              <w:rPr>
                <w:rFonts w:ascii="Times New Roman" w:hAnsi="Times New Roman" w:eastAsia="仿宋" w:cs="Times New Roman"/>
                <w:b/>
                <w:bCs/>
                <w:sz w:val="24"/>
                <w:szCs w:val="24"/>
              </w:rPr>
              <w:t>完成单位</w:t>
            </w:r>
          </w:p>
        </w:tc>
        <w:tc>
          <w:tcPr>
            <w:tcW w:w="1701" w:type="dxa"/>
            <w:vAlign w:val="center"/>
          </w:tcPr>
          <w:p>
            <w:pPr>
              <w:rPr>
                <w:rFonts w:ascii="Times New Roman" w:hAnsi="Times New Roman" w:eastAsia="仿宋" w:cs="Times New Roman"/>
                <w:b/>
                <w:bCs/>
                <w:sz w:val="24"/>
                <w:szCs w:val="24"/>
              </w:rPr>
            </w:pPr>
            <w:r>
              <w:rPr>
                <w:rFonts w:ascii="Times New Roman" w:hAnsi="Times New Roman" w:eastAsia="仿宋" w:cs="Times New Roman"/>
                <w:b/>
                <w:bCs/>
                <w:sz w:val="24"/>
                <w:szCs w:val="24"/>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江文</w:t>
            </w:r>
          </w:p>
        </w:tc>
        <w:tc>
          <w:tcPr>
            <w:tcW w:w="708"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1</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科主任</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教授、主任医师</w:t>
            </w:r>
          </w:p>
        </w:tc>
        <w:tc>
          <w:tcPr>
            <w:tcW w:w="1725"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677"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701" w:type="dxa"/>
            <w:vAlign w:val="center"/>
          </w:tcPr>
          <w:p>
            <w:pPr>
              <w:adjustRightInd w:val="0"/>
              <w:snapToGrid w:val="0"/>
              <w:rPr>
                <w:rFonts w:ascii="Times New Roman" w:hAnsi="Times New Roman" w:eastAsia="仿宋" w:cs="Times New Roman"/>
                <w:sz w:val="24"/>
                <w:szCs w:val="24"/>
              </w:rPr>
            </w:pPr>
            <w:bookmarkStart w:id="0" w:name="OLE_LINK3"/>
            <w:r>
              <w:rPr>
                <w:rFonts w:ascii="Times New Roman" w:hAnsi="Times New Roman" w:eastAsia="仿宋" w:cs="Times New Roman"/>
                <w:color w:val="000000"/>
                <w:sz w:val="24"/>
              </w:rPr>
              <w:t>项目总负责，统筹本次研究。作为项目负责人提出了本项研究的整体计划，主持了项目的总体实施。</w:t>
            </w:r>
            <w:bookmarkEnd w:id="0"/>
            <w:r>
              <w:rPr>
                <w:rFonts w:ascii="Times New Roman" w:hAnsi="Times New Roman" w:eastAsia="仿宋" w:cs="Times New Roman"/>
                <w:color w:val="000000"/>
                <w:sz w:val="24"/>
              </w:rPr>
              <w:t>是主要知识产权1、2、4、8的通讯作者，主要知识产权6的主要完成人之一，主要知识产权7的主编，主要知识产权10的通讯作者。见必备附件1-1、1-2、1-3、2-13、2-4、2-3、2-1、2-7、2-5。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张秦鲁</w:t>
            </w:r>
          </w:p>
        </w:tc>
        <w:tc>
          <w:tcPr>
            <w:tcW w:w="708"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2</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总经理</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高级研究员</w:t>
            </w:r>
          </w:p>
        </w:tc>
        <w:tc>
          <w:tcPr>
            <w:tcW w:w="1725"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西安金磁纳米生物技术有限公司</w:t>
            </w:r>
          </w:p>
        </w:tc>
        <w:tc>
          <w:tcPr>
            <w:tcW w:w="1677"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西安金磁纳米生物技术有限公司</w:t>
            </w:r>
          </w:p>
        </w:tc>
        <w:tc>
          <w:tcPr>
            <w:tcW w:w="1701" w:type="dxa"/>
            <w:vAlign w:val="center"/>
          </w:tcPr>
          <w:p>
            <w:pPr>
              <w:adjustRightInd w:val="0"/>
              <w:snapToGrid w:val="0"/>
              <w:rPr>
                <w:rFonts w:ascii="Times New Roman" w:hAnsi="Times New Roman" w:eastAsia="仿宋" w:cs="Times New Roman"/>
                <w:color w:val="000000"/>
                <w:sz w:val="24"/>
              </w:rPr>
            </w:pPr>
            <w:r>
              <w:rPr>
                <w:rFonts w:ascii="Times New Roman" w:hAnsi="Times New Roman" w:eastAsia="仿宋" w:cs="Times New Roman"/>
                <w:sz w:val="24"/>
                <w:szCs w:val="24"/>
              </w:rPr>
              <w:t>完成弱磁定量即时检测技术的总体设计，作为主要发明人之一完成了知识产权3，主导完成三项器械注册。见必备附件1-3、3。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潘速跃</w:t>
            </w:r>
          </w:p>
        </w:tc>
        <w:tc>
          <w:tcPr>
            <w:tcW w:w="708"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3</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科主任</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教授、主任医师</w:t>
            </w:r>
          </w:p>
        </w:tc>
        <w:tc>
          <w:tcPr>
            <w:tcW w:w="1725"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南方医科大学南方医院</w:t>
            </w:r>
          </w:p>
        </w:tc>
        <w:tc>
          <w:tcPr>
            <w:tcW w:w="1677"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南方医科大学南方医院</w:t>
            </w:r>
          </w:p>
        </w:tc>
        <w:tc>
          <w:tcPr>
            <w:tcW w:w="1701" w:type="dxa"/>
            <w:vAlign w:val="center"/>
          </w:tcPr>
          <w:p>
            <w:pPr>
              <w:adjustRightInd w:val="0"/>
              <w:snapToGrid w:val="0"/>
              <w:rPr>
                <w:rFonts w:ascii="Times New Roman" w:hAnsi="Times New Roman" w:eastAsia="仿宋" w:cs="Times New Roman"/>
                <w:color w:val="000000"/>
                <w:sz w:val="24"/>
              </w:rPr>
            </w:pPr>
            <w:r>
              <w:rPr>
                <w:rFonts w:ascii="Times New Roman" w:hAnsi="Times New Roman" w:eastAsia="仿宋" w:cs="Times New Roman"/>
                <w:sz w:val="24"/>
                <w:szCs w:val="24"/>
              </w:rPr>
              <w:t>发现Sur1- Trpm4通道是重症脑卒中后脑水肿救治的新靶点，是主要知识产权5和10的通讯作者。见其他附件2-2、2-7。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杨方</w:t>
            </w:r>
          </w:p>
        </w:tc>
        <w:tc>
          <w:tcPr>
            <w:tcW w:w="708"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4</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副主任</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副教授</w:t>
            </w:r>
          </w:p>
        </w:tc>
        <w:tc>
          <w:tcPr>
            <w:tcW w:w="1725"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677"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701"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项目总体执行，组织团队按照项目总负责江文教授的整体计划，完成INCNS评分系统的建立，推进三项多中心临床研究。</w:t>
            </w:r>
            <w:r>
              <w:rPr>
                <w:rFonts w:ascii="Times New Roman" w:hAnsi="Times New Roman" w:eastAsia="仿宋" w:cs="Times New Roman"/>
                <w:color w:val="000000"/>
                <w:sz w:val="24"/>
              </w:rPr>
              <w:t>是主要知识产权4的共同第一作者，主要知识产权1、2的共同通讯作者，主要知识产权6的第一完成人，知识产权7的副主编，主要知识产权8的作者之一。见必备附件1-1、1-2，其他附件2-1、2-3、2-4、2-5、2-25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赵晶晶</w:t>
            </w:r>
          </w:p>
        </w:tc>
        <w:tc>
          <w:tcPr>
            <w:tcW w:w="708"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5</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无</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副主任医师</w:t>
            </w:r>
          </w:p>
        </w:tc>
        <w:tc>
          <w:tcPr>
            <w:tcW w:w="1725"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677"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701"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作为业务骨干推进3项多中心临床研究，参与INCNS评分系统的建立，是知识产权1和2的第一作者，知识产权4的第3作者，是主要知识产权7的编者之一。见必备附件1-1、1-2，其他附件2-1、2-4。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吴中亮</w:t>
            </w:r>
          </w:p>
        </w:tc>
        <w:tc>
          <w:tcPr>
            <w:tcW w:w="708"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6</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无</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教授、主任医师</w:t>
            </w:r>
          </w:p>
        </w:tc>
        <w:tc>
          <w:tcPr>
            <w:tcW w:w="1725"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677"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701"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参与脑损伤后睡眠障碍相关研究，是知识产权9的通讯作者。见其他附件2-6。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刘之荣</w:t>
            </w:r>
          </w:p>
        </w:tc>
        <w:tc>
          <w:tcPr>
            <w:tcW w:w="708"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7</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无</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教授、主任医师</w:t>
            </w:r>
          </w:p>
        </w:tc>
        <w:tc>
          <w:tcPr>
            <w:tcW w:w="1725"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677"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701"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主要在脑卒中后抗血小板药物治疗方面做出了重要工作，获2项相关国科金面上项目资助。见其他附件2-25和2-26。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高琼</w:t>
            </w:r>
          </w:p>
        </w:tc>
        <w:tc>
          <w:tcPr>
            <w:tcW w:w="708"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8</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无</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主治医师</w:t>
            </w:r>
          </w:p>
        </w:tc>
        <w:tc>
          <w:tcPr>
            <w:tcW w:w="1725"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677"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701"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参与INCNS评分系统的建立，是主要知识产权8的第一作者。见其其他附件2-5。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马乐</w:t>
            </w:r>
          </w:p>
        </w:tc>
        <w:tc>
          <w:tcPr>
            <w:tcW w:w="708"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9</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研发中心副主任</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中级</w:t>
            </w:r>
          </w:p>
        </w:tc>
        <w:tc>
          <w:tcPr>
            <w:tcW w:w="1725"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西安金磁纳米生物技术有限公司</w:t>
            </w:r>
          </w:p>
        </w:tc>
        <w:tc>
          <w:tcPr>
            <w:tcW w:w="1677"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西安金磁纳米生物技术有限公司</w:t>
            </w:r>
          </w:p>
        </w:tc>
        <w:tc>
          <w:tcPr>
            <w:tcW w:w="1701"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具体负责弱磁定量即时检测技术工作，是三项器械注册的主要完成人之一。见必备附件3。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黄凯滨</w:t>
            </w:r>
          </w:p>
        </w:tc>
        <w:tc>
          <w:tcPr>
            <w:tcW w:w="708"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10</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无</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副教授、副主任医师</w:t>
            </w:r>
          </w:p>
        </w:tc>
        <w:tc>
          <w:tcPr>
            <w:tcW w:w="1725"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南方医科大学南方医院</w:t>
            </w:r>
          </w:p>
        </w:tc>
        <w:tc>
          <w:tcPr>
            <w:tcW w:w="1677"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南方医科大学南方医院</w:t>
            </w:r>
          </w:p>
        </w:tc>
        <w:tc>
          <w:tcPr>
            <w:tcW w:w="1701"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发现Sur1- Trpm4通道是重症脑卒中后脑水肿救治的新靶点，是主要知识产权5的第一作者。见其他附件2-2。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刘海鹰</w:t>
            </w:r>
          </w:p>
        </w:tc>
        <w:tc>
          <w:tcPr>
            <w:tcW w:w="708"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11</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无</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无</w:t>
            </w:r>
          </w:p>
        </w:tc>
        <w:tc>
          <w:tcPr>
            <w:tcW w:w="1725"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677"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701"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参与脑损伤后睡眠障碍相关研究，是知识产权9的第一作者。见其他附件2-6。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宋长庚</w:t>
            </w:r>
          </w:p>
        </w:tc>
        <w:tc>
          <w:tcPr>
            <w:tcW w:w="708"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12</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无</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主治医师</w:t>
            </w:r>
          </w:p>
        </w:tc>
        <w:tc>
          <w:tcPr>
            <w:tcW w:w="1725"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677"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701"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作为业务骨干参与2项多中心临床研究，是知识产权1的第3作者，知识产权2的共同第一作者。见必备附件1-1和1-2。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魏东</w:t>
            </w:r>
          </w:p>
        </w:tc>
        <w:tc>
          <w:tcPr>
            <w:tcW w:w="708"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13</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副主任</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副主任医师</w:t>
            </w:r>
          </w:p>
        </w:tc>
        <w:tc>
          <w:tcPr>
            <w:tcW w:w="1725"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677"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701"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参与INCNS评分系统的建立，是主要知识产权7的编者。见其他附件2-4。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史明</w:t>
            </w:r>
          </w:p>
        </w:tc>
        <w:tc>
          <w:tcPr>
            <w:tcW w:w="708"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14</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副主任</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副主任医师</w:t>
            </w:r>
          </w:p>
        </w:tc>
        <w:tc>
          <w:tcPr>
            <w:tcW w:w="1725"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677"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701"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开展脑卒中后神经保护相关研究，为项目完成提供理论基础。见其他附件2-27。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张潇</w:t>
            </w:r>
          </w:p>
        </w:tc>
        <w:tc>
          <w:tcPr>
            <w:tcW w:w="708"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15</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无</w:t>
            </w:r>
          </w:p>
        </w:tc>
        <w:tc>
          <w:tcPr>
            <w:tcW w:w="1276"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主治医师</w:t>
            </w:r>
          </w:p>
        </w:tc>
        <w:tc>
          <w:tcPr>
            <w:tcW w:w="1725"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677"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701" w:type="dxa"/>
            <w:vAlign w:val="center"/>
          </w:tcPr>
          <w:p>
            <w:pPr>
              <w:adjustRightInd w:val="0"/>
              <w:snapToGrid w:val="0"/>
              <w:rPr>
                <w:rFonts w:ascii="Times New Roman" w:hAnsi="Times New Roman" w:eastAsia="仿宋" w:cs="Times New Roman"/>
                <w:sz w:val="24"/>
                <w:szCs w:val="24"/>
              </w:rPr>
            </w:pPr>
            <w:r>
              <w:rPr>
                <w:rFonts w:ascii="Times New Roman" w:hAnsi="Times New Roman" w:eastAsia="仿宋" w:cs="Times New Roman"/>
                <w:sz w:val="24"/>
                <w:szCs w:val="24"/>
              </w:rPr>
              <w:t>开展脑卒中后神经保护相关研究，为项目完成提供理论基础。见其他附件2-27。</w:t>
            </w:r>
          </w:p>
        </w:tc>
      </w:tr>
    </w:tbl>
    <w:p>
      <w:pPr>
        <w:spacing w:before="156" w:beforeLines="50" w:after="156" w:afterLines="50" w:line="340" w:lineRule="exact"/>
        <w:rPr>
          <w:rFonts w:ascii="Times New Roman" w:hAnsi="Times New Roman" w:eastAsia="仿宋_GB2312" w:cs="Times New Roman"/>
          <w:sz w:val="32"/>
        </w:rPr>
      </w:pPr>
    </w:p>
    <w:p>
      <w:pPr>
        <w:widowControl/>
        <w:jc w:val="left"/>
        <w:rPr>
          <w:rFonts w:ascii="Times New Roman" w:hAnsi="Times New Roman" w:eastAsia="仿宋_GB2312" w:cs="Times New Roman"/>
          <w:sz w:val="32"/>
        </w:rPr>
      </w:pPr>
      <w:r>
        <w:rPr>
          <w:rFonts w:ascii="Times New Roman" w:hAnsi="Times New Roman" w:eastAsia="仿宋_GB2312" w:cs="Times New Roman"/>
          <w:sz w:val="32"/>
        </w:rPr>
        <w:br w:type="page"/>
      </w:r>
    </w:p>
    <w:p>
      <w:pPr>
        <w:spacing w:before="156" w:beforeLines="50" w:after="156" w:afterLines="50" w:line="340" w:lineRule="exact"/>
        <w:ind w:firstLine="640" w:firstLineChars="200"/>
        <w:rPr>
          <w:rFonts w:hint="eastAsia" w:ascii="黑体" w:hAnsi="黑体" w:eastAsia="黑体" w:cs="黑体"/>
          <w:sz w:val="32"/>
        </w:rPr>
      </w:pPr>
      <w:bookmarkStart w:id="2" w:name="_GoBack"/>
      <w:r>
        <w:rPr>
          <w:rFonts w:hint="eastAsia" w:ascii="黑体" w:hAnsi="黑体" w:eastAsia="黑体" w:cs="黑体"/>
          <w:sz w:val="32"/>
        </w:rPr>
        <w:t>三、主要完成单位及创新推广贡献</w:t>
      </w:r>
    </w:p>
    <w:bookmarkEnd w:id="2"/>
    <w:tbl>
      <w:tblPr>
        <w:tblStyle w:val="8"/>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951"/>
        <w:gridCol w:w="1843"/>
        <w:gridCol w:w="524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pPr>
              <w:snapToGrid w:val="0"/>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完成单位</w:t>
            </w:r>
          </w:p>
        </w:tc>
        <w:tc>
          <w:tcPr>
            <w:tcW w:w="1843" w:type="dxa"/>
          </w:tcPr>
          <w:p>
            <w:pPr>
              <w:snapToGrid w:val="0"/>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排名</w:t>
            </w:r>
          </w:p>
        </w:tc>
        <w:tc>
          <w:tcPr>
            <w:tcW w:w="5245" w:type="dxa"/>
          </w:tcPr>
          <w:p>
            <w:pPr>
              <w:snapToGrid w:val="0"/>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创新推广贡献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pPr>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w:t>
            </w:r>
          </w:p>
        </w:tc>
        <w:tc>
          <w:tcPr>
            <w:tcW w:w="1843" w:type="dxa"/>
          </w:tcPr>
          <w:p>
            <w:pPr>
              <w:snapToGrid w:val="0"/>
              <w:rPr>
                <w:rFonts w:ascii="Times New Roman" w:hAnsi="Times New Roman" w:eastAsia="仿宋" w:cs="Times New Roman"/>
                <w:sz w:val="24"/>
                <w:szCs w:val="24"/>
              </w:rPr>
            </w:pPr>
            <w:r>
              <w:rPr>
                <w:rFonts w:ascii="Times New Roman" w:hAnsi="Times New Roman" w:eastAsia="仿宋" w:cs="Times New Roman"/>
                <w:sz w:val="24"/>
                <w:szCs w:val="24"/>
              </w:rPr>
              <w:t>1</w:t>
            </w:r>
          </w:p>
        </w:tc>
        <w:tc>
          <w:tcPr>
            <w:tcW w:w="5245" w:type="dxa"/>
          </w:tcPr>
          <w:p>
            <w:pPr>
              <w:snapToGrid w:val="0"/>
              <w:rPr>
                <w:rFonts w:ascii="Times New Roman" w:hAnsi="Times New Roman" w:eastAsia="仿宋" w:cs="Times New Roman"/>
                <w:sz w:val="24"/>
                <w:szCs w:val="24"/>
              </w:rPr>
            </w:pPr>
            <w:r>
              <w:rPr>
                <w:rFonts w:ascii="Times New Roman" w:hAnsi="Times New Roman" w:eastAsia="仿宋" w:cs="Times New Roman"/>
                <w:sz w:val="24"/>
                <w:szCs w:val="24"/>
              </w:rPr>
              <w:t>空军军医大学是本项目的主要发起单位，空军军医大学第一附属医院神经内科是陕西省脑血管病临床医学研究中心，总体统筹本项目的开展，为项目的实施提供了强有力的技术支持和资金保障。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pPr>
              <w:snapToGrid w:val="0"/>
              <w:rPr>
                <w:rFonts w:ascii="Times New Roman" w:hAnsi="Times New Roman" w:eastAsia="仿宋" w:cs="Times New Roman"/>
                <w:sz w:val="24"/>
                <w:szCs w:val="24"/>
              </w:rPr>
            </w:pPr>
            <w:r>
              <w:rPr>
                <w:rFonts w:ascii="Times New Roman" w:hAnsi="Times New Roman" w:eastAsia="仿宋" w:cs="Times New Roman"/>
                <w:sz w:val="24"/>
                <w:szCs w:val="24"/>
              </w:rPr>
              <w:t>西安金磁纳米生物技术有限公司</w:t>
            </w:r>
          </w:p>
        </w:tc>
        <w:tc>
          <w:tcPr>
            <w:tcW w:w="1843" w:type="dxa"/>
          </w:tcPr>
          <w:p>
            <w:pPr>
              <w:snapToGrid w:val="0"/>
              <w:rPr>
                <w:rFonts w:ascii="Times New Roman" w:hAnsi="Times New Roman" w:eastAsia="仿宋" w:cs="Times New Roman"/>
                <w:sz w:val="24"/>
                <w:szCs w:val="24"/>
              </w:rPr>
            </w:pPr>
            <w:r>
              <w:rPr>
                <w:rFonts w:ascii="Times New Roman" w:hAnsi="Times New Roman" w:eastAsia="仿宋" w:cs="Times New Roman"/>
                <w:sz w:val="24"/>
                <w:szCs w:val="24"/>
              </w:rPr>
              <w:t>2</w:t>
            </w:r>
          </w:p>
        </w:tc>
        <w:tc>
          <w:tcPr>
            <w:tcW w:w="5245" w:type="dxa"/>
          </w:tcPr>
          <w:p>
            <w:pPr>
              <w:snapToGrid w:val="0"/>
              <w:rPr>
                <w:rFonts w:ascii="Times New Roman" w:hAnsi="Times New Roman" w:eastAsia="仿宋" w:cs="Times New Roman"/>
                <w:sz w:val="24"/>
                <w:szCs w:val="24"/>
              </w:rPr>
            </w:pPr>
            <w:r>
              <w:rPr>
                <w:rFonts w:ascii="Times New Roman" w:hAnsi="Times New Roman" w:eastAsia="仿宋" w:cs="Times New Roman"/>
                <w:sz w:val="24"/>
                <w:szCs w:val="24"/>
              </w:rPr>
              <w:t>西安金磁纳米生物技术有限公司是本项目的重要参与单位，与空军军医大学共同研发弱磁定量即时检测技术，为该检测方法的实现提供全方位的技术解决方案。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pPr>
              <w:snapToGrid w:val="0"/>
              <w:rPr>
                <w:rFonts w:ascii="Times New Roman" w:hAnsi="Times New Roman" w:eastAsia="仿宋" w:cs="Times New Roman"/>
                <w:sz w:val="24"/>
                <w:szCs w:val="24"/>
              </w:rPr>
            </w:pPr>
            <w:r>
              <w:rPr>
                <w:rFonts w:ascii="Times New Roman" w:hAnsi="Times New Roman" w:eastAsia="仿宋" w:cs="Times New Roman"/>
                <w:sz w:val="24"/>
                <w:szCs w:val="24"/>
              </w:rPr>
              <w:t>南方医科大学南方医院</w:t>
            </w:r>
          </w:p>
        </w:tc>
        <w:tc>
          <w:tcPr>
            <w:tcW w:w="1843" w:type="dxa"/>
          </w:tcPr>
          <w:p>
            <w:pPr>
              <w:snapToGrid w:val="0"/>
              <w:rPr>
                <w:rFonts w:ascii="Times New Roman" w:hAnsi="Times New Roman" w:eastAsia="仿宋" w:cs="Times New Roman"/>
                <w:sz w:val="24"/>
                <w:szCs w:val="24"/>
              </w:rPr>
            </w:pPr>
            <w:r>
              <w:rPr>
                <w:rFonts w:ascii="Times New Roman" w:hAnsi="Times New Roman" w:eastAsia="仿宋" w:cs="Times New Roman"/>
                <w:sz w:val="24"/>
                <w:szCs w:val="24"/>
              </w:rPr>
              <w:t>3</w:t>
            </w:r>
          </w:p>
        </w:tc>
        <w:tc>
          <w:tcPr>
            <w:tcW w:w="5245" w:type="dxa"/>
          </w:tcPr>
          <w:p>
            <w:pPr>
              <w:snapToGrid w:val="0"/>
              <w:rPr>
                <w:rFonts w:ascii="Times New Roman" w:hAnsi="Times New Roman" w:eastAsia="仿宋" w:cs="Times New Roman"/>
                <w:sz w:val="24"/>
                <w:szCs w:val="24"/>
              </w:rPr>
            </w:pPr>
            <w:r>
              <w:rPr>
                <w:rFonts w:ascii="Times New Roman" w:hAnsi="Times New Roman" w:eastAsia="仿宋" w:cs="Times New Roman"/>
                <w:sz w:val="24"/>
                <w:szCs w:val="24"/>
              </w:rPr>
              <w:t>南方医科大学南方医院神经内科是国家重点专科建设单位、广东省转化医学创新平台，实验条件和实验设备完善，完成重症脑卒中后脑水肿救治关键机制研究，为格列本脲治疗重症脑卒中后脑水肿提供了理论支撑。</w:t>
            </w:r>
          </w:p>
        </w:tc>
      </w:tr>
    </w:tbl>
    <w:p>
      <w:pPr>
        <w:ind w:firstLine="640" w:firstLineChars="200"/>
        <w:rPr>
          <w:rFonts w:hint="eastAsia" w:ascii="黑体" w:hAnsi="黑体" w:eastAsia="黑体" w:cs="黑体"/>
          <w:sz w:val="32"/>
        </w:rPr>
      </w:pPr>
      <w:r>
        <w:rPr>
          <w:rFonts w:hint="eastAsia" w:ascii="黑体" w:hAnsi="黑体" w:eastAsia="黑体" w:cs="黑体"/>
          <w:sz w:val="32"/>
        </w:rPr>
        <w:t>四、提名者</w:t>
      </w:r>
    </w:p>
    <w:p>
      <w:pPr>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陕西省卫生健康委员会</w:t>
      </w:r>
    </w:p>
    <w:p>
      <w:pPr>
        <w:ind w:firstLine="640" w:firstLineChars="200"/>
        <w:rPr>
          <w:rFonts w:hint="eastAsia" w:ascii="黑体" w:hAnsi="黑体" w:eastAsia="黑体" w:cs="黑体"/>
          <w:sz w:val="32"/>
        </w:rPr>
      </w:pPr>
      <w:r>
        <w:rPr>
          <w:rFonts w:hint="eastAsia" w:ascii="黑体" w:hAnsi="黑体" w:eastAsia="黑体" w:cs="黑体"/>
          <w:sz w:val="32"/>
        </w:rPr>
        <w:t>五、提名意见</w:t>
      </w:r>
    </w:p>
    <w:p>
      <w:pPr>
        <w:spacing w:line="360" w:lineRule="auto"/>
        <w:ind w:firstLine="480" w:firstLineChars="200"/>
        <w:rPr>
          <w:rFonts w:ascii="Times New Roman" w:hAnsi="Times New Roman" w:eastAsia="仿宋" w:cs="Times New Roman"/>
          <w:sz w:val="28"/>
          <w:szCs w:val="28"/>
        </w:rPr>
      </w:pPr>
      <w:r>
        <w:rPr>
          <w:rFonts w:hint="eastAsia" w:ascii="Times New Roman" w:hAnsi="Times New Roman" w:eastAsia="仿宋" w:cs="Times New Roman"/>
          <w:sz w:val="24"/>
          <w:szCs w:val="24"/>
          <w:lang w:val="en-US" w:eastAsia="zh-CN"/>
        </w:rPr>
        <w:t>拟提名</w:t>
      </w:r>
      <w:r>
        <w:rPr>
          <w:rFonts w:ascii="Times New Roman" w:hAnsi="Times New Roman" w:eastAsia="仿宋" w:cs="Times New Roman"/>
          <w:sz w:val="24"/>
          <w:szCs w:val="24"/>
        </w:rPr>
        <w:t>陕西省科学技术奖。</w:t>
      </w:r>
    </w:p>
    <w:p>
      <w:pPr>
        <w:ind w:firstLine="640" w:firstLineChars="200"/>
        <w:rPr>
          <w:rFonts w:hint="eastAsia" w:ascii="黑体" w:hAnsi="黑体" w:eastAsia="黑体" w:cs="黑体"/>
          <w:sz w:val="32"/>
        </w:rPr>
      </w:pPr>
      <w:r>
        <w:rPr>
          <w:rFonts w:hint="eastAsia" w:ascii="黑体" w:hAnsi="黑体" w:eastAsia="黑体" w:cs="黑体"/>
          <w:sz w:val="32"/>
        </w:rPr>
        <w:t>六、项目简介</w:t>
      </w:r>
    </w:p>
    <w:p>
      <w:pPr>
        <w:spacing w:line="360" w:lineRule="auto"/>
        <w:ind w:firstLine="480" w:firstLineChars="200"/>
        <w:rPr>
          <w:rFonts w:ascii="Times New Roman" w:hAnsi="Times New Roman" w:eastAsia="仿宋" w:cs="Times New Roman"/>
          <w:bCs/>
          <w:sz w:val="24"/>
          <w:szCs w:val="24"/>
        </w:rPr>
      </w:pPr>
      <w:r>
        <w:rPr>
          <w:rFonts w:ascii="Times New Roman" w:hAnsi="Times New Roman" w:eastAsia="仿宋" w:cs="Times New Roman"/>
          <w:bCs/>
          <w:sz w:val="24"/>
          <w:szCs w:val="24"/>
        </w:rPr>
        <w:t>脑卒中是中国居民死亡原因的第一位疾病，具有高发病率、高致残率、高死亡率的特点，</w:t>
      </w:r>
      <w:r>
        <w:rPr>
          <w:rFonts w:ascii="Times New Roman" w:hAnsi="Times New Roman" w:eastAsia="仿宋" w:cs="Times New Roman"/>
          <w:bCs/>
          <w:spacing w:val="2"/>
          <w:sz w:val="24"/>
          <w:szCs w:val="24"/>
        </w:rPr>
        <w:t>其防治工作已被列入“健康中国2030”重点战略。</w:t>
      </w:r>
      <w:r>
        <w:rPr>
          <w:rFonts w:ascii="Times New Roman" w:hAnsi="Times New Roman" w:eastAsia="仿宋" w:cs="Times New Roman"/>
          <w:bCs/>
          <w:sz w:val="24"/>
          <w:szCs w:val="24"/>
        </w:rPr>
        <w:t>重症脑卒中是导致患者神经功能重度受损的一类严重脑血管病，患者可同时出现呼吸、循环等多系统功能严重障碍，死亡风险高达30～50%。因此，聚焦重症脑卒中诊治技术对降低脑卒中死亡率、改善患者预后意义重大。</w:t>
      </w:r>
    </w:p>
    <w:p>
      <w:pPr>
        <w:spacing w:before="156" w:beforeLines="50" w:line="360" w:lineRule="auto"/>
        <w:ind w:firstLine="480" w:firstLineChars="200"/>
        <w:rPr>
          <w:rFonts w:ascii="Times New Roman" w:hAnsi="Times New Roman" w:eastAsia="仿宋" w:cs="Times New Roman"/>
          <w:bCs/>
          <w:sz w:val="24"/>
          <w:szCs w:val="24"/>
        </w:rPr>
      </w:pPr>
      <w:r>
        <w:rPr>
          <w:rFonts w:ascii="Times New Roman" w:hAnsi="Times New Roman" w:eastAsia="仿宋" w:cs="Times New Roman"/>
          <w:bCs/>
          <w:sz w:val="24"/>
          <w:szCs w:val="24"/>
        </w:rPr>
        <w:t>对重症脑卒中救治关键点进行分析，发现其诊治存在以下难题：（1）诊断精度缺乏时效性：缺乏急性期床旁高精度病情评价工具，影响了病情的动态评估、病因的实时诊断和急救方案的准确制定；（2）脑损伤救治缺乏靶向性：缺乏针对脑卒中后脑水肿的靶向治疗方法，使得大量重症脑卒中患者发生恶性脑水肿引发不良预后；（3）系统性救治缺乏精准性：重症脑卒中后血压变化和营养不良与死亡率密切相关，但传统的系统性治疗方案缺乏精准性，无法有效改善预后。针对以上问题，项目组历经10余年，在26项国家和省部级课题的资助下，取得了以下创新性成果：</w:t>
      </w:r>
    </w:p>
    <w:p>
      <w:pPr>
        <w:numPr>
          <w:ilvl w:val="0"/>
          <w:numId w:val="1"/>
        </w:numPr>
        <w:spacing w:line="360" w:lineRule="auto"/>
        <w:rPr>
          <w:rFonts w:ascii="Times New Roman" w:hAnsi="Times New Roman" w:eastAsia="仿宋" w:cs="Times New Roman"/>
          <w:b/>
          <w:sz w:val="24"/>
          <w:szCs w:val="24"/>
        </w:rPr>
      </w:pPr>
      <w:r>
        <w:rPr>
          <w:rFonts w:ascii="Times New Roman" w:hAnsi="Times New Roman" w:eastAsia="仿宋" w:cs="Times New Roman"/>
          <w:b/>
          <w:sz w:val="24"/>
          <w:szCs w:val="24"/>
        </w:rPr>
        <w:t>创建INCNS病情评估系统，实现病情评估的整合性、精准性、动态性；研发“弱磁定量即时检测技术”，实现“10分钟”病因诊断，完成产业化。</w:t>
      </w:r>
    </w:p>
    <w:p>
      <w:pPr>
        <w:numPr>
          <w:ilvl w:val="0"/>
          <w:numId w:val="1"/>
        </w:numPr>
        <w:spacing w:line="360" w:lineRule="auto"/>
        <w:rPr>
          <w:rFonts w:ascii="Times New Roman" w:hAnsi="Times New Roman" w:eastAsia="仿宋" w:cs="Times New Roman"/>
          <w:b/>
          <w:sz w:val="24"/>
          <w:szCs w:val="24"/>
        </w:rPr>
      </w:pPr>
      <w:r>
        <w:rPr>
          <w:rFonts w:ascii="Times New Roman" w:hAnsi="Times New Roman" w:eastAsia="仿宋" w:cs="Times New Roman"/>
          <w:b/>
          <w:sz w:val="24"/>
          <w:szCs w:val="24"/>
        </w:rPr>
        <w:t>发现脑卒中后脑水肿治疗新靶点——Sur1-Trpm4通道，应用格列本脲靶向治疗，显著改善患者预后。</w:t>
      </w:r>
    </w:p>
    <w:p>
      <w:pPr>
        <w:numPr>
          <w:ilvl w:val="0"/>
          <w:numId w:val="1"/>
        </w:numPr>
        <w:spacing w:line="360" w:lineRule="auto"/>
        <w:rPr>
          <w:rFonts w:ascii="Times New Roman" w:hAnsi="Times New Roman" w:eastAsia="仿宋" w:cs="Times New Roman"/>
          <w:b/>
          <w:sz w:val="24"/>
          <w:szCs w:val="24"/>
        </w:rPr>
      </w:pPr>
      <w:r>
        <w:rPr>
          <w:rFonts w:ascii="Times New Roman" w:hAnsi="Times New Roman" w:eastAsia="仿宋" w:cs="Times New Roman"/>
          <w:b/>
          <w:sz w:val="24"/>
          <w:szCs w:val="24"/>
        </w:rPr>
        <w:t>靶向重症脑卒中后脑灌注压管理和营养支持治疗，提出个体化血压管控新策略和肠内营养治疗新方案，显著改善患者预后。</w:t>
      </w:r>
    </w:p>
    <w:p>
      <w:pPr>
        <w:spacing w:line="360" w:lineRule="auto"/>
        <w:ind w:firstLine="480" w:firstLineChars="200"/>
        <w:rPr>
          <w:rFonts w:ascii="Times New Roman" w:hAnsi="Times New Roman" w:eastAsia="仿宋" w:cs="Times New Roman"/>
          <w:bCs/>
          <w:sz w:val="24"/>
          <w:szCs w:val="24"/>
        </w:rPr>
      </w:pPr>
      <w:r>
        <w:rPr>
          <w:rFonts w:ascii="Times New Roman" w:hAnsi="Times New Roman" w:eastAsia="仿宋" w:cs="Times New Roman"/>
          <w:bCs/>
          <w:sz w:val="24"/>
          <w:szCs w:val="24"/>
        </w:rPr>
        <w:t>综上，本项目围绕重症脑卒中临床救治关键环节，实现了诊断精度的时效性、脑损伤救治的靶向性以及系统性救治的精准性，使得重症脑卒中3月死亡率从26%降至17%，达到国内领先水平。本项目发表SCI论文75篇（IF＞10分4篇，最高IF 59.9分）；出版专著4部；获批国家医疗器械注册3项，授权国家发明专利4项、实用新型专利和软件著作权19项；培养29名研究生，培养中国科协青年人才托举计划、陕西省“特支计划”科技创新领军人才、陕西省青年科技奖、陕西省优秀博士论文、陕西省研究生创新成果奖等一批省部级以上优秀科技人才。每年举办1次陕西省脑卒中大会、2场重症脑卒中高级培训班、10场WORKSHOP培训班、10场专题巡讲。培养具备重症脑卒中救治能力的专科医师1123名；形成的重症脑卒中救治技术在全国56家医院推广应用，显著降低重症脑卒中死亡率、提高患者远期预后，获得了较好的社会效益。为我国重症脑卒中救治，特别是陕西省重症脑卒中救治，做出了重要贡献。</w:t>
      </w:r>
    </w:p>
    <w:p>
      <w:pPr>
        <w:ind w:firstLine="640" w:firstLineChars="200"/>
        <w:rPr>
          <w:rFonts w:hint="eastAsia" w:ascii="黑体" w:hAnsi="黑体" w:eastAsia="黑体" w:cs="黑体"/>
          <w:sz w:val="32"/>
        </w:rPr>
      </w:pPr>
      <w:r>
        <w:rPr>
          <w:rFonts w:hint="eastAsia" w:ascii="黑体" w:hAnsi="黑体" w:eastAsia="黑体" w:cs="黑体"/>
          <w:sz w:val="32"/>
        </w:rPr>
        <w:t>七、客观评价</w:t>
      </w:r>
    </w:p>
    <w:p>
      <w:pPr>
        <w:pStyle w:val="3"/>
        <w:numPr>
          <w:ilvl w:val="0"/>
          <w:numId w:val="2"/>
        </w:numPr>
        <w:ind w:firstLineChars="0"/>
        <w:rPr>
          <w:rFonts w:ascii="Times New Roman" w:eastAsia="仿宋" w:cs="Times New Roman"/>
          <w:b/>
          <w:bCs/>
          <w:szCs w:val="24"/>
        </w:rPr>
      </w:pPr>
      <w:r>
        <w:rPr>
          <w:rFonts w:ascii="Times New Roman" w:eastAsia="仿宋" w:cs="Times New Roman"/>
          <w:b/>
          <w:bCs/>
          <w:szCs w:val="24"/>
        </w:rPr>
        <w:t>科技查新结论[其他附件2-20至2-24]</w:t>
      </w:r>
    </w:p>
    <w:p>
      <w:pPr>
        <w:pStyle w:val="3"/>
        <w:ind w:firstLine="0" w:firstLineChars="0"/>
        <w:rPr>
          <w:rFonts w:ascii="Times New Roman" w:eastAsia="仿宋" w:cs="Times New Roman"/>
          <w:szCs w:val="24"/>
        </w:rPr>
      </w:pPr>
      <w:r>
        <w:rPr>
          <w:rFonts w:ascii="Times New Roman" w:eastAsia="仿宋" w:cs="Times New Roman"/>
          <w:szCs w:val="24"/>
        </w:rPr>
        <w:t xml:space="preserve">   综合国内外相关文献并委托项目查新点进行对比，得出以下结论：</w:t>
      </w:r>
    </w:p>
    <w:p>
      <w:pPr>
        <w:pStyle w:val="3"/>
        <w:ind w:firstLine="0" w:firstLineChars="0"/>
        <w:rPr>
          <w:rFonts w:ascii="Times New Roman" w:eastAsia="仿宋" w:cs="Times New Roman"/>
          <w:szCs w:val="24"/>
        </w:rPr>
      </w:pPr>
      <w:r>
        <w:rPr>
          <w:rFonts w:ascii="Times New Roman" w:eastAsia="仿宋" w:cs="Times New Roman"/>
          <w:szCs w:val="24"/>
        </w:rPr>
        <w:t xml:space="preserve">   </w:t>
      </w:r>
      <w:r>
        <w:rPr>
          <w:rFonts w:ascii="Times New Roman" w:eastAsia="仿宋" w:cs="Times New Roman"/>
          <w:b/>
          <w:bCs/>
          <w:szCs w:val="24"/>
        </w:rPr>
        <w:t>创新点1：</w:t>
      </w:r>
      <w:r>
        <w:rPr>
          <w:rFonts w:ascii="Times New Roman" w:eastAsia="仿宋" w:cs="Times New Roman"/>
          <w:szCs w:val="24"/>
        </w:rPr>
        <w:t>国内外未见“开发和验证用于预测神经危重症患者功能结果的新评分：INCNS评分”的相同文献报道；国内外未见“弱磁全定量即时检测技术在人血NT-proBNP检测中应用”的相同文献报道。</w:t>
      </w:r>
    </w:p>
    <w:p>
      <w:pPr>
        <w:pStyle w:val="3"/>
        <w:ind w:firstLine="0" w:firstLineChars="0"/>
        <w:rPr>
          <w:rFonts w:ascii="Times New Roman" w:eastAsia="仿宋" w:cs="Times New Roman"/>
          <w:szCs w:val="24"/>
        </w:rPr>
      </w:pPr>
      <w:r>
        <w:rPr>
          <w:rFonts w:ascii="Times New Roman" w:eastAsia="仿宋" w:cs="Times New Roman"/>
          <w:szCs w:val="24"/>
        </w:rPr>
        <w:t xml:space="preserve">   </w:t>
      </w:r>
      <w:r>
        <w:rPr>
          <w:rFonts w:ascii="Times New Roman" w:eastAsia="仿宋" w:cs="Times New Roman"/>
          <w:b/>
          <w:bCs/>
          <w:szCs w:val="24"/>
        </w:rPr>
        <w:t>创新点2：</w:t>
      </w:r>
      <w:r>
        <w:rPr>
          <w:rFonts w:ascii="Times New Roman" w:eastAsia="仿宋" w:cs="Times New Roman"/>
          <w:szCs w:val="24"/>
        </w:rPr>
        <w:t>国内外未见“格列本脲治疗脑出血的有效性和安全性GATE研究”内容相同的文献报道。</w:t>
      </w:r>
    </w:p>
    <w:p>
      <w:pPr>
        <w:pStyle w:val="3"/>
        <w:ind w:firstLine="0" w:firstLineChars="0"/>
        <w:rPr>
          <w:rFonts w:ascii="Times New Roman" w:eastAsia="仿宋" w:cs="Times New Roman"/>
          <w:szCs w:val="24"/>
        </w:rPr>
      </w:pPr>
      <w:r>
        <w:rPr>
          <w:rFonts w:ascii="Times New Roman" w:eastAsia="仿宋" w:cs="Times New Roman"/>
          <w:szCs w:val="24"/>
        </w:rPr>
        <w:t xml:space="preserve">   </w:t>
      </w:r>
      <w:r>
        <w:rPr>
          <w:rFonts w:ascii="Times New Roman" w:eastAsia="仿宋" w:cs="Times New Roman"/>
          <w:b/>
          <w:bCs/>
          <w:szCs w:val="24"/>
        </w:rPr>
        <w:t>创新点3：</w:t>
      </w:r>
      <w:r>
        <w:rPr>
          <w:rFonts w:ascii="Times New Roman" w:eastAsia="仿宋" w:cs="Times New Roman"/>
          <w:szCs w:val="24"/>
        </w:rPr>
        <w:t>国内外未见“重症脑卒中后高血压管理CHASE研究”内容相同的文献报道；国内外未见“重症脑卒中后营养管理OPENS研究”内容相同的文献报道。</w:t>
      </w:r>
    </w:p>
    <w:p>
      <w:pPr>
        <w:pStyle w:val="3"/>
        <w:ind w:firstLine="0" w:firstLineChars="0"/>
        <w:rPr>
          <w:rFonts w:ascii="Times New Roman" w:eastAsia="仿宋" w:cs="Times New Roman"/>
          <w:szCs w:val="24"/>
        </w:rPr>
      </w:pPr>
      <w:r>
        <w:rPr>
          <w:rFonts w:ascii="Times New Roman" w:eastAsia="仿宋" w:cs="Times New Roman"/>
          <w:szCs w:val="24"/>
        </w:rPr>
        <w:t xml:space="preserve">   从综合分析比较可以看出，在国内外公开发表的文献中未见与本项目创新点内容相同的文献报道。</w:t>
      </w:r>
    </w:p>
    <w:p>
      <w:pPr>
        <w:pStyle w:val="3"/>
        <w:numPr>
          <w:ilvl w:val="0"/>
          <w:numId w:val="2"/>
        </w:numPr>
        <w:ind w:firstLineChars="0"/>
        <w:rPr>
          <w:rFonts w:ascii="Times New Roman" w:eastAsia="仿宋" w:cs="Times New Roman"/>
          <w:b/>
          <w:bCs/>
          <w:szCs w:val="24"/>
        </w:rPr>
      </w:pPr>
      <w:r>
        <w:rPr>
          <w:rFonts w:ascii="Times New Roman" w:eastAsia="仿宋" w:cs="Times New Roman"/>
          <w:b/>
          <w:bCs/>
          <w:szCs w:val="24"/>
        </w:rPr>
        <w:t>研究成果的第三方评价[其他附件2，第三方评价和指南引用]</w:t>
      </w:r>
    </w:p>
    <w:p>
      <w:pPr>
        <w:pStyle w:val="3"/>
        <w:numPr>
          <w:ilvl w:val="0"/>
          <w:numId w:val="3"/>
        </w:numPr>
        <w:ind w:firstLineChars="0"/>
        <w:rPr>
          <w:rFonts w:ascii="Times New Roman" w:eastAsia="仿宋" w:cs="Times New Roman"/>
          <w:szCs w:val="24"/>
        </w:rPr>
      </w:pPr>
      <w:r>
        <w:rPr>
          <w:rFonts w:ascii="Times New Roman" w:eastAsia="仿宋" w:cs="Times New Roman"/>
          <w:szCs w:val="24"/>
        </w:rPr>
        <w:t>本项目创建了重症脑卒中床旁INCNS评估体系，被国际同行独立验证：</w:t>
      </w:r>
      <w:r>
        <w:rPr>
          <w:rFonts w:hint="eastAsia" w:ascii="宋体" w:hAnsi="宋体" w:eastAsia="宋体" w:cs="宋体"/>
          <w:szCs w:val="24"/>
        </w:rPr>
        <w:t>①</w:t>
      </w:r>
      <w:r>
        <w:rPr>
          <w:rFonts w:ascii="Times New Roman" w:eastAsia="仿宋" w:cs="Times New Roman"/>
          <w:szCs w:val="24"/>
        </w:rPr>
        <w:t xml:space="preserve"> </w:t>
      </w:r>
      <w:r>
        <w:fldChar w:fldCharType="begin"/>
      </w:r>
      <w:r>
        <w:instrText xml:space="preserve"> HYPERLINK "https://pubmed.ncbi.nlm.nih.gov/?term=G%C3%BCrsoy+G&amp;cauthor_id=33107957" </w:instrText>
      </w:r>
      <w:r>
        <w:fldChar w:fldCharType="separate"/>
      </w:r>
      <w:r>
        <w:rPr>
          <w:rFonts w:ascii="Times New Roman" w:eastAsia="仿宋" w:cs="Times New Roman"/>
          <w:szCs w:val="24"/>
        </w:rPr>
        <w:t>Güven Gürsoy</w:t>
      </w:r>
      <w:r>
        <w:rPr>
          <w:rFonts w:ascii="Times New Roman" w:eastAsia="仿宋" w:cs="Times New Roman"/>
          <w:szCs w:val="24"/>
        </w:rPr>
        <w:fldChar w:fldCharType="end"/>
      </w:r>
      <w:r>
        <w:rPr>
          <w:rFonts w:ascii="Times New Roman" w:eastAsia="仿宋" w:cs="Times New Roman"/>
          <w:szCs w:val="24"/>
        </w:rPr>
        <w:t>教授在Ulus Travma Acil Cerrahi Derg杂志上高度肯定了江文教授的研究，认为INCNS评估体系检验效能优于APACHE II等评分系统，可用于神经ICU患者管理。</w:t>
      </w:r>
      <w:r>
        <w:rPr>
          <w:rFonts w:hint="eastAsia" w:ascii="宋体" w:hAnsi="宋体" w:eastAsia="宋体" w:cs="宋体"/>
          <w:szCs w:val="24"/>
        </w:rPr>
        <w:t>②</w:t>
      </w:r>
      <w:r>
        <w:rPr>
          <w:rFonts w:ascii="Times New Roman" w:eastAsia="仿宋" w:cs="Times New Roman"/>
          <w:szCs w:val="24"/>
        </w:rPr>
        <w:t xml:space="preserve"> Monika Widiastuti教授在Migration Letters杂志中高度评价江文教授的研究，认为INCNS评估体系加入了神经系统查体关键内容，同时对于营养等系统性情况，提高了其对于预后的预测能力。因此，INCNS评估体系在辨别性、敏感性和特异性方面均明显优于APACHE II和SAPS II评分系统，更适用于管理神经重症ICU患者。</w:t>
      </w:r>
    </w:p>
    <w:p>
      <w:pPr>
        <w:pStyle w:val="3"/>
        <w:numPr>
          <w:ilvl w:val="0"/>
          <w:numId w:val="3"/>
        </w:numPr>
        <w:ind w:firstLineChars="0"/>
        <w:rPr>
          <w:rFonts w:ascii="Times New Roman" w:eastAsia="仿宋" w:cs="Times New Roman"/>
          <w:szCs w:val="24"/>
        </w:rPr>
      </w:pPr>
      <w:r>
        <w:rPr>
          <w:rFonts w:ascii="Times New Roman" w:eastAsia="仿宋" w:cs="Times New Roman"/>
          <w:szCs w:val="24"/>
        </w:rPr>
        <w:t>本项目发现重症脑卒中后脑水肿救治新靶点，首次采用特异性抑制剂格列本脲靶向治疗脑出血后脑水肿，被同行独立验证： Yueqiao Xu在Stroke Vasc Neurol杂志验证了格列本脲可治疗脑出血相关脑水肿。</w:t>
      </w:r>
    </w:p>
    <w:p>
      <w:pPr>
        <w:pStyle w:val="3"/>
        <w:numPr>
          <w:ilvl w:val="0"/>
          <w:numId w:val="3"/>
        </w:numPr>
        <w:ind w:firstLineChars="0"/>
        <w:rPr>
          <w:rFonts w:ascii="Times New Roman" w:eastAsia="仿宋" w:cs="Times New Roman"/>
          <w:szCs w:val="24"/>
        </w:rPr>
      </w:pPr>
      <w:r>
        <w:rPr>
          <w:rFonts w:ascii="Times New Roman" w:eastAsia="仿宋" w:cs="Times New Roman"/>
          <w:szCs w:val="24"/>
        </w:rPr>
        <w:t>本项目首创个体化血压管控新策略，成果受邀参加2018年9月第16届美国神经重症学会年会，并被评为优秀壁报。研究成果被</w:t>
      </w:r>
      <w:bookmarkStart w:id="1" w:name="OLE_LINK2"/>
      <w:r>
        <w:rPr>
          <w:rFonts w:ascii="Times New Roman" w:eastAsia="仿宋" w:cs="Times New Roman"/>
          <w:szCs w:val="24"/>
        </w:rPr>
        <w:t>意大利马尔凯理工大学实验与临床医学系神经内科Simona Lattanzi</w:t>
      </w:r>
      <w:bookmarkEnd w:id="1"/>
      <w:r>
        <w:rPr>
          <w:rFonts w:ascii="Times New Roman" w:eastAsia="仿宋" w:cs="Times New Roman"/>
          <w:szCs w:val="24"/>
        </w:rPr>
        <w:t>教授在J Clin Hypertens发表专题述评，高度评价江文教授CHASE研究系列研究成果，认为血压变异性是重症脑卒中血压管理的重要靶标，CHASE研究相关结果为脑卒中急性期对于血压波动的管理提供了重要证据。研究结果被列入多部指南（</w:t>
      </w:r>
      <w:r>
        <w:rPr>
          <w:rFonts w:hint="eastAsia" w:ascii="宋体" w:hAnsi="宋体" w:eastAsia="宋体" w:cs="宋体"/>
          <w:szCs w:val="24"/>
        </w:rPr>
        <w:t>①</w:t>
      </w:r>
      <w:r>
        <w:rPr>
          <w:rFonts w:ascii="Times New Roman" w:eastAsia="仿宋" w:cs="Times New Roman"/>
          <w:szCs w:val="24"/>
        </w:rPr>
        <w:t xml:space="preserve"> 台湾省血压管理指南，发表于 Acta Cardiol Sin. 2022 May;38(3):225-325.</w:t>
      </w:r>
      <w:r>
        <w:rPr>
          <w:rFonts w:hint="eastAsia" w:ascii="宋体" w:hAnsi="宋体" w:eastAsia="宋体" w:cs="宋体"/>
          <w:szCs w:val="24"/>
        </w:rPr>
        <w:t>②</w:t>
      </w:r>
      <w:r>
        <w:rPr>
          <w:rFonts w:ascii="Times New Roman" w:eastAsia="仿宋" w:cs="Times New Roman"/>
          <w:szCs w:val="24"/>
        </w:rPr>
        <w:t xml:space="preserve"> 欧洲脑小血管病管理指南，发表于Eur Stroke J. 2024 Mar;9(1):5-68.</w:t>
      </w:r>
      <w:r>
        <w:rPr>
          <w:rFonts w:hint="eastAsia" w:ascii="宋体" w:hAnsi="宋体" w:eastAsia="宋体" w:cs="宋体"/>
          <w:szCs w:val="24"/>
        </w:rPr>
        <w:t>③</w:t>
      </w:r>
      <w:r>
        <w:rPr>
          <w:rFonts w:ascii="Times New Roman" w:eastAsia="仿宋" w:cs="Times New Roman"/>
          <w:szCs w:val="24"/>
        </w:rPr>
        <w:t xml:space="preserve"> 欧洲脑卒中后血压管理指南Eur Stroke J. 2021 Jun;6(2):XLVIII-LXXXIX.），为指导临床实践做出了重要的贡献。</w:t>
      </w:r>
    </w:p>
    <w:p>
      <w:pPr>
        <w:pStyle w:val="3"/>
        <w:numPr>
          <w:ilvl w:val="0"/>
          <w:numId w:val="3"/>
        </w:numPr>
        <w:ind w:firstLineChars="0"/>
        <w:rPr>
          <w:rFonts w:ascii="Times New Roman" w:eastAsia="仿宋" w:cs="Times New Roman"/>
          <w:szCs w:val="24"/>
        </w:rPr>
      </w:pPr>
      <w:r>
        <w:rPr>
          <w:rFonts w:ascii="Times New Roman" w:eastAsia="仿宋" w:cs="Times New Roman"/>
          <w:szCs w:val="24"/>
        </w:rPr>
        <w:t>本项目创新性提出改良充分喂养方法，2022年论文发表在柳叶刀子刊《Lancet Neurol》，同期《Lancet Neurol》杂志发表专题述评，高度赞扬江文教授团队在重症脑卒中营养管理这个众所周知困难但又缺乏研究的领域完成了一项精心设计、十分务实的临床研究，称赞该研究关键结果对于指导临床实践发挥了积极的作用（Lancet Neurol. 2022 Apr;21(4):296-297.）。同时由于该研究对于重症脑卒中领域做出的重要贡献，研究成果获得2022年中国脑血管病临床研究十大进展奖。</w:t>
      </w:r>
    </w:p>
    <w:p>
      <w:pPr>
        <w:ind w:firstLine="640" w:firstLineChars="200"/>
        <w:rPr>
          <w:rFonts w:hint="eastAsia" w:ascii="黑体" w:hAnsi="黑体" w:eastAsia="黑体" w:cs="黑体"/>
          <w:sz w:val="32"/>
        </w:rPr>
      </w:pPr>
      <w:r>
        <w:rPr>
          <w:rFonts w:hint="eastAsia" w:ascii="黑体" w:hAnsi="黑体" w:eastAsia="黑体" w:cs="黑体"/>
          <w:sz w:val="32"/>
        </w:rPr>
        <w:t>八、应用情况</w:t>
      </w:r>
    </w:p>
    <w:p>
      <w:pPr>
        <w:spacing w:line="460" w:lineRule="exact"/>
        <w:ind w:firstLine="488" w:firstLineChars="200"/>
        <w:rPr>
          <w:rFonts w:ascii="Times New Roman" w:hAnsi="Times New Roman" w:eastAsia="仿宋" w:cs="Times New Roman"/>
          <w:bCs/>
          <w:spacing w:val="2"/>
          <w:sz w:val="24"/>
          <w:szCs w:val="24"/>
        </w:rPr>
      </w:pPr>
      <w:r>
        <w:rPr>
          <w:rFonts w:ascii="Times New Roman" w:hAnsi="Times New Roman" w:eastAsia="仿宋" w:cs="Times New Roman"/>
          <w:bCs/>
          <w:spacing w:val="2"/>
          <w:sz w:val="24"/>
          <w:szCs w:val="24"/>
        </w:rPr>
        <w:t>项目组自2010年开始，联合陕西省内多家医院及西安金磁纳米生物技术有限公司共同攻关脑血管病关键诊疗技术。2014年江文教授成立了陕西省医学会神经病学分会神经重症学组，作为组长带领陕西省各级医院在重症脑卒中患者救治方面做出了许多创新性工作。</w:t>
      </w:r>
    </w:p>
    <w:p>
      <w:pPr>
        <w:spacing w:line="460" w:lineRule="exact"/>
        <w:ind w:firstLine="488" w:firstLineChars="200"/>
        <w:rPr>
          <w:rFonts w:ascii="Times New Roman" w:hAnsi="Times New Roman" w:eastAsia="仿宋" w:cs="Times New Roman"/>
          <w:bCs/>
          <w:spacing w:val="2"/>
          <w:sz w:val="24"/>
          <w:szCs w:val="24"/>
        </w:rPr>
      </w:pPr>
      <w:r>
        <w:rPr>
          <w:rFonts w:ascii="Times New Roman" w:hAnsi="Times New Roman" w:eastAsia="仿宋" w:cs="Times New Roman"/>
          <w:bCs/>
          <w:spacing w:val="2"/>
          <w:sz w:val="24"/>
          <w:szCs w:val="24"/>
        </w:rPr>
        <w:t>项目组开发的关键创新性技术包括：</w:t>
      </w:r>
    </w:p>
    <w:p>
      <w:pPr>
        <w:spacing w:line="460" w:lineRule="exact"/>
        <w:ind w:firstLine="488" w:firstLineChars="200"/>
        <w:rPr>
          <w:rFonts w:ascii="Times New Roman" w:hAnsi="Times New Roman" w:eastAsia="仿宋" w:cs="Times New Roman"/>
          <w:bCs/>
          <w:spacing w:val="2"/>
          <w:sz w:val="24"/>
          <w:szCs w:val="24"/>
        </w:rPr>
      </w:pPr>
      <w:r>
        <w:rPr>
          <w:rFonts w:ascii="Times New Roman" w:hAnsi="Times New Roman" w:eastAsia="仿宋" w:cs="Times New Roman"/>
          <w:bCs/>
          <w:spacing w:val="2"/>
          <w:sz w:val="24"/>
          <w:szCs w:val="24"/>
        </w:rPr>
        <w:t>（1）研发的弱磁定量即时检测技术可实现床旁快速检测心源性卒中标志物NT-proBNP，减少重症脑卒中早期急救方案制定的延误，为重症脑卒中患者早期接受血管内治疗提供了重要参考依据。相关产品销售覆盖全国17个省</w:t>
      </w:r>
      <w:r>
        <w:rPr>
          <w:rFonts w:ascii="Times New Roman" w:hAnsi="Times New Roman" w:eastAsia="微软雅黑" w:cs="Times New Roman"/>
          <w:bCs/>
          <w:spacing w:val="2"/>
          <w:sz w:val="24"/>
          <w:szCs w:val="24"/>
        </w:rPr>
        <w:t>､</w:t>
      </w:r>
      <w:r>
        <w:rPr>
          <w:rFonts w:ascii="Times New Roman" w:hAnsi="Times New Roman" w:eastAsia="仿宋" w:cs="Times New Roman"/>
          <w:bCs/>
          <w:spacing w:val="2"/>
          <w:sz w:val="24"/>
          <w:szCs w:val="24"/>
        </w:rPr>
        <w:t>直辖市</w:t>
      </w:r>
      <w:r>
        <w:rPr>
          <w:rFonts w:ascii="Times New Roman" w:hAnsi="Times New Roman" w:eastAsia="微软雅黑" w:cs="Times New Roman"/>
          <w:bCs/>
          <w:spacing w:val="2"/>
          <w:sz w:val="24"/>
          <w:szCs w:val="24"/>
        </w:rPr>
        <w:t>､</w:t>
      </w:r>
      <w:r>
        <w:rPr>
          <w:rFonts w:ascii="Times New Roman" w:hAnsi="Times New Roman" w:eastAsia="仿宋" w:cs="Times New Roman"/>
          <w:bCs/>
          <w:spacing w:val="2"/>
          <w:sz w:val="24"/>
          <w:szCs w:val="24"/>
        </w:rPr>
        <w:t>自治区, 拥有二级甲等以上医院客户200余家，产生收益6435.37万元。</w:t>
      </w:r>
    </w:p>
    <w:p>
      <w:pPr>
        <w:spacing w:line="460" w:lineRule="exact"/>
        <w:ind w:firstLine="488" w:firstLineChars="200"/>
        <w:rPr>
          <w:rFonts w:ascii="Times New Roman" w:hAnsi="Times New Roman" w:eastAsia="仿宋" w:cs="Times New Roman"/>
          <w:bCs/>
          <w:spacing w:val="2"/>
          <w:sz w:val="24"/>
          <w:szCs w:val="24"/>
        </w:rPr>
      </w:pPr>
      <w:r>
        <w:rPr>
          <w:rFonts w:ascii="Times New Roman" w:hAnsi="Times New Roman" w:eastAsia="仿宋" w:cs="Times New Roman"/>
          <w:bCs/>
          <w:spacing w:val="2"/>
          <w:sz w:val="24"/>
          <w:szCs w:val="24"/>
        </w:rPr>
        <w:t>（2）项目组作为组长单位，牵头3项全国多中心RCT研究，联合全国50余家临床中心共同攻关重症脑卒中后脑损伤救治和系统性救治相关技术，开发的重症脑卒中后脑水肿救治技术、个体化血压管理策略、改良喂养方案等技术显著提升了相关单位重症脑卒中诊疗能力，提高了医疗效率，降低了医疗成本，改善了重症脑卒中患者预后。</w:t>
      </w:r>
    </w:p>
    <w:p>
      <w:pPr>
        <w:spacing w:line="460" w:lineRule="exact"/>
        <w:ind w:firstLine="488" w:firstLineChars="200"/>
        <w:rPr>
          <w:rFonts w:ascii="Times New Roman" w:hAnsi="Times New Roman" w:eastAsia="仿宋" w:cs="Times New Roman"/>
          <w:bCs/>
          <w:spacing w:val="2"/>
          <w:sz w:val="24"/>
          <w:szCs w:val="24"/>
        </w:rPr>
      </w:pPr>
      <w:r>
        <w:rPr>
          <w:rFonts w:ascii="Times New Roman" w:hAnsi="Times New Roman" w:eastAsia="仿宋" w:cs="Times New Roman"/>
          <w:bCs/>
          <w:spacing w:val="2"/>
          <w:sz w:val="24"/>
          <w:szCs w:val="24"/>
        </w:rPr>
        <w:t>（3）创建了INCNS病情评估体系，实现重症脑卒中早期病情评估的整合性、精准性、动态性，并开发了线上、线下评估软件，出版2部INCNS相关专著，获批1项软件著作权，每年举办1-2场INCNS培训班，相关技术在省内及全国推广应用。</w:t>
      </w:r>
    </w:p>
    <w:p>
      <w:pPr>
        <w:spacing w:line="460" w:lineRule="exact"/>
        <w:ind w:firstLine="488" w:firstLineChars="200"/>
        <w:rPr>
          <w:rFonts w:ascii="Times New Roman" w:hAnsi="Times New Roman" w:cs="Times New Roman"/>
          <w:bCs/>
          <w:spacing w:val="2"/>
          <w:sz w:val="24"/>
          <w:szCs w:val="24"/>
        </w:rPr>
      </w:pPr>
      <w:r>
        <w:rPr>
          <w:rFonts w:ascii="Times New Roman" w:hAnsi="Times New Roman" w:eastAsia="仿宋" w:cs="Times New Roman"/>
          <w:bCs/>
          <w:spacing w:val="2"/>
          <w:sz w:val="24"/>
          <w:szCs w:val="24"/>
        </w:rPr>
        <w:t>本项目各项创新研究成果在陕西省内及全国多家医院进行了推广和应用，包括西安医学院第一附属医院等全国56家临床中心，尤其是覆盖到陕西省十个地市，进一步明确重症脑卒中急性期救治关键技术与创新在临床实践中的作用，发现该技术可显著降低重症脑卒中死亡率、缩短患者住院时间、提高患者远期预后，节省了医疗成本，获得了较好的社会效益。</w:t>
      </w:r>
    </w:p>
    <w:p>
      <w:pPr>
        <w:spacing w:before="156" w:beforeLines="50" w:after="156" w:afterLines="50"/>
        <w:ind w:firstLine="490" w:firstLineChars="200"/>
        <w:rPr>
          <w:rFonts w:ascii="Times New Roman" w:hAnsi="Times New Roman" w:cs="Times New Roman"/>
          <w:sz w:val="28"/>
          <w:szCs w:val="18"/>
        </w:rPr>
      </w:pPr>
      <w:r>
        <w:rPr>
          <w:rFonts w:ascii="Times New Roman" w:hAnsi="Times New Roman" w:cs="Times New Roman"/>
          <w:b/>
          <w:spacing w:val="2"/>
          <w:sz w:val="24"/>
          <w:szCs w:val="24"/>
        </w:rPr>
        <w:t>主要应用单位情况如下表</w:t>
      </w:r>
      <w:r>
        <w:rPr>
          <w:rFonts w:ascii="Times New Roman" w:hAnsi="Times New Roman" w:cs="Times New Roman"/>
          <w:bCs/>
          <w:spacing w:val="2"/>
          <w:sz w:val="24"/>
          <w:szCs w:val="24"/>
        </w:rPr>
        <w:t>：</w:t>
      </w:r>
    </w:p>
    <w:tbl>
      <w:tblPr>
        <w:tblStyle w:val="7"/>
        <w:tblW w:w="88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1315"/>
        <w:gridCol w:w="1727"/>
        <w:gridCol w:w="1782"/>
        <w:gridCol w:w="1691"/>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588"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序号</w:t>
            </w:r>
          </w:p>
        </w:tc>
        <w:tc>
          <w:tcPr>
            <w:tcW w:w="1315"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应用单位</w:t>
            </w:r>
          </w:p>
        </w:tc>
        <w:tc>
          <w:tcPr>
            <w:tcW w:w="1727"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应用技术</w:t>
            </w:r>
          </w:p>
        </w:tc>
        <w:tc>
          <w:tcPr>
            <w:tcW w:w="1782"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应用对象及规模</w:t>
            </w:r>
          </w:p>
        </w:tc>
        <w:tc>
          <w:tcPr>
            <w:tcW w:w="1691"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应用起止时间</w:t>
            </w:r>
          </w:p>
        </w:tc>
        <w:tc>
          <w:tcPr>
            <w:tcW w:w="1774" w:type="dxa"/>
            <w:shd w:val="clear" w:color="auto" w:fill="auto"/>
          </w:tcPr>
          <w:p>
            <w:pPr>
              <w:rPr>
                <w:rFonts w:hint="eastAsia" w:ascii="Times New Roman" w:hAnsi="Times New Roman" w:eastAsia="仿宋" w:cs="Times New Roman"/>
                <w:sz w:val="22"/>
                <w:lang w:val="en-US" w:eastAsia="zh-CN"/>
              </w:rPr>
            </w:pPr>
            <w:r>
              <w:rPr>
                <w:rFonts w:hint="eastAsia" w:ascii="Times New Roman" w:hAnsi="Times New Roman" w:eastAsia="仿宋" w:cs="Times New Roman"/>
                <w:sz w:val="22"/>
                <w:lang w:val="en-US" w:eastAsia="zh-CN"/>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588" w:type="dxa"/>
            <w:shd w:val="clear" w:color="auto" w:fill="auto"/>
          </w:tcPr>
          <w:p>
            <w:pPr>
              <w:jc w:val="center"/>
              <w:rPr>
                <w:rFonts w:ascii="Times New Roman" w:hAnsi="Times New Roman" w:eastAsia="仿宋" w:cs="Times New Roman"/>
                <w:sz w:val="22"/>
              </w:rPr>
            </w:pPr>
            <w:r>
              <w:rPr>
                <w:rFonts w:ascii="Times New Roman" w:hAnsi="Times New Roman" w:eastAsia="仿宋" w:cs="Times New Roman"/>
                <w:sz w:val="22"/>
              </w:rPr>
              <w:t>1</w:t>
            </w:r>
          </w:p>
        </w:tc>
        <w:tc>
          <w:tcPr>
            <w:tcW w:w="1315"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西安医学院第一附属医院</w:t>
            </w:r>
          </w:p>
        </w:tc>
        <w:tc>
          <w:tcPr>
            <w:tcW w:w="1727"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重症脑卒中救治关键技术</w:t>
            </w:r>
          </w:p>
        </w:tc>
        <w:tc>
          <w:tcPr>
            <w:tcW w:w="1782"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重症脑卒中患者500余人次</w:t>
            </w:r>
          </w:p>
        </w:tc>
        <w:tc>
          <w:tcPr>
            <w:tcW w:w="1691"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2021年7月1日-至今</w:t>
            </w:r>
          </w:p>
        </w:tc>
        <w:tc>
          <w:tcPr>
            <w:tcW w:w="1774"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张蓓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588" w:type="dxa"/>
            <w:shd w:val="clear" w:color="auto" w:fill="auto"/>
          </w:tcPr>
          <w:p>
            <w:pPr>
              <w:jc w:val="center"/>
              <w:rPr>
                <w:rFonts w:ascii="Times New Roman" w:hAnsi="Times New Roman" w:eastAsia="仿宋" w:cs="Times New Roman"/>
                <w:sz w:val="22"/>
              </w:rPr>
            </w:pPr>
            <w:r>
              <w:rPr>
                <w:rFonts w:ascii="Times New Roman" w:hAnsi="Times New Roman" w:eastAsia="仿宋" w:cs="Times New Roman"/>
                <w:sz w:val="22"/>
              </w:rPr>
              <w:t>2</w:t>
            </w:r>
          </w:p>
        </w:tc>
        <w:tc>
          <w:tcPr>
            <w:tcW w:w="1315"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西安交通大学第一附属医院榆林医院</w:t>
            </w:r>
          </w:p>
        </w:tc>
        <w:tc>
          <w:tcPr>
            <w:tcW w:w="1727"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重症脑卒中救治关键技术</w:t>
            </w:r>
          </w:p>
        </w:tc>
        <w:tc>
          <w:tcPr>
            <w:tcW w:w="1782"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重症脑卒中患者400余人次</w:t>
            </w:r>
          </w:p>
        </w:tc>
        <w:tc>
          <w:tcPr>
            <w:tcW w:w="1691"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2022年3月1日-至今</w:t>
            </w:r>
          </w:p>
        </w:tc>
        <w:tc>
          <w:tcPr>
            <w:tcW w:w="1774"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李雪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588" w:type="dxa"/>
            <w:shd w:val="clear" w:color="auto" w:fill="auto"/>
          </w:tcPr>
          <w:p>
            <w:pPr>
              <w:jc w:val="center"/>
              <w:rPr>
                <w:rFonts w:ascii="Times New Roman" w:hAnsi="Times New Roman" w:eastAsia="仿宋" w:cs="Times New Roman"/>
                <w:sz w:val="22"/>
              </w:rPr>
            </w:pPr>
            <w:r>
              <w:rPr>
                <w:rFonts w:ascii="Times New Roman" w:hAnsi="Times New Roman" w:eastAsia="仿宋" w:cs="Times New Roman"/>
                <w:sz w:val="22"/>
              </w:rPr>
              <w:t>3</w:t>
            </w:r>
          </w:p>
        </w:tc>
        <w:tc>
          <w:tcPr>
            <w:tcW w:w="1315"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西安市第九医院</w:t>
            </w:r>
          </w:p>
        </w:tc>
        <w:tc>
          <w:tcPr>
            <w:tcW w:w="1727"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重症脑卒中救治关键技术</w:t>
            </w:r>
          </w:p>
        </w:tc>
        <w:tc>
          <w:tcPr>
            <w:tcW w:w="1782"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重症脑卒中患者300余人次</w:t>
            </w:r>
          </w:p>
        </w:tc>
        <w:tc>
          <w:tcPr>
            <w:tcW w:w="1691"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2021年5月1日-至今</w:t>
            </w:r>
          </w:p>
        </w:tc>
        <w:tc>
          <w:tcPr>
            <w:tcW w:w="1774"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高军宪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588" w:type="dxa"/>
            <w:shd w:val="clear" w:color="auto" w:fill="auto"/>
          </w:tcPr>
          <w:p>
            <w:pPr>
              <w:jc w:val="center"/>
              <w:rPr>
                <w:rFonts w:ascii="Times New Roman" w:hAnsi="Times New Roman" w:eastAsia="仿宋" w:cs="Times New Roman"/>
                <w:sz w:val="22"/>
              </w:rPr>
            </w:pPr>
            <w:r>
              <w:rPr>
                <w:rFonts w:ascii="Times New Roman" w:hAnsi="Times New Roman" w:eastAsia="仿宋" w:cs="Times New Roman"/>
                <w:sz w:val="22"/>
              </w:rPr>
              <w:t>4</w:t>
            </w:r>
          </w:p>
        </w:tc>
        <w:tc>
          <w:tcPr>
            <w:tcW w:w="1315"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延安市人民医院</w:t>
            </w:r>
          </w:p>
        </w:tc>
        <w:tc>
          <w:tcPr>
            <w:tcW w:w="1727"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重症脑卒中救治关键技术</w:t>
            </w:r>
          </w:p>
        </w:tc>
        <w:tc>
          <w:tcPr>
            <w:tcW w:w="1782"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重症脑卒中患者300余人次</w:t>
            </w:r>
          </w:p>
        </w:tc>
        <w:tc>
          <w:tcPr>
            <w:tcW w:w="1691"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2022年4月1日-至今</w:t>
            </w:r>
          </w:p>
        </w:tc>
        <w:tc>
          <w:tcPr>
            <w:tcW w:w="1774" w:type="dxa"/>
            <w:shd w:val="clear" w:color="auto" w:fill="auto"/>
          </w:tcPr>
          <w:p>
            <w:pPr>
              <w:jc w:val="left"/>
              <w:rPr>
                <w:rFonts w:ascii="Times New Roman" w:hAnsi="Times New Roman" w:eastAsia="仿宋" w:cs="Times New Roman"/>
                <w:sz w:val="22"/>
              </w:rPr>
            </w:pPr>
            <w:r>
              <w:rPr>
                <w:rFonts w:ascii="Times New Roman" w:hAnsi="Times New Roman" w:eastAsia="仿宋" w:cs="Times New Roman"/>
                <w:sz w:val="22"/>
              </w:rPr>
              <w:t>范百亚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588" w:type="dxa"/>
            <w:shd w:val="clear" w:color="auto" w:fill="auto"/>
          </w:tcPr>
          <w:p>
            <w:pPr>
              <w:jc w:val="center"/>
              <w:rPr>
                <w:rFonts w:ascii="Times New Roman" w:hAnsi="Times New Roman" w:eastAsia="仿宋" w:cs="Times New Roman"/>
                <w:sz w:val="22"/>
              </w:rPr>
            </w:pPr>
            <w:r>
              <w:rPr>
                <w:rFonts w:ascii="Times New Roman" w:hAnsi="Times New Roman" w:eastAsia="仿宋" w:cs="Times New Roman"/>
                <w:sz w:val="22"/>
              </w:rPr>
              <w:t>5</w:t>
            </w:r>
          </w:p>
        </w:tc>
        <w:tc>
          <w:tcPr>
            <w:tcW w:w="1315"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咸阳市第一人民医院</w:t>
            </w:r>
          </w:p>
        </w:tc>
        <w:tc>
          <w:tcPr>
            <w:tcW w:w="1727"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重症脑卒中救治关键技术</w:t>
            </w:r>
          </w:p>
        </w:tc>
        <w:tc>
          <w:tcPr>
            <w:tcW w:w="1782"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重症脑卒中患者600余人次</w:t>
            </w:r>
          </w:p>
        </w:tc>
        <w:tc>
          <w:tcPr>
            <w:tcW w:w="1691"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2021年4月1日-至今</w:t>
            </w:r>
          </w:p>
        </w:tc>
        <w:tc>
          <w:tcPr>
            <w:tcW w:w="1774" w:type="dxa"/>
            <w:shd w:val="clear" w:color="auto" w:fill="auto"/>
          </w:tcPr>
          <w:p>
            <w:pPr>
              <w:jc w:val="left"/>
              <w:rPr>
                <w:rFonts w:ascii="Times New Roman" w:hAnsi="Times New Roman" w:eastAsia="仿宋" w:cs="Times New Roman"/>
                <w:sz w:val="22"/>
              </w:rPr>
            </w:pPr>
            <w:r>
              <w:rPr>
                <w:rFonts w:ascii="Times New Roman" w:hAnsi="Times New Roman" w:eastAsia="仿宋" w:cs="Times New Roman"/>
                <w:sz w:val="22"/>
              </w:rPr>
              <w:t>鱼丽萍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588" w:type="dxa"/>
            <w:shd w:val="clear" w:color="auto" w:fill="auto"/>
          </w:tcPr>
          <w:p>
            <w:pPr>
              <w:jc w:val="center"/>
              <w:rPr>
                <w:rFonts w:ascii="Times New Roman" w:hAnsi="Times New Roman" w:eastAsia="仿宋" w:cs="Times New Roman"/>
                <w:sz w:val="22"/>
              </w:rPr>
            </w:pPr>
            <w:r>
              <w:rPr>
                <w:rFonts w:ascii="Times New Roman" w:hAnsi="Times New Roman" w:eastAsia="仿宋" w:cs="Times New Roman"/>
                <w:sz w:val="22"/>
              </w:rPr>
              <w:t>6</w:t>
            </w:r>
          </w:p>
        </w:tc>
        <w:tc>
          <w:tcPr>
            <w:tcW w:w="1315"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安康市中心医院</w:t>
            </w:r>
          </w:p>
        </w:tc>
        <w:tc>
          <w:tcPr>
            <w:tcW w:w="1727"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重症脑卒中救治关键技术</w:t>
            </w:r>
          </w:p>
        </w:tc>
        <w:tc>
          <w:tcPr>
            <w:tcW w:w="1782"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重症脑卒中患者400余人次</w:t>
            </w:r>
          </w:p>
        </w:tc>
        <w:tc>
          <w:tcPr>
            <w:tcW w:w="1691"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2021年5月1日-至今</w:t>
            </w:r>
          </w:p>
        </w:tc>
        <w:tc>
          <w:tcPr>
            <w:tcW w:w="1774" w:type="dxa"/>
            <w:shd w:val="clear" w:color="auto" w:fill="auto"/>
          </w:tcPr>
          <w:p>
            <w:pPr>
              <w:jc w:val="left"/>
              <w:rPr>
                <w:rFonts w:ascii="Times New Roman" w:hAnsi="Times New Roman" w:eastAsia="仿宋" w:cs="Times New Roman"/>
                <w:sz w:val="22"/>
              </w:rPr>
            </w:pPr>
            <w:r>
              <w:rPr>
                <w:rFonts w:ascii="Times New Roman" w:hAnsi="Times New Roman" w:eastAsia="仿宋" w:cs="Times New Roman"/>
                <w:sz w:val="22"/>
              </w:rPr>
              <w:t>杨西爱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588" w:type="dxa"/>
            <w:shd w:val="clear" w:color="auto" w:fill="auto"/>
          </w:tcPr>
          <w:p>
            <w:pPr>
              <w:jc w:val="center"/>
              <w:rPr>
                <w:rFonts w:ascii="Times New Roman" w:hAnsi="Times New Roman" w:eastAsia="仿宋" w:cs="Times New Roman"/>
                <w:sz w:val="22"/>
              </w:rPr>
            </w:pPr>
            <w:r>
              <w:rPr>
                <w:rFonts w:ascii="Times New Roman" w:hAnsi="Times New Roman" w:eastAsia="仿宋" w:cs="Times New Roman"/>
                <w:sz w:val="22"/>
              </w:rPr>
              <w:t>7</w:t>
            </w:r>
          </w:p>
        </w:tc>
        <w:tc>
          <w:tcPr>
            <w:tcW w:w="1315"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渭南市第二医院</w:t>
            </w:r>
          </w:p>
        </w:tc>
        <w:tc>
          <w:tcPr>
            <w:tcW w:w="1727"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重症脑卒中救治关键技术</w:t>
            </w:r>
          </w:p>
        </w:tc>
        <w:tc>
          <w:tcPr>
            <w:tcW w:w="1782"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重症脑卒中患者200余人次</w:t>
            </w:r>
          </w:p>
        </w:tc>
        <w:tc>
          <w:tcPr>
            <w:tcW w:w="1691"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2021年4月1日-至今</w:t>
            </w:r>
          </w:p>
        </w:tc>
        <w:tc>
          <w:tcPr>
            <w:tcW w:w="1774" w:type="dxa"/>
            <w:shd w:val="clear" w:color="auto" w:fill="auto"/>
          </w:tcPr>
          <w:p>
            <w:pPr>
              <w:jc w:val="left"/>
              <w:rPr>
                <w:rFonts w:ascii="Times New Roman" w:hAnsi="Times New Roman" w:eastAsia="仿宋" w:cs="Times New Roman"/>
                <w:sz w:val="22"/>
              </w:rPr>
            </w:pPr>
            <w:r>
              <w:rPr>
                <w:rFonts w:ascii="Times New Roman" w:hAnsi="Times New Roman" w:eastAsia="仿宋" w:cs="Times New Roman"/>
                <w:sz w:val="22"/>
              </w:rPr>
              <w:t>何锋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588" w:type="dxa"/>
            <w:shd w:val="clear" w:color="auto" w:fill="auto"/>
          </w:tcPr>
          <w:p>
            <w:pPr>
              <w:jc w:val="center"/>
              <w:rPr>
                <w:rFonts w:ascii="Times New Roman" w:hAnsi="Times New Roman" w:eastAsia="仿宋" w:cs="Times New Roman"/>
                <w:sz w:val="22"/>
              </w:rPr>
            </w:pPr>
            <w:r>
              <w:rPr>
                <w:rFonts w:ascii="Times New Roman" w:hAnsi="Times New Roman" w:eastAsia="仿宋" w:cs="Times New Roman"/>
                <w:sz w:val="22"/>
              </w:rPr>
              <w:t>8</w:t>
            </w:r>
          </w:p>
        </w:tc>
        <w:tc>
          <w:tcPr>
            <w:tcW w:w="1315"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汉中市人民医院</w:t>
            </w:r>
          </w:p>
        </w:tc>
        <w:tc>
          <w:tcPr>
            <w:tcW w:w="1727"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重症脑卒中救治关键技术</w:t>
            </w:r>
          </w:p>
        </w:tc>
        <w:tc>
          <w:tcPr>
            <w:tcW w:w="1782"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重症脑卒中患者300余人次</w:t>
            </w:r>
          </w:p>
        </w:tc>
        <w:tc>
          <w:tcPr>
            <w:tcW w:w="1691"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2021年7月1日-至今</w:t>
            </w:r>
          </w:p>
        </w:tc>
        <w:tc>
          <w:tcPr>
            <w:tcW w:w="1774" w:type="dxa"/>
            <w:shd w:val="clear" w:color="auto" w:fill="auto"/>
          </w:tcPr>
          <w:p>
            <w:pPr>
              <w:jc w:val="left"/>
              <w:rPr>
                <w:rFonts w:ascii="Times New Roman" w:hAnsi="Times New Roman" w:eastAsia="仿宋" w:cs="Times New Roman"/>
                <w:sz w:val="22"/>
              </w:rPr>
            </w:pPr>
            <w:r>
              <w:rPr>
                <w:rFonts w:ascii="Times New Roman" w:hAnsi="Times New Roman" w:eastAsia="仿宋" w:cs="Times New Roman"/>
                <w:sz w:val="22"/>
              </w:rPr>
              <w:t>张春瑞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588" w:type="dxa"/>
            <w:shd w:val="clear" w:color="auto" w:fill="auto"/>
          </w:tcPr>
          <w:p>
            <w:pPr>
              <w:jc w:val="center"/>
              <w:rPr>
                <w:rFonts w:ascii="Times New Roman" w:hAnsi="Times New Roman" w:eastAsia="仿宋" w:cs="Times New Roman"/>
                <w:sz w:val="22"/>
              </w:rPr>
            </w:pPr>
            <w:r>
              <w:rPr>
                <w:rFonts w:ascii="Times New Roman" w:hAnsi="Times New Roman" w:eastAsia="仿宋" w:cs="Times New Roman"/>
                <w:sz w:val="22"/>
              </w:rPr>
              <w:t>9</w:t>
            </w:r>
          </w:p>
        </w:tc>
        <w:tc>
          <w:tcPr>
            <w:tcW w:w="1315"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甘肃省中心医院</w:t>
            </w:r>
          </w:p>
        </w:tc>
        <w:tc>
          <w:tcPr>
            <w:tcW w:w="1727"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重症脑卒中救治关键技术</w:t>
            </w:r>
          </w:p>
        </w:tc>
        <w:tc>
          <w:tcPr>
            <w:tcW w:w="1782"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重症脑卒中患者500余人次</w:t>
            </w:r>
          </w:p>
        </w:tc>
        <w:tc>
          <w:tcPr>
            <w:tcW w:w="1691"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2022年5月1日-至今</w:t>
            </w:r>
          </w:p>
        </w:tc>
        <w:tc>
          <w:tcPr>
            <w:tcW w:w="1774" w:type="dxa"/>
            <w:shd w:val="clear" w:color="auto" w:fill="auto"/>
          </w:tcPr>
          <w:p>
            <w:pPr>
              <w:jc w:val="left"/>
              <w:rPr>
                <w:rFonts w:ascii="Times New Roman" w:hAnsi="Times New Roman" w:eastAsia="仿宋" w:cs="Times New Roman"/>
                <w:sz w:val="22"/>
              </w:rPr>
            </w:pPr>
            <w:r>
              <w:rPr>
                <w:rFonts w:ascii="Times New Roman" w:hAnsi="Times New Roman" w:eastAsia="仿宋" w:cs="Times New Roman"/>
                <w:sz w:val="22"/>
              </w:rPr>
              <w:t>尹榕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588" w:type="dxa"/>
            <w:shd w:val="clear" w:color="auto" w:fill="auto"/>
          </w:tcPr>
          <w:p>
            <w:pPr>
              <w:jc w:val="center"/>
              <w:rPr>
                <w:rFonts w:ascii="Times New Roman" w:hAnsi="Times New Roman" w:eastAsia="仿宋" w:cs="Times New Roman"/>
                <w:sz w:val="22"/>
              </w:rPr>
            </w:pPr>
            <w:r>
              <w:rPr>
                <w:rFonts w:ascii="Times New Roman" w:hAnsi="Times New Roman" w:eastAsia="仿宋" w:cs="Times New Roman"/>
                <w:sz w:val="22"/>
              </w:rPr>
              <w:t>10</w:t>
            </w:r>
          </w:p>
        </w:tc>
        <w:tc>
          <w:tcPr>
            <w:tcW w:w="1315"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山西省运城市中心医院</w:t>
            </w:r>
          </w:p>
        </w:tc>
        <w:tc>
          <w:tcPr>
            <w:tcW w:w="1727"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重症脑血管病INCNS管理模式及临床应用</w:t>
            </w:r>
          </w:p>
        </w:tc>
        <w:tc>
          <w:tcPr>
            <w:tcW w:w="1782"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重症脑卒中患者200余人次</w:t>
            </w:r>
          </w:p>
        </w:tc>
        <w:tc>
          <w:tcPr>
            <w:tcW w:w="1691" w:type="dxa"/>
            <w:shd w:val="clear" w:color="auto" w:fill="auto"/>
          </w:tcPr>
          <w:p>
            <w:pPr>
              <w:rPr>
                <w:rFonts w:ascii="Times New Roman" w:hAnsi="Times New Roman" w:eastAsia="仿宋" w:cs="Times New Roman"/>
                <w:sz w:val="22"/>
              </w:rPr>
            </w:pPr>
            <w:r>
              <w:rPr>
                <w:rFonts w:ascii="Times New Roman" w:hAnsi="Times New Roman" w:eastAsia="仿宋" w:cs="Times New Roman"/>
                <w:sz w:val="22"/>
              </w:rPr>
              <w:t>2020年1月1日-至今</w:t>
            </w:r>
          </w:p>
        </w:tc>
        <w:tc>
          <w:tcPr>
            <w:tcW w:w="1774" w:type="dxa"/>
            <w:shd w:val="clear" w:color="auto" w:fill="auto"/>
          </w:tcPr>
          <w:p>
            <w:pPr>
              <w:jc w:val="left"/>
              <w:rPr>
                <w:rFonts w:ascii="Times New Roman" w:hAnsi="Times New Roman" w:eastAsia="仿宋" w:cs="Times New Roman"/>
                <w:sz w:val="22"/>
              </w:rPr>
            </w:pPr>
            <w:r>
              <w:rPr>
                <w:rFonts w:ascii="Times New Roman" w:hAnsi="Times New Roman" w:eastAsia="仿宋" w:cs="Times New Roman"/>
                <w:sz w:val="22"/>
              </w:rPr>
              <w:t>王飞</w:t>
            </w:r>
          </w:p>
        </w:tc>
      </w:tr>
    </w:tbl>
    <w:p>
      <w:pPr>
        <w:spacing w:before="156" w:beforeLines="50" w:line="460" w:lineRule="exact"/>
        <w:ind w:firstLine="488" w:firstLineChars="200"/>
        <w:rPr>
          <w:rFonts w:ascii="Times New Roman" w:hAnsi="Times New Roman" w:eastAsia="仿宋" w:cs="Times New Roman"/>
          <w:bCs/>
          <w:spacing w:val="2"/>
          <w:sz w:val="24"/>
          <w:szCs w:val="24"/>
        </w:rPr>
      </w:pPr>
      <w:r>
        <w:rPr>
          <w:rFonts w:ascii="Times New Roman" w:hAnsi="Times New Roman" w:eastAsia="仿宋" w:cs="Times New Roman"/>
          <w:bCs/>
          <w:spacing w:val="2"/>
          <w:sz w:val="24"/>
          <w:szCs w:val="24"/>
        </w:rPr>
        <w:t>为更好地将重症脑卒中相关技术推广至省内外，项目组每年举办1次陕西省脑卒中大会、2场重症脑卒中高级培训班、10场WORKSHOP培训班、10场专题巡讲。使陕西省重症脑卒中规范化救治实现了从无到有、从弱到强的转变，目前全国领先，为我国重症脑卒中救治做出了重要的贡献。</w:t>
      </w:r>
    </w:p>
    <w:p>
      <w:pPr>
        <w:widowControl/>
        <w:jc w:val="left"/>
        <w:rPr>
          <w:rFonts w:ascii="Times New Roman" w:hAnsi="Times New Roman" w:eastAsia="仿宋_GB2312" w:cs="Times New Roman"/>
          <w:sz w:val="32"/>
        </w:rPr>
      </w:pPr>
      <w:r>
        <w:rPr>
          <w:rFonts w:ascii="Times New Roman" w:hAnsi="Times New Roman" w:eastAsia="仿宋_GB2312" w:cs="Times New Roman"/>
          <w:sz w:val="32"/>
        </w:rPr>
        <w:br w:type="page"/>
      </w:r>
    </w:p>
    <w:p>
      <w:pPr>
        <w:ind w:firstLine="640" w:firstLineChars="200"/>
        <w:rPr>
          <w:rFonts w:hint="eastAsia" w:ascii="黑体" w:hAnsi="黑体" w:eastAsia="黑体" w:cs="黑体"/>
          <w:sz w:val="32"/>
        </w:rPr>
      </w:pPr>
      <w:r>
        <w:rPr>
          <w:rFonts w:hint="eastAsia" w:ascii="黑体" w:hAnsi="黑体" w:eastAsia="黑体" w:cs="黑体"/>
          <w:sz w:val="32"/>
        </w:rPr>
        <w:t>九、主要知识产权和标准规范等目录</w:t>
      </w:r>
    </w:p>
    <w:tbl>
      <w:tblPr>
        <w:tblStyle w:val="7"/>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392"/>
        <w:gridCol w:w="392"/>
        <w:gridCol w:w="1635"/>
        <w:gridCol w:w="568"/>
        <w:gridCol w:w="1998"/>
        <w:gridCol w:w="568"/>
        <w:gridCol w:w="1547"/>
        <w:gridCol w:w="392"/>
        <w:gridCol w:w="103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650" w:hRule="atLeast"/>
          <w:jc w:val="center"/>
        </w:trPr>
        <w:tc>
          <w:tcPr>
            <w:tcW w:w="222"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序号</w:t>
            </w:r>
          </w:p>
        </w:tc>
        <w:tc>
          <w:tcPr>
            <w:tcW w:w="222"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知识产权类    别</w:t>
            </w:r>
          </w:p>
        </w:tc>
        <w:tc>
          <w:tcPr>
            <w:tcW w:w="1032"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知识产权</w:t>
            </w:r>
          </w:p>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具体名称</w:t>
            </w:r>
          </w:p>
        </w:tc>
        <w:tc>
          <w:tcPr>
            <w:tcW w:w="317"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国家</w:t>
            </w:r>
          </w:p>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（地区）</w:t>
            </w:r>
          </w:p>
        </w:tc>
        <w:tc>
          <w:tcPr>
            <w:tcW w:w="1127"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授权号</w:t>
            </w:r>
          </w:p>
        </w:tc>
        <w:tc>
          <w:tcPr>
            <w:tcW w:w="317"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授权日期</w:t>
            </w:r>
          </w:p>
        </w:tc>
        <w:tc>
          <w:tcPr>
            <w:tcW w:w="937"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证书编号</w:t>
            </w:r>
          </w:p>
        </w:tc>
        <w:tc>
          <w:tcPr>
            <w:tcW w:w="222"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权利人</w:t>
            </w:r>
          </w:p>
        </w:tc>
        <w:tc>
          <w:tcPr>
            <w:tcW w:w="603"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22"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1</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论文</w:t>
            </w:r>
          </w:p>
        </w:tc>
        <w:tc>
          <w:tcPr>
            <w:tcW w:w="103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仿宋" w:cs="Times New Roman"/>
                <w:sz w:val="21"/>
                <w:szCs w:val="21"/>
              </w:rPr>
            </w:pPr>
            <w:r>
              <w:rPr>
                <w:rFonts w:ascii="Times New Roman" w:eastAsia="仿宋" w:cs="Times New Roman"/>
                <w:sz w:val="21"/>
                <w:szCs w:val="21"/>
              </w:rPr>
              <w:t>Safety and efficacy of three enteral feeding strategies in patients with severe stroke in China (OPENS): a multicentre, prospective, randomised, open-label, blinded-endpoint trial</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中国</w:t>
            </w:r>
          </w:p>
        </w:tc>
        <w:tc>
          <w:tcPr>
            <w:tcW w:w="112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21(4):319-328. </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2022年4月</w:t>
            </w:r>
          </w:p>
        </w:tc>
        <w:tc>
          <w:tcPr>
            <w:tcW w:w="93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Lancet Neurology</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空军军医大学</w:t>
            </w:r>
          </w:p>
        </w:tc>
        <w:tc>
          <w:tcPr>
            <w:tcW w:w="603"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Jingjing Zhao，Fang Yuan，Fang Yang，Wen Jiang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22"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2</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论文</w:t>
            </w:r>
          </w:p>
        </w:tc>
        <w:tc>
          <w:tcPr>
            <w:tcW w:w="103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Efficacy and safety of glibenclamide therapy after intracerebral haemorrhage (GATE-ICH): A multicentre, prospective, randomised, controlled, open-label, blinded-endpoint, phase 2 clinical trial.</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中国</w:t>
            </w:r>
          </w:p>
        </w:tc>
        <w:tc>
          <w:tcPr>
            <w:tcW w:w="112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23;53:101666.</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2022年9月</w:t>
            </w:r>
          </w:p>
        </w:tc>
        <w:tc>
          <w:tcPr>
            <w:tcW w:w="93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EClinicalMedicine （Part of The Lancet Discovery Science）</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空军军医大学</w:t>
            </w:r>
          </w:p>
        </w:tc>
        <w:tc>
          <w:tcPr>
            <w:tcW w:w="603"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Jingjing Zhao，Changgeng Song，Fang Yang，Wen Jiang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22"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3</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专利</w:t>
            </w:r>
          </w:p>
        </w:tc>
        <w:tc>
          <w:tcPr>
            <w:tcW w:w="103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一种用于净化黄曲霉素样本的免疫磁性微粒及其制备和应用方法</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中国</w:t>
            </w:r>
          </w:p>
        </w:tc>
        <w:tc>
          <w:tcPr>
            <w:tcW w:w="112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ZL201210171169.4</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2014年6月25日</w:t>
            </w:r>
          </w:p>
        </w:tc>
        <w:tc>
          <w:tcPr>
            <w:tcW w:w="93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1428523</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西安金磁纳米生物技术有限公司</w:t>
            </w:r>
          </w:p>
        </w:tc>
        <w:tc>
          <w:tcPr>
            <w:tcW w:w="603"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崔亚丽，王艳霞，张秦鲁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22"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4</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论文</w:t>
            </w:r>
          </w:p>
        </w:tc>
        <w:tc>
          <w:tcPr>
            <w:tcW w:w="103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Controlling Hypertension After Severe Cerebrovascular Event (CHASE): A randomized, multicenter, controlled study.</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中国</w:t>
            </w:r>
          </w:p>
        </w:tc>
        <w:tc>
          <w:tcPr>
            <w:tcW w:w="112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16(4):456-465. </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2021年6月</w:t>
            </w:r>
          </w:p>
        </w:tc>
        <w:tc>
          <w:tcPr>
            <w:tcW w:w="93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Int J Stroke</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空军军医大学</w:t>
            </w:r>
          </w:p>
        </w:tc>
        <w:tc>
          <w:tcPr>
            <w:tcW w:w="603"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Fang Yuan，Fang Yang，Wen Jiang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22"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5</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论文</w:t>
            </w:r>
          </w:p>
        </w:tc>
        <w:tc>
          <w:tcPr>
            <w:tcW w:w="103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Glibenclamide Improves Survival and Neurologic Outcome After Cardiac Arrest in Rats.</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中国</w:t>
            </w:r>
          </w:p>
        </w:tc>
        <w:tc>
          <w:tcPr>
            <w:tcW w:w="112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Sep;43(9):e341-9. </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2015年9月</w:t>
            </w:r>
          </w:p>
        </w:tc>
        <w:tc>
          <w:tcPr>
            <w:tcW w:w="93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Crit Care Med.</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南方医科大学南方医院</w:t>
            </w:r>
          </w:p>
        </w:tc>
        <w:tc>
          <w:tcPr>
            <w:tcW w:w="603"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Kaibin Huang，Suyue Pan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22"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6</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软著</w:t>
            </w:r>
          </w:p>
        </w:tc>
        <w:tc>
          <w:tcPr>
            <w:tcW w:w="103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神经重症管理INCNS核查单管理系统V1.0</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中国</w:t>
            </w:r>
          </w:p>
        </w:tc>
        <w:tc>
          <w:tcPr>
            <w:tcW w:w="112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2021SR2132148</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2021年9月</w:t>
            </w:r>
          </w:p>
        </w:tc>
        <w:tc>
          <w:tcPr>
            <w:tcW w:w="93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8854774</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空军军医大学</w:t>
            </w:r>
          </w:p>
        </w:tc>
        <w:tc>
          <w:tcPr>
            <w:tcW w:w="603"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杨方，江文，马晨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22"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7</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书籍</w:t>
            </w:r>
          </w:p>
        </w:tc>
        <w:tc>
          <w:tcPr>
            <w:tcW w:w="103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神经重症管理工作手册——INCNS临床实践（第2版）</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中国</w:t>
            </w:r>
          </w:p>
        </w:tc>
        <w:tc>
          <w:tcPr>
            <w:tcW w:w="112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ISBN978-7-5369-8818-7</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2023年11月</w:t>
            </w:r>
          </w:p>
        </w:tc>
        <w:tc>
          <w:tcPr>
            <w:tcW w:w="93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陕西科学技术出版社</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空军军医大学</w:t>
            </w:r>
          </w:p>
        </w:tc>
        <w:tc>
          <w:tcPr>
            <w:tcW w:w="603"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江文、杨方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22"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8</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论文</w:t>
            </w:r>
          </w:p>
        </w:tc>
        <w:tc>
          <w:tcPr>
            <w:tcW w:w="103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Development and validation of a new score for predicting functional outcome of neurocritically ill patients: The INCNS score.</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中国</w:t>
            </w:r>
          </w:p>
        </w:tc>
        <w:tc>
          <w:tcPr>
            <w:tcW w:w="112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26(1):21-29.</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2020年1月</w:t>
            </w:r>
          </w:p>
        </w:tc>
        <w:tc>
          <w:tcPr>
            <w:tcW w:w="93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CNS Neurosci Ther.</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空军军医大</w:t>
            </w:r>
          </w:p>
        </w:tc>
        <w:tc>
          <w:tcPr>
            <w:tcW w:w="603"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Qiong Gao，Fang Yuan，Wen Jiang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22"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9</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论文</w:t>
            </w:r>
          </w:p>
        </w:tc>
        <w:tc>
          <w:tcPr>
            <w:tcW w:w="103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TNF signaling pathway-mediated microglial activation in the PFC underlies acute paradoxical sleep deprivation-induced anxiety-like behaviors in mice.</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中国</w:t>
            </w:r>
          </w:p>
        </w:tc>
        <w:tc>
          <w:tcPr>
            <w:tcW w:w="112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100:254-266.</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2022年2月</w:t>
            </w:r>
          </w:p>
        </w:tc>
        <w:tc>
          <w:tcPr>
            <w:tcW w:w="93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Brain Behav Immun. </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空军军医大学</w:t>
            </w:r>
          </w:p>
        </w:tc>
        <w:tc>
          <w:tcPr>
            <w:tcW w:w="603"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Haiying Liu，Xin Huang，Wenting Wang，Zhongliang Wu</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22"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eastAsia="仿宋" w:cs="Times New Roman"/>
                <w:sz w:val="21"/>
                <w:szCs w:val="21"/>
              </w:rPr>
            </w:pPr>
            <w:r>
              <w:rPr>
                <w:rFonts w:ascii="Times New Roman" w:eastAsia="仿宋" w:cs="Times New Roman"/>
                <w:sz w:val="21"/>
                <w:szCs w:val="21"/>
              </w:rPr>
              <w:t>10</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标准规范</w:t>
            </w:r>
          </w:p>
        </w:tc>
        <w:tc>
          <w:tcPr>
            <w:tcW w:w="103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中国神经重症临床研究优先发展方向科学声明</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中国</w:t>
            </w:r>
          </w:p>
        </w:tc>
        <w:tc>
          <w:tcPr>
            <w:tcW w:w="112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102（3）：166-174</w:t>
            </w:r>
          </w:p>
        </w:tc>
        <w:tc>
          <w:tcPr>
            <w:tcW w:w="31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2022年1月</w:t>
            </w:r>
          </w:p>
        </w:tc>
        <w:tc>
          <w:tcPr>
            <w:tcW w:w="937"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中华医学杂志</w:t>
            </w:r>
          </w:p>
        </w:tc>
        <w:tc>
          <w:tcPr>
            <w:tcW w:w="22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空军军医大学</w:t>
            </w:r>
          </w:p>
        </w:tc>
        <w:tc>
          <w:tcPr>
            <w:tcW w:w="603"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ascii="Times New Roman" w:eastAsia="仿宋" w:cs="Times New Roman"/>
                <w:sz w:val="21"/>
                <w:szCs w:val="21"/>
              </w:rPr>
            </w:pPr>
            <w:r>
              <w:rPr>
                <w:rFonts w:ascii="Times New Roman" w:eastAsia="仿宋" w:cs="Times New Roman"/>
                <w:sz w:val="21"/>
                <w:szCs w:val="21"/>
              </w:rPr>
              <w:t>潘速跃、江文、刘丽萍</w:t>
            </w:r>
          </w:p>
        </w:tc>
      </w:tr>
    </w:tbl>
    <w:p>
      <w:pPr>
        <w:pStyle w:val="11"/>
        <w:ind w:left="420" w:firstLine="0" w:firstLineChars="0"/>
        <w:rPr>
          <w:rFonts w:ascii="Times New Roman" w:hAnsi="Times New Roman" w:eastAsia="仿宋_GB2312" w:cs="Times New Roman"/>
          <w:bCs/>
          <w:spacing w:val="2"/>
          <w:sz w:val="24"/>
        </w:rPr>
      </w:pPr>
    </w:p>
    <w:p>
      <w:pPr>
        <w:ind w:firstLine="640" w:firstLineChars="200"/>
        <w:rPr>
          <w:rFonts w:hint="eastAsia" w:ascii="黑体" w:hAnsi="黑体" w:eastAsia="黑体" w:cs="黑体"/>
          <w:sz w:val="32"/>
        </w:rPr>
      </w:pPr>
      <w:r>
        <w:rPr>
          <w:rFonts w:hint="eastAsia" w:ascii="黑体" w:hAnsi="黑体" w:eastAsia="黑体" w:cs="黑体"/>
          <w:sz w:val="32"/>
        </w:rPr>
        <w:t>十、完成人合作关系说明</w:t>
      </w:r>
    </w:p>
    <w:p>
      <w:pPr>
        <w:spacing w:line="360" w:lineRule="auto"/>
        <w:ind w:firstLine="488" w:firstLineChars="200"/>
        <w:rPr>
          <w:rFonts w:ascii="Times New Roman" w:hAnsi="Times New Roman" w:cs="Times New Roman"/>
          <w:sz w:val="24"/>
          <w:szCs w:val="21"/>
        </w:rPr>
      </w:pPr>
      <w:r>
        <w:rPr>
          <w:rFonts w:ascii="Times New Roman" w:hAnsi="Times New Roman" w:eastAsia="仿宋" w:cs="Times New Roman"/>
          <w:bCs/>
          <w:spacing w:val="2"/>
          <w:sz w:val="24"/>
          <w:szCs w:val="24"/>
        </w:rPr>
        <w:t>本项目15位完成人于2010年1月-2022年5月通过论文合著、出版书籍、研发技术等合作方式，明确分工、紧密合作共同完成本项目。江文、杨方、赵晶晶、宋长庚合作完成2项多中心临床研究（OPENS、GATE），对应知识产权1和2，见必备附件1-1和1-2。江文、杨方、赵晶晶合作完成1项多中心临床研究（CHASE），对应知识产权4，见其他附件2-1。江文、杨方合作完成INCNS核查单管理系统建设，对应知识产权6，见其他附件2-3。江文、杨方、赵晶晶、魏东合作完成INCNS评估模式探索，出版书籍，对应知识产权7，见其他附件2-4。江文、杨方、高琼合作完成INCNS评估模式探索，发表论文，对应知识产权8，见其他附件2-5。江文、魏东、张秦鲁合作研发NT-proBNP弱磁定量即时检测技术，见其他附件2-13（2013年陕西省重大难题公关课题合作）。张秦鲁、马乐负责NT-proBNP弱磁定量即时检测技术开发工作，对应知识产权3，见必备附件1-3，以及完成三项器械注册，见必备附件3。江文、潘速跃合作撰写标准规范，对应知识产权10，见其他附件2-7。潘速跃、黄凯滨合作完成格列本脲治疗脑水肿基础研究，对应知识产权5，见其他附件2-2。吴中亮和刘海鹰完成脑损伤后睡眠相关研究，对应知识产权9，见其他附件2-6。史明、杨方和刘之荣共同开展抗血小板药物机制相关研究，见其他附件2-25。史明和张潇共同开展脑卒中相关机制研究，见其他附件2-27。吴中亮和史明完成脑卒中相关机制研究，见其他附件2-28。</w:t>
      </w:r>
    </w:p>
    <w:p>
      <w:pPr>
        <w:ind w:firstLine="488" w:firstLineChars="200"/>
        <w:rPr>
          <w:rFonts w:ascii="Times New Roman" w:hAnsi="Times New Roman" w:eastAsia="仿宋_GB2312" w:cs="Times New Roman"/>
          <w:bCs/>
          <w:spacing w:val="2"/>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A1623C"/>
    <w:multiLevelType w:val="multilevel"/>
    <w:tmpl w:val="0BA1623C"/>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0FD51E14"/>
    <w:multiLevelType w:val="multilevel"/>
    <w:tmpl w:val="0FD51E14"/>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79F5791F"/>
    <w:multiLevelType w:val="multilevel"/>
    <w:tmpl w:val="79F5791F"/>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E1YTkxYzVmM2VjNmQwY2RlYTA0ODIyN2JmZjNhZTQifQ=="/>
  </w:docVars>
  <w:rsids>
    <w:rsidRoot w:val="0063432F"/>
    <w:rsid w:val="0000502A"/>
    <w:rsid w:val="000208FB"/>
    <w:rsid w:val="00024DBD"/>
    <w:rsid w:val="00091947"/>
    <w:rsid w:val="000A303A"/>
    <w:rsid w:val="000C3F1C"/>
    <w:rsid w:val="000D3D6A"/>
    <w:rsid w:val="000F1138"/>
    <w:rsid w:val="00112C65"/>
    <w:rsid w:val="0014707E"/>
    <w:rsid w:val="00170FDA"/>
    <w:rsid w:val="001756DA"/>
    <w:rsid w:val="001764DC"/>
    <w:rsid w:val="00190EA8"/>
    <w:rsid w:val="001A0F0C"/>
    <w:rsid w:val="001C748D"/>
    <w:rsid w:val="002103DF"/>
    <w:rsid w:val="00257216"/>
    <w:rsid w:val="00265C92"/>
    <w:rsid w:val="002757D1"/>
    <w:rsid w:val="00283571"/>
    <w:rsid w:val="00292E1E"/>
    <w:rsid w:val="002C1628"/>
    <w:rsid w:val="002E5D18"/>
    <w:rsid w:val="002F2522"/>
    <w:rsid w:val="0035508F"/>
    <w:rsid w:val="00380CDB"/>
    <w:rsid w:val="00385768"/>
    <w:rsid w:val="00397E4F"/>
    <w:rsid w:val="003A23BC"/>
    <w:rsid w:val="003C5F58"/>
    <w:rsid w:val="003E5DC8"/>
    <w:rsid w:val="003F690A"/>
    <w:rsid w:val="004238ED"/>
    <w:rsid w:val="0043676B"/>
    <w:rsid w:val="0043695F"/>
    <w:rsid w:val="00446985"/>
    <w:rsid w:val="00473F5C"/>
    <w:rsid w:val="00482EC5"/>
    <w:rsid w:val="00494F38"/>
    <w:rsid w:val="004A4FD8"/>
    <w:rsid w:val="004C0E1E"/>
    <w:rsid w:val="004C3AA0"/>
    <w:rsid w:val="004E0D5B"/>
    <w:rsid w:val="00505968"/>
    <w:rsid w:val="00530F05"/>
    <w:rsid w:val="00540444"/>
    <w:rsid w:val="00540540"/>
    <w:rsid w:val="005430D9"/>
    <w:rsid w:val="005450E5"/>
    <w:rsid w:val="00553A47"/>
    <w:rsid w:val="005618FD"/>
    <w:rsid w:val="00587487"/>
    <w:rsid w:val="0059006B"/>
    <w:rsid w:val="00591387"/>
    <w:rsid w:val="005B3FB1"/>
    <w:rsid w:val="005D0D9E"/>
    <w:rsid w:val="005E3416"/>
    <w:rsid w:val="005E6455"/>
    <w:rsid w:val="0060487F"/>
    <w:rsid w:val="00612C67"/>
    <w:rsid w:val="0063432F"/>
    <w:rsid w:val="0065528F"/>
    <w:rsid w:val="00664E8C"/>
    <w:rsid w:val="00681689"/>
    <w:rsid w:val="006965CD"/>
    <w:rsid w:val="006C1F20"/>
    <w:rsid w:val="00751A4C"/>
    <w:rsid w:val="0078292E"/>
    <w:rsid w:val="007A5233"/>
    <w:rsid w:val="0085432E"/>
    <w:rsid w:val="0086190E"/>
    <w:rsid w:val="00861A4F"/>
    <w:rsid w:val="008641CA"/>
    <w:rsid w:val="008C3BF2"/>
    <w:rsid w:val="008E33B0"/>
    <w:rsid w:val="00962A05"/>
    <w:rsid w:val="009705E6"/>
    <w:rsid w:val="00991B0A"/>
    <w:rsid w:val="009B1ADA"/>
    <w:rsid w:val="009C0F0A"/>
    <w:rsid w:val="009C4F49"/>
    <w:rsid w:val="00A24658"/>
    <w:rsid w:val="00A41E3A"/>
    <w:rsid w:val="00AC1600"/>
    <w:rsid w:val="00AF0CE5"/>
    <w:rsid w:val="00AF680C"/>
    <w:rsid w:val="00B10A79"/>
    <w:rsid w:val="00B16E65"/>
    <w:rsid w:val="00B242B2"/>
    <w:rsid w:val="00B265E3"/>
    <w:rsid w:val="00B464FA"/>
    <w:rsid w:val="00B70682"/>
    <w:rsid w:val="00B9655E"/>
    <w:rsid w:val="00BB06E0"/>
    <w:rsid w:val="00C04630"/>
    <w:rsid w:val="00C27127"/>
    <w:rsid w:val="00C42F6D"/>
    <w:rsid w:val="00C96B7E"/>
    <w:rsid w:val="00CA4F5F"/>
    <w:rsid w:val="00CB1EDD"/>
    <w:rsid w:val="00CE1864"/>
    <w:rsid w:val="00D13994"/>
    <w:rsid w:val="00D34B86"/>
    <w:rsid w:val="00D91BDA"/>
    <w:rsid w:val="00DA7502"/>
    <w:rsid w:val="00DB7B74"/>
    <w:rsid w:val="00E115BB"/>
    <w:rsid w:val="00E20ACD"/>
    <w:rsid w:val="00E32ED9"/>
    <w:rsid w:val="00E452C9"/>
    <w:rsid w:val="00E67B55"/>
    <w:rsid w:val="00E72724"/>
    <w:rsid w:val="00E8564E"/>
    <w:rsid w:val="00EB1224"/>
    <w:rsid w:val="00EB1C1A"/>
    <w:rsid w:val="00EC1A52"/>
    <w:rsid w:val="00ED5773"/>
    <w:rsid w:val="00EE6979"/>
    <w:rsid w:val="00EF6A3F"/>
    <w:rsid w:val="00F44092"/>
    <w:rsid w:val="00F4727F"/>
    <w:rsid w:val="00F7008E"/>
    <w:rsid w:val="00F93979"/>
    <w:rsid w:val="00FD0ED1"/>
    <w:rsid w:val="00FF099E"/>
    <w:rsid w:val="00FF7624"/>
    <w:rsid w:val="03003795"/>
    <w:rsid w:val="23D82124"/>
    <w:rsid w:val="57850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Plain Text"/>
    <w:basedOn w:val="1"/>
    <w:link w:val="12"/>
    <w:qFormat/>
    <w:uiPriority w:val="0"/>
    <w:pPr>
      <w:spacing w:line="360" w:lineRule="auto"/>
      <w:ind w:firstLine="480" w:firstLineChars="200"/>
    </w:pPr>
    <w:rPr>
      <w:rFonts w:ascii="仿宋_GB2312" w:hAnsi="Times New Roman"/>
      <w:sz w:val="24"/>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8"/>
    <w:semiHidden/>
    <w:unhideWhenUsed/>
    <w:qFormat/>
    <w:uiPriority w:val="99"/>
    <w:rPr>
      <w:b/>
      <w:bCs/>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annotation reference"/>
    <w:basedOn w:val="9"/>
    <w:semiHidden/>
    <w:unhideWhenUsed/>
    <w:qFormat/>
    <w:uiPriority w:val="99"/>
    <w:rPr>
      <w:sz w:val="21"/>
      <w:szCs w:val="21"/>
    </w:rPr>
  </w:style>
  <w:style w:type="paragraph" w:styleId="11">
    <w:name w:val="List Paragraph"/>
    <w:basedOn w:val="1"/>
    <w:qFormat/>
    <w:uiPriority w:val="34"/>
    <w:pPr>
      <w:ind w:firstLine="420" w:firstLineChars="200"/>
    </w:pPr>
  </w:style>
  <w:style w:type="character" w:customStyle="1" w:styleId="12">
    <w:name w:val="纯文本 字符"/>
    <w:link w:val="3"/>
    <w:qFormat/>
    <w:uiPriority w:val="0"/>
    <w:rPr>
      <w:rFonts w:ascii="仿宋_GB2312" w:hAnsi="Times New Roman"/>
      <w:sz w:val="24"/>
    </w:rPr>
  </w:style>
  <w:style w:type="character" w:customStyle="1" w:styleId="13">
    <w:name w:val="纯文本 Char"/>
    <w:basedOn w:val="9"/>
    <w:semiHidden/>
    <w:qFormat/>
    <w:uiPriority w:val="99"/>
    <w:rPr>
      <w:rFonts w:ascii="宋体" w:hAnsi="Courier New" w:eastAsia="宋体" w:cs="Courier New"/>
      <w:szCs w:val="21"/>
    </w:rPr>
  </w:style>
  <w:style w:type="character" w:customStyle="1" w:styleId="14">
    <w:name w:val="页眉 字符"/>
    <w:basedOn w:val="9"/>
    <w:link w:val="5"/>
    <w:qFormat/>
    <w:uiPriority w:val="99"/>
    <w:rPr>
      <w:sz w:val="18"/>
      <w:szCs w:val="18"/>
    </w:rPr>
  </w:style>
  <w:style w:type="character" w:customStyle="1" w:styleId="15">
    <w:name w:val="页脚 字符"/>
    <w:basedOn w:val="9"/>
    <w:link w:val="4"/>
    <w:qFormat/>
    <w:uiPriority w:val="99"/>
    <w:rPr>
      <w:sz w:val="18"/>
      <w:szCs w:val="18"/>
    </w:rPr>
  </w:style>
  <w:style w:type="paragraph" w:customStyle="1" w:styleId="16">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7">
    <w:name w:val="批注文字 字符"/>
    <w:basedOn w:val="9"/>
    <w:link w:val="2"/>
    <w:semiHidden/>
    <w:qFormat/>
    <w:uiPriority w:val="99"/>
  </w:style>
  <w:style w:type="character" w:customStyle="1" w:styleId="18">
    <w:name w:val="批注主题 字符"/>
    <w:basedOn w:val="17"/>
    <w:link w:val="6"/>
    <w:semiHidden/>
    <w:qFormat/>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46CD50-C5EC-456A-8112-0194DC500C4B}">
  <ds:schemaRefs/>
</ds:datastoreItem>
</file>

<file path=docProps/app.xml><?xml version="1.0" encoding="utf-8"?>
<Properties xmlns="http://schemas.openxmlformats.org/officeDocument/2006/extended-properties" xmlns:vt="http://schemas.openxmlformats.org/officeDocument/2006/docPropsVTypes">
  <Template>Normal</Template>
  <Company>Company</Company>
  <Pages>13</Pages>
  <Words>6107</Words>
  <Characters>7963</Characters>
  <Lines>61</Lines>
  <Paragraphs>17</Paragraphs>
  <TotalTime>3319</TotalTime>
  <ScaleCrop>false</ScaleCrop>
  <LinksUpToDate>false</LinksUpToDate>
  <CharactersWithSpaces>8166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2020-05-19T12:58:00Z</dcterms:created>
  <dc:creator>NTKO</dc:creator>
  <cp:lastModifiedBy>陕西省卫生健康委员会</cp:lastModifiedBy>
  <dcterms:modified xsi:type="dcterms:W3CDTF">2024-07-15T09:55:49Z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1479D49EEE58406EB4A67E910999A035_12</vt:lpwstr>
  </property>
</Properties>
</file>