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pStyle w:val="10"/>
        <w:ind w:left="420" w:firstLine="0" w:firstLineChars="0"/>
        <w:rPr>
          <w:rFonts w:ascii="仿宋_GB2312" w:eastAsia="仿宋_GB2312"/>
          <w:sz w:val="32"/>
        </w:rPr>
      </w:pPr>
      <w:bookmarkStart w:id="0" w:name="_GoBack"/>
      <w:r>
        <w:rPr>
          <w:rFonts w:hint="eastAsia" w:ascii="仿宋_GB2312" w:eastAsia="仿宋_GB2312"/>
          <w:sz w:val="32"/>
        </w:rPr>
        <w:t>中药没食子治疗牙周疾病的机理及应用研究</w:t>
      </w:r>
      <w:bookmarkEnd w:id="0"/>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8"/>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1134"/>
        <w:gridCol w:w="1134"/>
        <w:gridCol w:w="1275"/>
        <w:gridCol w:w="1442"/>
        <w:gridCol w:w="1218"/>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仿宋_GB2312" w:eastAsia="仿宋_GB2312"/>
                <w:szCs w:val="21"/>
              </w:rPr>
            </w:pPr>
            <w:r>
              <w:rPr>
                <w:rFonts w:hint="eastAsia" w:ascii="仿宋_GB2312" w:eastAsia="仿宋_GB2312"/>
                <w:szCs w:val="21"/>
              </w:rPr>
              <w:t>姓名</w:t>
            </w:r>
          </w:p>
        </w:tc>
        <w:tc>
          <w:tcPr>
            <w:tcW w:w="1134"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275" w:type="dxa"/>
          </w:tcPr>
          <w:p>
            <w:pPr>
              <w:jc w:val="center"/>
              <w:rPr>
                <w:rFonts w:ascii="仿宋_GB2312" w:eastAsia="仿宋_GB2312"/>
                <w:szCs w:val="21"/>
              </w:rPr>
            </w:pPr>
            <w:r>
              <w:rPr>
                <w:rFonts w:hint="eastAsia" w:ascii="仿宋_GB2312" w:eastAsia="仿宋_GB2312"/>
                <w:szCs w:val="21"/>
              </w:rPr>
              <w:t>技术职称</w:t>
            </w:r>
          </w:p>
        </w:tc>
        <w:tc>
          <w:tcPr>
            <w:tcW w:w="1442" w:type="dxa"/>
          </w:tcPr>
          <w:p>
            <w:pPr>
              <w:jc w:val="center"/>
              <w:rPr>
                <w:rFonts w:ascii="仿宋_GB2312" w:eastAsia="仿宋_GB2312"/>
                <w:szCs w:val="21"/>
              </w:rPr>
            </w:pPr>
            <w:r>
              <w:rPr>
                <w:rFonts w:hint="eastAsia" w:ascii="仿宋_GB2312" w:eastAsia="仿宋_GB2312"/>
                <w:szCs w:val="21"/>
              </w:rPr>
              <w:t>工作单位</w:t>
            </w:r>
          </w:p>
        </w:tc>
        <w:tc>
          <w:tcPr>
            <w:tcW w:w="1218" w:type="dxa"/>
          </w:tcPr>
          <w:p>
            <w:pPr>
              <w:jc w:val="center"/>
              <w:rPr>
                <w:rFonts w:ascii="仿宋_GB2312" w:eastAsia="仿宋_GB2312"/>
                <w:szCs w:val="21"/>
              </w:rPr>
            </w:pPr>
            <w:r>
              <w:rPr>
                <w:rFonts w:hint="eastAsia" w:ascii="仿宋_GB2312" w:eastAsia="仿宋_GB2312"/>
                <w:szCs w:val="21"/>
              </w:rPr>
              <w:t>完成单位</w:t>
            </w:r>
          </w:p>
        </w:tc>
        <w:tc>
          <w:tcPr>
            <w:tcW w:w="1735"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艾林</w:t>
            </w:r>
          </w:p>
        </w:tc>
        <w:tc>
          <w:tcPr>
            <w:tcW w:w="1134" w:type="dxa"/>
          </w:tcPr>
          <w:p>
            <w:pPr>
              <w:rPr>
                <w:rFonts w:ascii="仿宋_GB2312" w:eastAsia="仿宋_GB2312"/>
                <w:sz w:val="24"/>
              </w:rPr>
            </w:pPr>
            <w:r>
              <w:rPr>
                <w:rFonts w:hint="eastAsia" w:ascii="仿宋_GB2312" w:eastAsia="仿宋_GB2312"/>
                <w:sz w:val="24"/>
              </w:rPr>
              <w:t>1</w:t>
            </w:r>
          </w:p>
        </w:tc>
        <w:tc>
          <w:tcPr>
            <w:tcW w:w="1134" w:type="dxa"/>
          </w:tcPr>
          <w:p>
            <w:pPr>
              <w:rPr>
                <w:rFonts w:ascii="仿宋_GB2312" w:eastAsia="仿宋_GB2312"/>
                <w:sz w:val="24"/>
              </w:rPr>
            </w:pPr>
            <w:r>
              <w:rPr>
                <w:rFonts w:hint="eastAsia" w:ascii="仿宋_GB2312" w:eastAsia="仿宋_GB2312"/>
                <w:sz w:val="24"/>
              </w:rPr>
              <w:t>副主任</w:t>
            </w:r>
          </w:p>
        </w:tc>
        <w:tc>
          <w:tcPr>
            <w:tcW w:w="1275" w:type="dxa"/>
          </w:tcPr>
          <w:p>
            <w:pPr>
              <w:rPr>
                <w:rFonts w:ascii="仿宋_GB2312" w:eastAsia="仿宋_GB2312"/>
                <w:sz w:val="24"/>
              </w:rPr>
            </w:pPr>
            <w:r>
              <w:rPr>
                <w:rFonts w:hint="eastAsia" w:ascii="仿宋_GB2312" w:eastAsia="仿宋_GB2312"/>
                <w:sz w:val="24"/>
              </w:rPr>
              <w:t>副主任医师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项目负责人、临床实验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张若冰</w:t>
            </w:r>
          </w:p>
        </w:tc>
        <w:tc>
          <w:tcPr>
            <w:tcW w:w="1134" w:type="dxa"/>
          </w:tcPr>
          <w:p>
            <w:pPr>
              <w:rPr>
                <w:rFonts w:ascii="仿宋_GB2312" w:eastAsia="仿宋_GB2312"/>
                <w:sz w:val="24"/>
              </w:rPr>
            </w:pPr>
            <w:r>
              <w:rPr>
                <w:rFonts w:hint="eastAsia" w:ascii="仿宋_GB2312" w:eastAsia="仿宋_GB2312"/>
                <w:sz w:val="24"/>
              </w:rPr>
              <w:t>2</w:t>
            </w:r>
          </w:p>
        </w:tc>
        <w:tc>
          <w:tcPr>
            <w:tcW w:w="1134" w:type="dxa"/>
          </w:tcPr>
          <w:p>
            <w:pPr>
              <w:rPr>
                <w:rFonts w:ascii="仿宋_GB2312" w:eastAsia="仿宋_GB2312"/>
                <w:sz w:val="24"/>
              </w:rPr>
            </w:pPr>
            <w:r>
              <w:rPr>
                <w:rFonts w:hint="eastAsia" w:ascii="仿宋_GB2312" w:eastAsia="仿宋_GB2312"/>
                <w:sz w:val="24"/>
              </w:rPr>
              <w:t>副主任</w:t>
            </w:r>
          </w:p>
        </w:tc>
        <w:tc>
          <w:tcPr>
            <w:tcW w:w="1275" w:type="dxa"/>
          </w:tcPr>
          <w:p>
            <w:pPr>
              <w:rPr>
                <w:rFonts w:ascii="仿宋_GB2312" w:eastAsia="仿宋_GB2312"/>
                <w:sz w:val="24"/>
              </w:rPr>
            </w:pPr>
            <w:r>
              <w:rPr>
                <w:rFonts w:hint="eastAsia" w:ascii="仿宋_GB2312" w:eastAsia="仿宋_GB2312"/>
                <w:sz w:val="24"/>
              </w:rPr>
              <w:t>主管药师</w:t>
            </w:r>
          </w:p>
        </w:tc>
        <w:tc>
          <w:tcPr>
            <w:tcW w:w="1442" w:type="dxa"/>
          </w:tcPr>
          <w:p>
            <w:pPr>
              <w:rPr>
                <w:rFonts w:ascii="仿宋_GB2312" w:eastAsia="仿宋_GB2312"/>
                <w:sz w:val="24"/>
              </w:rPr>
            </w:pPr>
            <w:r>
              <w:rPr>
                <w:rFonts w:hint="eastAsia" w:ascii="仿宋_GB2312" w:eastAsia="仿宋_GB2312"/>
                <w:sz w:val="24"/>
              </w:rPr>
              <w:t>陕西省药品监督管理局</w:t>
            </w:r>
          </w:p>
        </w:tc>
        <w:tc>
          <w:tcPr>
            <w:tcW w:w="1218" w:type="dxa"/>
          </w:tcPr>
          <w:p>
            <w:pPr>
              <w:rPr>
                <w:rFonts w:ascii="仿宋_GB2312" w:eastAsia="仿宋_GB2312"/>
                <w:sz w:val="24"/>
              </w:rPr>
            </w:pPr>
            <w:r>
              <w:rPr>
                <w:rFonts w:hint="eastAsia" w:ascii="仿宋_GB2312" w:eastAsia="仿宋_GB2312"/>
                <w:sz w:val="24"/>
              </w:rPr>
              <w:t>陕西省药品监督管理局</w:t>
            </w:r>
          </w:p>
        </w:tc>
        <w:tc>
          <w:tcPr>
            <w:tcW w:w="1735" w:type="dxa"/>
          </w:tcPr>
          <w:p>
            <w:pPr>
              <w:rPr>
                <w:rFonts w:ascii="仿宋_GB2312" w:eastAsia="仿宋_GB2312"/>
                <w:sz w:val="24"/>
              </w:rPr>
            </w:pPr>
            <w:r>
              <w:rPr>
                <w:rFonts w:hint="eastAsia" w:ascii="仿宋_GB2312" w:eastAsia="仿宋_GB2312"/>
                <w:sz w:val="24"/>
              </w:rPr>
              <w:t>药物转化落地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刘玉红</w:t>
            </w:r>
          </w:p>
        </w:tc>
        <w:tc>
          <w:tcPr>
            <w:tcW w:w="1134" w:type="dxa"/>
          </w:tcPr>
          <w:p>
            <w:pPr>
              <w:rPr>
                <w:rFonts w:ascii="仿宋_GB2312" w:eastAsia="仿宋_GB2312"/>
                <w:sz w:val="24"/>
              </w:rPr>
            </w:pPr>
            <w:r>
              <w:rPr>
                <w:rFonts w:hint="eastAsia" w:ascii="仿宋_GB2312" w:eastAsia="仿宋_GB2312"/>
                <w:sz w:val="24"/>
              </w:rPr>
              <w:t>3</w:t>
            </w:r>
          </w:p>
        </w:tc>
        <w:tc>
          <w:tcPr>
            <w:tcW w:w="1134" w:type="dxa"/>
          </w:tcPr>
          <w:p>
            <w:pPr>
              <w:rPr>
                <w:rFonts w:ascii="仿宋_GB2312" w:eastAsia="仿宋_GB2312"/>
                <w:sz w:val="24"/>
              </w:rPr>
            </w:pPr>
            <w:r>
              <w:rPr>
                <w:rFonts w:hint="eastAsia" w:ascii="仿宋_GB2312" w:eastAsia="仿宋_GB2312"/>
                <w:sz w:val="24"/>
              </w:rPr>
              <w:t>主任</w:t>
            </w:r>
          </w:p>
        </w:tc>
        <w:tc>
          <w:tcPr>
            <w:tcW w:w="1275" w:type="dxa"/>
          </w:tcPr>
          <w:p>
            <w:pPr>
              <w:rPr>
                <w:rFonts w:ascii="仿宋_GB2312" w:eastAsia="仿宋_GB2312"/>
                <w:sz w:val="24"/>
              </w:rPr>
            </w:pPr>
            <w:r>
              <w:rPr>
                <w:rFonts w:hint="eastAsia" w:ascii="仿宋_GB2312" w:eastAsia="仿宋_GB2312"/>
                <w:sz w:val="24"/>
              </w:rPr>
              <w:t>副主任医师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基础研究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李恺</w:t>
            </w:r>
          </w:p>
        </w:tc>
        <w:tc>
          <w:tcPr>
            <w:tcW w:w="1134" w:type="dxa"/>
          </w:tcPr>
          <w:p>
            <w:pPr>
              <w:rPr>
                <w:rFonts w:ascii="仿宋_GB2312" w:eastAsia="仿宋_GB2312"/>
                <w:sz w:val="24"/>
              </w:rPr>
            </w:pPr>
            <w:r>
              <w:rPr>
                <w:rFonts w:hint="eastAsia" w:ascii="仿宋_GB2312" w:eastAsia="仿宋_GB2312"/>
                <w:sz w:val="24"/>
              </w:rPr>
              <w:t>4</w:t>
            </w:r>
          </w:p>
        </w:tc>
        <w:tc>
          <w:tcPr>
            <w:tcW w:w="1134" w:type="dxa"/>
          </w:tcPr>
          <w:p>
            <w:pPr>
              <w:rPr>
                <w:rFonts w:ascii="仿宋_GB2312" w:eastAsia="仿宋_GB2312"/>
                <w:sz w:val="24"/>
              </w:rPr>
            </w:pPr>
            <w:r>
              <w:rPr>
                <w:rFonts w:hint="eastAsia" w:ascii="仿宋_GB2312" w:eastAsia="仿宋_GB2312"/>
                <w:sz w:val="24"/>
              </w:rPr>
              <w:t>无</w:t>
            </w:r>
          </w:p>
        </w:tc>
        <w:tc>
          <w:tcPr>
            <w:tcW w:w="1275" w:type="dxa"/>
          </w:tcPr>
          <w:p>
            <w:pPr>
              <w:rPr>
                <w:rFonts w:ascii="仿宋_GB2312" w:eastAsia="仿宋_GB2312"/>
                <w:sz w:val="24"/>
              </w:rPr>
            </w:pPr>
            <w:r>
              <w:rPr>
                <w:rFonts w:hint="eastAsia" w:ascii="仿宋_GB2312" w:eastAsia="仿宋_GB2312"/>
                <w:sz w:val="24"/>
              </w:rPr>
              <w:t>主治医师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组织学研究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张琳静</w:t>
            </w:r>
          </w:p>
        </w:tc>
        <w:tc>
          <w:tcPr>
            <w:tcW w:w="1134" w:type="dxa"/>
          </w:tcPr>
          <w:p>
            <w:pPr>
              <w:rPr>
                <w:rFonts w:ascii="仿宋_GB2312" w:eastAsia="仿宋_GB2312"/>
                <w:sz w:val="24"/>
              </w:rPr>
            </w:pPr>
            <w:r>
              <w:rPr>
                <w:rFonts w:hint="eastAsia" w:ascii="仿宋_GB2312" w:eastAsia="仿宋_GB2312"/>
                <w:sz w:val="24"/>
              </w:rPr>
              <w:t>5</w:t>
            </w:r>
          </w:p>
        </w:tc>
        <w:tc>
          <w:tcPr>
            <w:tcW w:w="1134" w:type="dxa"/>
          </w:tcPr>
          <w:p>
            <w:pPr>
              <w:rPr>
                <w:rFonts w:ascii="仿宋_GB2312" w:eastAsia="仿宋_GB2312"/>
                <w:sz w:val="24"/>
              </w:rPr>
            </w:pPr>
            <w:r>
              <w:rPr>
                <w:rFonts w:hint="eastAsia" w:ascii="仿宋_GB2312" w:eastAsia="仿宋_GB2312"/>
                <w:sz w:val="24"/>
              </w:rPr>
              <w:t>主任</w:t>
            </w:r>
          </w:p>
        </w:tc>
        <w:tc>
          <w:tcPr>
            <w:tcW w:w="1275" w:type="dxa"/>
          </w:tcPr>
          <w:p>
            <w:pPr>
              <w:rPr>
                <w:rFonts w:ascii="仿宋_GB2312" w:eastAsia="仿宋_GB2312"/>
                <w:sz w:val="24"/>
              </w:rPr>
            </w:pPr>
            <w:r>
              <w:rPr>
                <w:rFonts w:hint="eastAsia" w:ascii="仿宋_GB2312" w:eastAsia="仿宋_GB2312"/>
                <w:sz w:val="24"/>
              </w:rPr>
              <w:t>主管药师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药物制备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高鹏</w:t>
            </w:r>
          </w:p>
        </w:tc>
        <w:tc>
          <w:tcPr>
            <w:tcW w:w="1134" w:type="dxa"/>
          </w:tcPr>
          <w:p>
            <w:pPr>
              <w:rPr>
                <w:rFonts w:ascii="仿宋_GB2312" w:eastAsia="仿宋_GB2312"/>
                <w:sz w:val="24"/>
              </w:rPr>
            </w:pPr>
            <w:r>
              <w:rPr>
                <w:rFonts w:hint="eastAsia" w:ascii="仿宋_GB2312" w:eastAsia="仿宋_GB2312"/>
                <w:sz w:val="24"/>
              </w:rPr>
              <w:t>6</w:t>
            </w:r>
          </w:p>
        </w:tc>
        <w:tc>
          <w:tcPr>
            <w:tcW w:w="1134" w:type="dxa"/>
          </w:tcPr>
          <w:p>
            <w:pPr>
              <w:rPr>
                <w:rFonts w:ascii="仿宋_GB2312" w:eastAsia="仿宋_GB2312"/>
                <w:sz w:val="24"/>
              </w:rPr>
            </w:pPr>
            <w:r>
              <w:rPr>
                <w:rFonts w:hint="eastAsia" w:ascii="仿宋_GB2312" w:eastAsia="仿宋_GB2312"/>
                <w:sz w:val="24"/>
              </w:rPr>
              <w:t>护士长</w:t>
            </w:r>
          </w:p>
        </w:tc>
        <w:tc>
          <w:tcPr>
            <w:tcW w:w="1275" w:type="dxa"/>
          </w:tcPr>
          <w:p>
            <w:pPr>
              <w:rPr>
                <w:rFonts w:ascii="仿宋_GB2312" w:eastAsia="仿宋_GB2312"/>
                <w:sz w:val="24"/>
              </w:rPr>
            </w:pPr>
            <w:r>
              <w:rPr>
                <w:rFonts w:hint="eastAsia" w:ascii="仿宋_GB2312" w:eastAsia="仿宋_GB2312"/>
                <w:sz w:val="24"/>
              </w:rPr>
              <w:t>主管护师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药物性质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仿宋_GB2312" w:eastAsia="仿宋_GB2312"/>
                <w:sz w:val="24"/>
              </w:rPr>
            </w:pPr>
            <w:r>
              <w:rPr>
                <w:rFonts w:hint="eastAsia" w:ascii="仿宋_GB2312" w:eastAsia="仿宋_GB2312"/>
                <w:sz w:val="24"/>
              </w:rPr>
              <w:t>徐娜</w:t>
            </w:r>
          </w:p>
        </w:tc>
        <w:tc>
          <w:tcPr>
            <w:tcW w:w="1134" w:type="dxa"/>
          </w:tcPr>
          <w:p>
            <w:pPr>
              <w:rPr>
                <w:rFonts w:ascii="仿宋_GB2312" w:eastAsia="仿宋_GB2312"/>
                <w:sz w:val="24"/>
              </w:rPr>
            </w:pPr>
            <w:r>
              <w:rPr>
                <w:rFonts w:hint="eastAsia" w:ascii="仿宋_GB2312" w:eastAsia="仿宋_GB2312"/>
                <w:sz w:val="24"/>
              </w:rPr>
              <w:t>7</w:t>
            </w:r>
          </w:p>
        </w:tc>
        <w:tc>
          <w:tcPr>
            <w:tcW w:w="1134" w:type="dxa"/>
          </w:tcPr>
          <w:p>
            <w:pPr>
              <w:rPr>
                <w:rFonts w:ascii="仿宋_GB2312" w:eastAsia="仿宋_GB2312"/>
                <w:sz w:val="24"/>
              </w:rPr>
            </w:pPr>
            <w:r>
              <w:rPr>
                <w:rFonts w:hint="eastAsia" w:ascii="仿宋_GB2312" w:eastAsia="仿宋_GB2312"/>
                <w:sz w:val="24"/>
              </w:rPr>
              <w:t>护士长</w:t>
            </w:r>
          </w:p>
        </w:tc>
        <w:tc>
          <w:tcPr>
            <w:tcW w:w="1275" w:type="dxa"/>
          </w:tcPr>
          <w:p>
            <w:pPr>
              <w:rPr>
                <w:rFonts w:ascii="仿宋_GB2312" w:eastAsia="仿宋_GB2312"/>
                <w:sz w:val="24"/>
              </w:rPr>
            </w:pPr>
            <w:r>
              <w:rPr>
                <w:rFonts w:hint="eastAsia" w:ascii="仿宋_GB2312" w:eastAsia="仿宋_GB2312"/>
                <w:sz w:val="24"/>
              </w:rPr>
              <w:t>护师</w:t>
            </w:r>
          </w:p>
        </w:tc>
        <w:tc>
          <w:tcPr>
            <w:tcW w:w="1442" w:type="dxa"/>
          </w:tcPr>
          <w:p>
            <w:pPr>
              <w:rPr>
                <w:rFonts w:ascii="仿宋_GB2312" w:eastAsia="仿宋_GB2312"/>
                <w:sz w:val="24"/>
              </w:rPr>
            </w:pPr>
            <w:r>
              <w:rPr>
                <w:rFonts w:hint="eastAsia" w:ascii="仿宋_GB2312" w:eastAsia="仿宋_GB2312"/>
                <w:sz w:val="24"/>
              </w:rPr>
              <w:t>空军军医大学</w:t>
            </w:r>
          </w:p>
        </w:tc>
        <w:tc>
          <w:tcPr>
            <w:tcW w:w="1218" w:type="dxa"/>
          </w:tcPr>
          <w:p>
            <w:pPr>
              <w:rPr>
                <w:rFonts w:ascii="仿宋_GB2312" w:eastAsia="仿宋_GB2312"/>
                <w:sz w:val="24"/>
              </w:rPr>
            </w:pPr>
            <w:r>
              <w:rPr>
                <w:rFonts w:hint="eastAsia" w:ascii="仿宋_GB2312" w:eastAsia="仿宋_GB2312"/>
                <w:sz w:val="24"/>
              </w:rPr>
              <w:t>空军军医大学</w:t>
            </w:r>
          </w:p>
        </w:tc>
        <w:tc>
          <w:tcPr>
            <w:tcW w:w="1735" w:type="dxa"/>
          </w:tcPr>
          <w:p>
            <w:pPr>
              <w:rPr>
                <w:rFonts w:ascii="仿宋_GB2312" w:eastAsia="仿宋_GB2312"/>
                <w:sz w:val="24"/>
              </w:rPr>
            </w:pPr>
            <w:r>
              <w:rPr>
                <w:rFonts w:hint="eastAsia" w:ascii="仿宋_GB2312" w:eastAsia="仿宋_GB2312"/>
                <w:sz w:val="24"/>
              </w:rPr>
              <w:t>动物实验</w:t>
            </w:r>
          </w:p>
        </w:tc>
      </w:tr>
    </w:tbl>
    <w:p>
      <w:pPr>
        <w:spacing w:before="156" w:beforeLines="50" w:line="340" w:lineRule="exact"/>
        <w:ind w:firstLine="640" w:firstLineChars="200"/>
        <w:rPr>
          <w:rFonts w:hint="eastAsia" w:ascii="黑体" w:hAnsi="黑体" w:eastAsia="黑体" w:cs="黑体"/>
          <w:sz w:val="32"/>
        </w:rPr>
      </w:pPr>
      <w:r>
        <w:rPr>
          <w:rFonts w:hint="eastAsia" w:ascii="黑体" w:hAnsi="黑体" w:eastAsia="黑体" w:cs="黑体"/>
          <w:sz w:val="32"/>
        </w:rPr>
        <w:t>三、主要完成单位及创新推广贡献</w:t>
      </w:r>
    </w:p>
    <w:tbl>
      <w:tblPr>
        <w:tblStyle w:val="8"/>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jc w:val="center"/>
              <w:rPr>
                <w:rFonts w:ascii="仿宋_GB2312" w:eastAsia="仿宋_GB2312"/>
                <w:szCs w:val="21"/>
              </w:rPr>
            </w:pPr>
            <w:r>
              <w:rPr>
                <w:rFonts w:hint="eastAsia" w:ascii="仿宋_GB2312" w:eastAsia="仿宋_GB2312"/>
                <w:szCs w:val="21"/>
              </w:rPr>
              <w:t>完成单位</w:t>
            </w:r>
          </w:p>
        </w:tc>
        <w:tc>
          <w:tcPr>
            <w:tcW w:w="1843" w:type="dxa"/>
          </w:tcPr>
          <w:p>
            <w:pPr>
              <w:jc w:val="center"/>
              <w:rPr>
                <w:rFonts w:ascii="仿宋_GB2312" w:eastAsia="仿宋_GB2312"/>
                <w:szCs w:val="21"/>
              </w:rPr>
            </w:pPr>
            <w:r>
              <w:rPr>
                <w:rFonts w:hint="eastAsia" w:ascii="仿宋_GB2312" w:eastAsia="仿宋_GB2312"/>
                <w:szCs w:val="21"/>
              </w:rPr>
              <w:t>排名</w:t>
            </w:r>
          </w:p>
        </w:tc>
        <w:tc>
          <w:tcPr>
            <w:tcW w:w="5245" w:type="dxa"/>
          </w:tcPr>
          <w:p>
            <w:pPr>
              <w:jc w:val="center"/>
              <w:rPr>
                <w:rFonts w:ascii="仿宋_GB2312" w:eastAsia="仿宋_GB2312"/>
                <w:szCs w:val="21"/>
              </w:rPr>
            </w:pPr>
            <w:r>
              <w:rPr>
                <w:rFonts w:hint="eastAsia" w:ascii="仿宋_GB2312" w:eastAsia="仿宋_GB2312"/>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空军军医大学</w:t>
            </w:r>
          </w:p>
        </w:tc>
        <w:tc>
          <w:tcPr>
            <w:tcW w:w="1843" w:type="dxa"/>
          </w:tcPr>
          <w:p>
            <w:pPr>
              <w:rPr>
                <w:rFonts w:ascii="仿宋_GB2312" w:eastAsia="仿宋_GB2312"/>
                <w:szCs w:val="21"/>
              </w:rPr>
            </w:pPr>
            <w:r>
              <w:rPr>
                <w:rFonts w:hint="eastAsia" w:ascii="仿宋_GB2312" w:eastAsia="仿宋_GB2312"/>
                <w:szCs w:val="21"/>
              </w:rPr>
              <w:t>1</w:t>
            </w:r>
          </w:p>
        </w:tc>
        <w:tc>
          <w:tcPr>
            <w:tcW w:w="5245" w:type="dxa"/>
          </w:tcPr>
          <w:p>
            <w:pPr>
              <w:rPr>
                <w:rFonts w:ascii="仿宋_GB2312" w:eastAsia="仿宋_GB2312"/>
                <w:szCs w:val="21"/>
              </w:rPr>
            </w:pPr>
            <w:r>
              <w:rPr>
                <w:rFonts w:hint="eastAsia" w:ascii="仿宋_GB2312" w:eastAsia="仿宋_GB2312"/>
                <w:szCs w:val="21"/>
              </w:rPr>
              <w:t>中国人民解放军空军军医大学（第四军医大学）是一所培养高、中层次医学专业人才的全国重点大学，是国家“双一流”建设首批一流学科建设院校。拥有中国科学院院士2名、工程院院士5名，是国务院批准的首批博士、硕士学位授权单位。</w:t>
            </w:r>
          </w:p>
          <w:p>
            <w:pPr>
              <w:rPr>
                <w:rFonts w:ascii="仿宋_GB2312" w:eastAsia="仿宋_GB2312"/>
                <w:szCs w:val="21"/>
              </w:rPr>
            </w:pPr>
            <w:r>
              <w:rPr>
                <w:rFonts w:hint="eastAsia" w:ascii="仿宋_GB2312" w:eastAsia="仿宋_GB2312"/>
                <w:szCs w:val="21"/>
              </w:rPr>
              <w:t>项目组依托空军军医大学，除采取研究目标集中、长短结合及研究内容紧密衔接等组织形式外，还要采取多种组织管理方式促进项目进展，包括：①成立学术顾向委员会；②采用层次化和子项目负责管理运行机制；③对优秀人才开放机制；④研究项目滚动制，制订严格科学的项目考核标准，每半年进行 1 次研究进度考核。</w:t>
            </w:r>
          </w:p>
          <w:p>
            <w:pPr>
              <w:rPr>
                <w:rFonts w:ascii="仿宋_GB2312" w:eastAsia="仿宋_GB2312"/>
                <w:szCs w:val="21"/>
              </w:rPr>
            </w:pPr>
            <w:r>
              <w:rPr>
                <w:rFonts w:hint="eastAsia" w:ascii="仿宋_GB2312" w:eastAsia="仿宋_GB2312"/>
                <w:szCs w:val="21"/>
              </w:rPr>
              <w:t>空军军医大学参与了相关口腔护理产品的开发，包括含有没食子的漱口水、溃疡膜等。这些产品能够帮助消费者在日常生活中预防和改善牙周疾病。同时通过学术讲座、培训班等形式，向基层医院和口腔科医生推广没食子治疗牙周疾病的技术规范，这有助于提升基层医疗机构对牙周疾病的诊疗水平，让更多的患者受益。通过与其他医疗机构和科研机构建立合作关系，共同开展没食子治疗牙周疾病的深入研究，推动没食子在牙周疾病治疗领域的应用和发展。空军军医大学在中药没食子治疗牙周疾病的机理及应用研究方面取得了显著的科技创新成果，并通过产品开发、技术推广和合作交流等方式积极推动其应用推广。这些贡献不仅有助于提升牙周疾病的诊疗水平，也为中药在口腔医学领域的应用提供了宝贵的经验和启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陕西省药品监督管理局</w:t>
            </w:r>
          </w:p>
        </w:tc>
        <w:tc>
          <w:tcPr>
            <w:tcW w:w="1843" w:type="dxa"/>
          </w:tcPr>
          <w:p>
            <w:pPr>
              <w:rPr>
                <w:rFonts w:ascii="仿宋_GB2312" w:eastAsia="仿宋_GB2312"/>
                <w:szCs w:val="21"/>
              </w:rPr>
            </w:pPr>
            <w:r>
              <w:rPr>
                <w:rFonts w:hint="eastAsia" w:ascii="仿宋_GB2312" w:eastAsia="仿宋_GB2312"/>
                <w:szCs w:val="21"/>
              </w:rPr>
              <w:t>2</w:t>
            </w:r>
          </w:p>
        </w:tc>
        <w:tc>
          <w:tcPr>
            <w:tcW w:w="5245" w:type="dxa"/>
          </w:tcPr>
          <w:p>
            <w:pPr>
              <w:rPr>
                <w:rFonts w:ascii="仿宋_GB2312" w:eastAsia="仿宋_GB2312"/>
                <w:szCs w:val="21"/>
              </w:rPr>
            </w:pPr>
            <w:r>
              <w:rPr>
                <w:rFonts w:hint="eastAsia" w:ascii="仿宋_GB2312" w:eastAsia="仿宋_GB2312"/>
                <w:szCs w:val="21"/>
              </w:rPr>
              <w:t>1 提高药品研发质量：药品技术审评中心通过严格的审评标准和程序，对没食子研发过程中的科研成果进行综合评价，确保没食子的安全性、有效性和质量可控性。</w:t>
            </w:r>
          </w:p>
          <w:p>
            <w:pPr>
              <w:rPr>
                <w:rFonts w:ascii="仿宋_GB2312" w:eastAsia="仿宋_GB2312"/>
                <w:szCs w:val="21"/>
              </w:rPr>
            </w:pPr>
            <w:r>
              <w:rPr>
                <w:rFonts w:hint="eastAsia" w:ascii="仿宋_GB2312" w:eastAsia="仿宋_GB2312"/>
                <w:szCs w:val="21"/>
              </w:rPr>
              <w:t>2 推动创新药物研发：审评中心关注没食子的研发进展，对科研成果给予重点关注和支持。</w:t>
            </w:r>
          </w:p>
          <w:p>
            <w:pPr>
              <w:rPr>
                <w:rFonts w:ascii="仿宋_GB2312" w:eastAsia="仿宋_GB2312"/>
                <w:szCs w:val="21"/>
              </w:rPr>
            </w:pPr>
            <w:r>
              <w:rPr>
                <w:rFonts w:hint="eastAsia" w:ascii="仿宋_GB2312" w:eastAsia="仿宋_GB2312"/>
                <w:szCs w:val="21"/>
              </w:rPr>
              <w:t>3 促进科研成果转化：药品技术审评中心在审评过程中，积极与项目组沟通，了解需求和困难，提供针对性的指导和帮助。</w:t>
            </w:r>
          </w:p>
        </w:tc>
      </w:tr>
    </w:tbl>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640" w:firstLineChars="200"/>
        <w:rPr>
          <w:rFonts w:hint="default" w:ascii="仿宋_GB2312" w:eastAsia="仿宋_GB2312"/>
          <w:sz w:val="32"/>
          <w:lang w:val="en-US" w:eastAsia="zh-CN"/>
        </w:rPr>
      </w:pPr>
      <w:r>
        <w:rPr>
          <w:rFonts w:hint="eastAsia" w:ascii="仿宋_GB2312" w:eastAsia="仿宋_GB2312"/>
          <w:sz w:val="32"/>
          <w:lang w:val="en-US" w:eastAsia="zh-CN"/>
        </w:rPr>
        <w:t>陕西省卫生健康委</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10"/>
        <w:rPr>
          <w:rFonts w:ascii="仿宋_GB2312" w:eastAsia="仿宋_GB2312"/>
          <w:sz w:val="32"/>
        </w:rPr>
      </w:pPr>
      <w:r>
        <w:rPr>
          <w:rFonts w:hint="eastAsia" w:ascii="仿宋_GB2312" w:eastAsia="仿宋_GB2312"/>
          <w:sz w:val="32"/>
          <w:lang w:val="en-US" w:eastAsia="zh-CN"/>
        </w:rPr>
        <w:t>拟</w:t>
      </w:r>
      <w:r>
        <w:rPr>
          <w:rFonts w:hint="eastAsia" w:ascii="仿宋_GB2312" w:eastAsia="仿宋_GB2312"/>
          <w:sz w:val="32"/>
        </w:rPr>
        <w:t>提名该项目为陕西省科学技术进步奖。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ind w:firstLine="640" w:firstLineChars="200"/>
        <w:rPr>
          <w:rFonts w:ascii="仿宋_GB2312" w:eastAsia="仿宋_GB2312"/>
          <w:sz w:val="32"/>
        </w:rPr>
      </w:pPr>
      <w:r>
        <w:rPr>
          <w:rFonts w:hint="eastAsia" w:ascii="仿宋_GB2312" w:eastAsia="仿宋_GB2312"/>
          <w:sz w:val="32"/>
        </w:rPr>
        <w:t>1</w:t>
      </w:r>
      <w:r>
        <w:rPr>
          <w:rFonts w:hint="eastAsia" w:ascii="仿宋_GB2312" w:eastAsia="仿宋_GB2312"/>
          <w:sz w:val="32"/>
          <w:lang w:eastAsia="zh-CN"/>
        </w:rPr>
        <w:t>.</w:t>
      </w:r>
      <w:r>
        <w:rPr>
          <w:rFonts w:hint="eastAsia" w:ascii="仿宋_GB2312" w:eastAsia="仿宋_GB2312"/>
          <w:sz w:val="32"/>
        </w:rPr>
        <w:t>主要技术内容</w:t>
      </w:r>
    </w:p>
    <w:p>
      <w:pPr>
        <w:ind w:firstLine="640" w:firstLineChars="200"/>
        <w:rPr>
          <w:rFonts w:ascii="仿宋_GB2312" w:eastAsia="仿宋_GB2312"/>
          <w:sz w:val="32"/>
        </w:rPr>
      </w:pPr>
      <w:r>
        <w:rPr>
          <w:rFonts w:hint="eastAsia" w:ascii="仿宋_GB2312" w:eastAsia="仿宋_GB2312"/>
          <w:sz w:val="32"/>
        </w:rPr>
        <w:t>中医药是我国优良传统文化和古代科学的瑰宝，中药作为重要组成部分之一，凭借其独特的药效在世界医学界占有举足轻重的地位。近年来天然草药应用范围不断扩大。其中没食子已成为牙周病中药治疗领域的明星药物而广受关注，《唐本草》、《海药本草》、《开宝本草》等中医书都有论述。没食子具有固涩、收敛、燥湿、止血、消炎的作用，已被证实具备抗炎、抗氧化和抗菌活性。近十年来，没食子临床应用范围不断扩大，中药没食子口腔临床应用国内外报道的文献甚少。但目前关于该药材的抗炎活性物质还缺乏深入系统的研究，不利于中药没食子的进一步开发与利用。同时，由于缺少先进的加工手段和提取工艺，中药提取后其生物活性有效成分容易被破坏或提取不充分，机体吸收率低，药效难以充分发挥，因此迫切需要将中药制剂工艺与现代科学技术相结合，提升其现代化的水平。应用纳米技术无疑是实现这一目标的有效途径。现代研究表明，药物在生物体内的起效时间、作用强度和持续时间除了与药物本身的化学结构有关外，还与药物的物理状态密切相关，而改变药物的单元尺寸是改变其物理状态的有效方法。中药纳米化后将会导致药物的物理和生物特性发生重要变化，采用纳米技术将中药制成纳米微囊,或进一步制成纳米级粉针剂,还可将水溶性小及难溶的药物加工成纳米颗粒,这将提高肌体的吸收率和生物利用度,增强疗效,减少毒副作用。</w:t>
      </w:r>
    </w:p>
    <w:p>
      <w:pPr>
        <w:ind w:firstLine="640" w:firstLineChars="200"/>
        <w:rPr>
          <w:rFonts w:ascii="仿宋_GB2312" w:eastAsia="仿宋_GB2312"/>
          <w:sz w:val="32"/>
        </w:rPr>
      </w:pPr>
      <w:r>
        <w:rPr>
          <w:rFonts w:hint="eastAsia" w:ascii="仿宋_GB2312" w:eastAsia="仿宋_GB2312"/>
          <w:sz w:val="32"/>
        </w:rPr>
        <w:t>基于以上特点，本课题组围绕没食子对牙周炎症的作用以及纳米没食子药材的加工方法开展了系列研究，成功研制了1nm以下直径的没食子药材，制备了含没食子的泡腾片和溃疡膜，并对其理化性质、药物毒性、生物学活性、抑菌、抗炎、抗真菌、抗氧化、矿化能力、对牙周致病菌群的影响，最后对于没食子对牙周组织炎症的影响机制也进行了探索。对于制备的泡腾片进行了临床验证，为中药没食子的临床应用打下了坚实的基础。</w:t>
      </w:r>
    </w:p>
    <w:p>
      <w:pPr>
        <w:ind w:firstLine="640" w:firstLineChars="200"/>
        <w:rPr>
          <w:rFonts w:ascii="仿宋_GB2312" w:eastAsia="仿宋_GB2312"/>
          <w:sz w:val="32"/>
        </w:rPr>
      </w:pPr>
      <w:r>
        <w:rPr>
          <w:rFonts w:hint="eastAsia" w:ascii="仿宋_GB2312" w:eastAsia="仿宋_GB2312"/>
          <w:sz w:val="32"/>
        </w:rPr>
        <w:t>本研究发现：①没食子粒径越小，其水溶性、总酚类含量越高，说明没食子纳米化具备更好的理化性质；②没食子无细胞毒性，可提高细胞的黏附性、伸展性、细胞活力以及细胞迁移，证实没食子有良好的生物学活性；③没食子可以抑制氧自由基的产生，提高 Nrf2 和 HO-1 基因的和蛋白的表达，表明没食子具备优秀的抗氧化作用；④没食子能降低炎性因子基因及蛋白表达水平显著、LPS 诱导的 OPG/sRANKL 比值，激活 NF-κB分子通路，减少胶原纤维和牙槽骨丧失，表明没食子具备良好的抗炎、促进牙周组织修复以及促进牙槽骨矿化的作用；⑤没食子提取物可以抑制生物膜的细胞活力和代谢活性，使牙周主要致病菌的构成比均出现显著的下降，说明没食子有良好的抗菌作用。⑥临床研究结果显示受试者临床牙周指数、口臭情况在应用没食子泡腾片后有了显著改善。</w:t>
      </w:r>
    </w:p>
    <w:p>
      <w:pPr>
        <w:ind w:firstLine="640" w:firstLineChars="200"/>
        <w:rPr>
          <w:rFonts w:ascii="仿宋_GB2312" w:eastAsia="仿宋_GB2312"/>
          <w:sz w:val="32"/>
        </w:rPr>
      </w:pPr>
      <w:r>
        <w:rPr>
          <w:rFonts w:hint="eastAsia" w:ascii="仿宋_GB2312" w:eastAsia="仿宋_GB2312"/>
          <w:sz w:val="32"/>
        </w:rPr>
        <w:t>2</w:t>
      </w:r>
      <w:r>
        <w:rPr>
          <w:rFonts w:hint="eastAsia" w:ascii="仿宋_GB2312" w:eastAsia="仿宋_GB2312"/>
          <w:sz w:val="32"/>
          <w:lang w:eastAsia="zh-CN"/>
        </w:rPr>
        <w:t>.</w:t>
      </w:r>
      <w:r>
        <w:rPr>
          <w:rFonts w:hint="eastAsia" w:ascii="仿宋_GB2312" w:eastAsia="仿宋_GB2312"/>
          <w:sz w:val="32"/>
        </w:rPr>
        <w:t>同行引用及评价</w:t>
      </w:r>
    </w:p>
    <w:p>
      <w:pPr>
        <w:ind w:firstLine="640" w:firstLineChars="200"/>
        <w:rPr>
          <w:rFonts w:ascii="仿宋_GB2312" w:eastAsia="仿宋_GB2312"/>
          <w:sz w:val="32"/>
        </w:rPr>
      </w:pPr>
      <w:r>
        <w:rPr>
          <w:rFonts w:hint="eastAsia" w:ascii="仿宋_GB2312" w:eastAsia="仿宋_GB2312"/>
          <w:sz w:val="32"/>
        </w:rPr>
        <w:t>本研究共发表相关论著10篇，被引12次，普遍受到同行的认可。授权实用新型专利2项，软件著作权2项，申请专利1项，等待授权。</w:t>
      </w:r>
    </w:p>
    <w:p>
      <w:pPr>
        <w:ind w:firstLine="640" w:firstLineChars="200"/>
        <w:rPr>
          <w:rFonts w:ascii="仿宋_GB2312" w:eastAsia="仿宋_GB2312"/>
          <w:sz w:val="32"/>
        </w:rPr>
      </w:pPr>
      <w:r>
        <w:rPr>
          <w:rFonts w:hint="eastAsia" w:ascii="仿宋_GB2312" w:eastAsia="仿宋_GB2312"/>
          <w:sz w:val="32"/>
        </w:rPr>
        <w:t>3</w:t>
      </w:r>
      <w:r>
        <w:rPr>
          <w:rFonts w:hint="eastAsia" w:ascii="仿宋_GB2312" w:eastAsia="仿宋_GB2312"/>
          <w:sz w:val="32"/>
          <w:lang w:eastAsia="zh-CN"/>
        </w:rPr>
        <w:t>.</w:t>
      </w:r>
      <w:r>
        <w:rPr>
          <w:rFonts w:hint="eastAsia" w:ascii="仿宋_GB2312" w:eastAsia="仿宋_GB2312"/>
          <w:sz w:val="32"/>
        </w:rPr>
        <w:t>技术经济指标</w:t>
      </w:r>
    </w:p>
    <w:p>
      <w:pPr>
        <w:ind w:firstLine="640" w:firstLineChars="200"/>
        <w:rPr>
          <w:rFonts w:ascii="仿宋_GB2312" w:eastAsia="仿宋_GB2312"/>
          <w:sz w:val="32"/>
        </w:rPr>
      </w:pPr>
      <w:r>
        <w:rPr>
          <w:rFonts w:hint="eastAsia" w:ascii="仿宋_GB2312" w:eastAsia="仿宋_GB2312"/>
          <w:sz w:val="32"/>
        </w:rPr>
        <w:t>没食子源自天然，具有长久的民间运用基础，开拓风险相较于其他传统药物较低，显现出很大的开拓力和产业成长远景。对没食子的药效成分进行全面、系统的分析以找到更加有效的应用方法将成为其研究发展趋势。因此，治疗牙周疾病、具有自主知识产权的没食子提取物的开发必然具有巨大的市场空间，符合现代创新中药开发的潮流，具备良好的经济效益。预估每年创造经济价值1亿元左右。本项目立足前期系列研究成果，设计含有没食子的泡腾片和溃疡膜，对其进行有效性及安全性研究，创制适应症聚焦、功效突显、临床优效、安全可控的具有自主知识产权防治口腔疾病的中药，为中药复方创制重大新药提供数据支撑，为没食子品种的再评价与二次开发奠定基础，提从而推动我省中药经济的发展，并且促进科技成果就地转化，实现创新驱动、内生发展。</w:t>
      </w:r>
    </w:p>
    <w:p>
      <w:pPr>
        <w:ind w:firstLine="640" w:firstLineChars="200"/>
        <w:rPr>
          <w:rFonts w:ascii="仿宋_GB2312" w:eastAsia="仿宋_GB2312"/>
          <w:sz w:val="32"/>
        </w:rPr>
      </w:pPr>
      <w:r>
        <w:rPr>
          <w:rFonts w:hint="eastAsia" w:ascii="仿宋_GB2312" w:eastAsia="仿宋_GB2312"/>
          <w:sz w:val="32"/>
        </w:rPr>
        <w:t>4</w:t>
      </w:r>
      <w:r>
        <w:rPr>
          <w:rFonts w:hint="eastAsia" w:ascii="仿宋_GB2312" w:eastAsia="仿宋_GB2312"/>
          <w:sz w:val="32"/>
          <w:lang w:eastAsia="zh-CN"/>
        </w:rPr>
        <w:t>.</w:t>
      </w:r>
      <w:r>
        <w:rPr>
          <w:rFonts w:hint="eastAsia" w:ascii="仿宋_GB2312" w:eastAsia="仿宋_GB2312"/>
          <w:sz w:val="32"/>
        </w:rPr>
        <w:t>应用推广及效益情况</w:t>
      </w:r>
    </w:p>
    <w:p>
      <w:pPr>
        <w:ind w:firstLine="640" w:firstLineChars="200"/>
        <w:rPr>
          <w:rFonts w:ascii="仿宋_GB2312" w:eastAsia="仿宋_GB2312"/>
          <w:sz w:val="32"/>
        </w:rPr>
      </w:pPr>
      <w:r>
        <w:rPr>
          <w:rFonts w:hint="eastAsia" w:ascii="仿宋_GB2312" w:eastAsia="仿宋_GB2312"/>
          <w:sz w:val="32"/>
        </w:rPr>
        <w:t>随着我国经济的迅猛发展和人民生活水平的提高以及生活方式的改变，人群口腔疾病的发病率逐年上升，严重影响人民的生活质量。这样一个庞大的消费患者群体，意味着口腔疾病治疗药物具有庞大的市场规模，另一方面，中药治疗口腔疾病具有毒副作用低、无耐药性、且不需要手术等优点，已被广大患者广泛接受，临床需求日渐增大。因此，口腔疾病治疗药物的研究将成为行业市场关注的焦点，不断发展壮大。本课题组长期从事没食子的研究与转化，目前已开发出漱口液、泡腾片和溃疡膜，处于进入市场的最后阶段，预计落地后年产值超5000万元。</w:t>
      </w:r>
    </w:p>
    <w:p>
      <w:pPr>
        <w:rPr>
          <w:rFonts w:ascii="仿宋_GB2312" w:eastAsia="仿宋_GB2312"/>
          <w:sz w:val="32"/>
        </w:rPr>
      </w:pP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ind w:firstLine="640" w:firstLineChars="200"/>
        <w:rPr>
          <w:rFonts w:ascii="仿宋_GB2312" w:eastAsia="仿宋_GB2312"/>
          <w:sz w:val="32"/>
        </w:rPr>
      </w:pPr>
      <w:r>
        <w:rPr>
          <w:rFonts w:hint="eastAsia" w:ascii="仿宋_GB2312" w:eastAsia="仿宋_GB2312"/>
          <w:sz w:val="32"/>
        </w:rPr>
        <w:t>1</w:t>
      </w:r>
      <w:r>
        <w:rPr>
          <w:rFonts w:hint="eastAsia" w:ascii="仿宋_GB2312" w:eastAsia="仿宋_GB2312"/>
          <w:sz w:val="32"/>
          <w:lang w:eastAsia="zh-CN"/>
        </w:rPr>
        <w:t>.</w:t>
      </w:r>
      <w:r>
        <w:rPr>
          <w:rFonts w:hint="eastAsia" w:ascii="仿宋_GB2312" w:eastAsia="仿宋_GB2312"/>
          <w:sz w:val="32"/>
        </w:rPr>
        <w:t>创新性</w:t>
      </w:r>
    </w:p>
    <w:p>
      <w:pPr>
        <w:ind w:firstLine="640" w:firstLineChars="200"/>
        <w:rPr>
          <w:rFonts w:ascii="仿宋_GB2312" w:eastAsia="仿宋_GB2312"/>
          <w:sz w:val="32"/>
        </w:rPr>
      </w:pPr>
      <w:r>
        <w:rPr>
          <w:rFonts w:hint="eastAsia" w:ascii="仿宋_GB2312" w:eastAsia="仿宋_GB2312"/>
          <w:sz w:val="32"/>
        </w:rPr>
        <w:t>本课题组围绕没食子对牙周炎症的作用以及纳米没食子药材的加工方法开展了系列研究，成功研制了1nm以下直径的没食子药材，制备了含没食子的泡腾片和溃疡膜，并对其理化性质、药物毒性、生物学活性、抑菌、抗炎、抗真菌、抗氧化、矿化能力、对牙周致病菌群的影响，最后对于没食子对牙周组织炎症的影响机制也进行了探索。对于制备的泡腾片进行了临床验证，为中药没食子的临床应用打下了坚实的基础。本项目具有新颖性、独特性和创造性，能在口腔牙周炎症治疗方面产生重要影响。</w:t>
      </w:r>
    </w:p>
    <w:p>
      <w:pPr>
        <w:ind w:firstLine="640" w:firstLineChars="200"/>
        <w:rPr>
          <w:rFonts w:ascii="仿宋_GB2312" w:eastAsia="仿宋_GB2312"/>
          <w:sz w:val="32"/>
        </w:rPr>
      </w:pPr>
      <w:r>
        <w:rPr>
          <w:rFonts w:hint="eastAsia" w:ascii="仿宋_GB2312" w:eastAsia="仿宋_GB2312"/>
          <w:sz w:val="32"/>
        </w:rPr>
        <w:t>2</w:t>
      </w:r>
      <w:r>
        <w:rPr>
          <w:rFonts w:hint="eastAsia" w:ascii="仿宋_GB2312" w:eastAsia="仿宋_GB2312"/>
          <w:sz w:val="32"/>
          <w:lang w:eastAsia="zh-CN"/>
        </w:rPr>
        <w:t>.</w:t>
      </w:r>
      <w:r>
        <w:rPr>
          <w:rFonts w:hint="eastAsia" w:ascii="仿宋_GB2312" w:eastAsia="仿宋_GB2312"/>
          <w:sz w:val="32"/>
        </w:rPr>
        <w:t>科学性</w:t>
      </w:r>
    </w:p>
    <w:p>
      <w:pPr>
        <w:ind w:firstLine="640" w:firstLineChars="200"/>
        <w:rPr>
          <w:rFonts w:ascii="仿宋_GB2312" w:eastAsia="仿宋_GB2312"/>
          <w:sz w:val="32"/>
        </w:rPr>
      </w:pPr>
      <w:r>
        <w:rPr>
          <w:rFonts w:hint="eastAsia" w:ascii="仿宋_GB2312" w:eastAsia="仿宋_GB2312"/>
          <w:sz w:val="32"/>
        </w:rPr>
        <w:t>本项目立论依据充分可靠，在前期研究基础上，在药物制备、分子、细胞、组织、临床研究几个方面分析纳米没食子对口腔牙周炎症的影响。技术路线清晰，实验设计系统、可行。申请者进行研究的实验室包括省新药创新中心，教育部重点实验室学科，具有本项目所需要的药剂学、药效学、细胞生物学、分子生物学检测仪器和 SPF 级动物饲养条件。本项目拟采用的方法包括药物制备、药效学分析、分子生物学、细胞生物学等，研究技术成熟、可靠、先进。课题组成员已熟练掌握中药没食子的药物开发流程、对口腔组织器官影响研究等关键技术。课题组负责人是副主任医师，长期从事中药没食子对口腔疾病作用的相关研究。课题组其他成员为副教授、副主任药师、主治医师，专业涉及中药学、口腔医学、分子生物学，成员各有特长，熟练掌握本课题研究所需各项实验技术，为本课题的完成提供了技术保证。</w:t>
      </w:r>
    </w:p>
    <w:p>
      <w:pPr>
        <w:ind w:firstLine="640" w:firstLineChars="200"/>
        <w:rPr>
          <w:rFonts w:ascii="仿宋_GB2312" w:eastAsia="仿宋_GB2312"/>
          <w:sz w:val="32"/>
        </w:rPr>
      </w:pPr>
      <w:r>
        <w:rPr>
          <w:rFonts w:hint="eastAsia" w:ascii="仿宋_GB2312" w:eastAsia="仿宋_GB2312"/>
          <w:sz w:val="32"/>
        </w:rPr>
        <w:t>3</w:t>
      </w:r>
      <w:r>
        <w:rPr>
          <w:rFonts w:hint="eastAsia" w:ascii="仿宋_GB2312" w:eastAsia="仿宋_GB2312"/>
          <w:sz w:val="32"/>
          <w:lang w:eastAsia="zh-CN"/>
        </w:rPr>
        <w:t>.</w:t>
      </w:r>
      <w:r>
        <w:rPr>
          <w:rFonts w:hint="eastAsia" w:ascii="仿宋_GB2312" w:eastAsia="仿宋_GB2312"/>
          <w:sz w:val="32"/>
        </w:rPr>
        <w:t>社会效益</w:t>
      </w:r>
    </w:p>
    <w:p>
      <w:pPr>
        <w:ind w:firstLine="640" w:firstLineChars="200"/>
        <w:rPr>
          <w:rFonts w:ascii="仿宋_GB2312" w:eastAsia="仿宋_GB2312"/>
          <w:sz w:val="32"/>
        </w:rPr>
      </w:pPr>
      <w:r>
        <w:rPr>
          <w:rFonts w:hint="eastAsia" w:ascii="仿宋_GB2312" w:eastAsia="仿宋_GB2312"/>
          <w:sz w:val="32"/>
        </w:rPr>
        <w:t>当前没食子市场需求量不断增大。现今，因为乱用抗菌素、抗生素类药物易引发抗药性，国际社会对中医药及传统医药的关注和接受水平逐渐上升，中药及传统药物己成为新药发展和注入资金的焦点。没食子源自天然，具有长久的民间运用基础，开拓风险相较于其他传统药物较低，显现出很大的开拓力和产业成长远景。对没食子的药效成分进行全面、系统的分析以找到更加有效的应用方法将成为其研究发展趋势。因此，治疗牙周疾病、具有自主知识产权的没食子提取物的开发必然具有巨大的市场空间，符合现代创新中药开发的潮流，具备良好的社会效益和经济效益。</w:t>
      </w:r>
    </w:p>
    <w:p>
      <w:pPr>
        <w:ind w:firstLine="640" w:firstLineChars="200"/>
        <w:rPr>
          <w:rFonts w:hint="eastAsia" w:ascii="黑体" w:hAnsi="黑体" w:eastAsia="黑体" w:cs="黑体"/>
          <w:sz w:val="32"/>
        </w:rPr>
      </w:pPr>
      <w:r>
        <w:rPr>
          <w:rFonts w:hint="eastAsia" w:ascii="黑体" w:hAnsi="黑体" w:eastAsia="黑体" w:cs="黑体"/>
          <w:sz w:val="32"/>
        </w:rPr>
        <w:t>八、应用情况</w:t>
      </w:r>
    </w:p>
    <w:p>
      <w:pPr>
        <w:ind w:firstLine="640" w:firstLineChars="200"/>
        <w:contextualSpacing/>
        <w:rPr>
          <w:rFonts w:ascii="仿宋_GB2312" w:eastAsia="仿宋_GB2312"/>
          <w:sz w:val="32"/>
        </w:rPr>
      </w:pPr>
      <w:r>
        <w:rPr>
          <w:rFonts w:hint="eastAsia" w:ascii="仿宋_GB2312" w:eastAsia="仿宋_GB2312"/>
          <w:sz w:val="32"/>
        </w:rPr>
        <w:t>1</w:t>
      </w:r>
      <w:r>
        <w:rPr>
          <w:rFonts w:hint="eastAsia" w:ascii="仿宋_GB2312" w:eastAsia="仿宋_GB2312"/>
          <w:sz w:val="32"/>
          <w:lang w:eastAsia="zh-CN"/>
        </w:rPr>
        <w:t>.</w:t>
      </w:r>
      <w:r>
        <w:rPr>
          <w:rFonts w:hint="eastAsia" w:ascii="仿宋_GB2312" w:eastAsia="仿宋_GB2312"/>
          <w:sz w:val="32"/>
        </w:rPr>
        <w:t>没食子口腔护理产品的研制</w:t>
      </w:r>
    </w:p>
    <w:p>
      <w:pPr>
        <w:ind w:firstLine="640" w:firstLineChars="200"/>
        <w:rPr>
          <w:rFonts w:ascii="仿宋_GB2312" w:eastAsia="仿宋_GB2312"/>
          <w:sz w:val="32"/>
        </w:rPr>
      </w:pPr>
      <w:r>
        <w:rPr>
          <w:rFonts w:hint="eastAsia" w:ascii="仿宋_GB2312" w:eastAsia="仿宋_GB2312"/>
          <w:sz w:val="32"/>
        </w:rPr>
        <w:t>本课题组长期从事没食子的研究与转化，目前已开发出漱口液和泡腾片，处于进入市场的最后阶段（图1</w:t>
      </w:r>
      <w:r>
        <w:rPr>
          <w:rFonts w:ascii="仿宋_GB2312" w:eastAsia="仿宋_GB2312"/>
          <w:sz w:val="32"/>
        </w:rPr>
        <w:t>7</w:t>
      </w:r>
      <w:r>
        <w:rPr>
          <w:rFonts w:hint="eastAsia" w:ascii="仿宋_GB2312" w:eastAsia="仿宋_GB2312"/>
          <w:sz w:val="32"/>
        </w:rPr>
        <w:t>），预计落地后年产值超5</w:t>
      </w:r>
      <w:r>
        <w:rPr>
          <w:rFonts w:ascii="仿宋_GB2312" w:eastAsia="仿宋_GB2312"/>
          <w:sz w:val="32"/>
        </w:rPr>
        <w:t>000</w:t>
      </w:r>
      <w:r>
        <w:rPr>
          <w:rFonts w:hint="eastAsia" w:ascii="仿宋_GB2312" w:eastAsia="仿宋_GB2312"/>
          <w:sz w:val="32"/>
        </w:rPr>
        <w:t>万元，溃疡膜与没食子凝胶正在研发阶段，本研究旨在创制适应症聚焦、功效突显、临床优效、安全可控的具有自主知识产权防治口腔疾病的中药产品，为中药新药研发提供数据支撑。</w:t>
      </w:r>
    </w:p>
    <w:p>
      <w:pPr>
        <w:ind w:firstLine="640" w:firstLineChars="200"/>
        <w:contextualSpacing/>
        <w:rPr>
          <w:rFonts w:ascii="仿宋_GB2312" w:eastAsia="仿宋_GB2312"/>
          <w:sz w:val="32"/>
        </w:rPr>
      </w:pPr>
      <w:r>
        <w:rPr>
          <w:rFonts w:hint="eastAsia" w:ascii="仿宋_GB2312" w:eastAsia="仿宋_GB2312"/>
          <w:sz w:val="32"/>
        </w:rPr>
        <w:t>2</w:t>
      </w:r>
      <w:r>
        <w:rPr>
          <w:rFonts w:hint="eastAsia" w:ascii="仿宋_GB2312" w:eastAsia="仿宋_GB2312"/>
          <w:sz w:val="32"/>
          <w:lang w:eastAsia="zh-CN"/>
        </w:rPr>
        <w:t>.</w:t>
      </w:r>
      <w:r>
        <w:rPr>
          <w:rFonts w:hint="eastAsia" w:ascii="仿宋_GB2312" w:eastAsia="仿宋_GB2312"/>
          <w:sz w:val="32"/>
        </w:rPr>
        <w:t>没食子的临床应用</w:t>
      </w:r>
    </w:p>
    <w:p>
      <w:pPr>
        <w:autoSpaceDE w:val="0"/>
        <w:autoSpaceDN w:val="0"/>
        <w:spacing w:before="104"/>
        <w:ind w:firstLine="640" w:firstLineChars="200"/>
        <w:contextualSpacing/>
        <w:jc w:val="left"/>
        <w:rPr>
          <w:rFonts w:ascii="仿宋_GB2312" w:eastAsia="仿宋_GB2312"/>
          <w:sz w:val="32"/>
        </w:rPr>
      </w:pPr>
      <w:r>
        <w:rPr>
          <w:rFonts w:hint="eastAsia" w:ascii="仿宋_GB2312" w:eastAsia="仿宋_GB2312"/>
          <w:sz w:val="32"/>
        </w:rPr>
        <w:t>本课题组进行了漱口液的院内制剂试制并开展了临床研究（表1），研究结果显示临床牙周指数（探诊深度、临床附着水平、菌斑指数、探诊出血和龈沟液流速）在基线、治疗后30天和3个月的临床比较分析结果显示：没食子漱口液使患者在不同采集时间点的临床评估指数（探诊深度、临床附着水平、菌斑指数、龈沟液流速）有统计学意义的改善（P&lt;0.01），而探诊出血的变化没有统计学意义。治疗前后口臭改善情况结果显示，实验组与对照组比较，结果有统计学差异（P＜0</w:t>
      </w:r>
      <w:r>
        <w:rPr>
          <w:rFonts w:ascii="仿宋_GB2312" w:eastAsia="仿宋_GB2312"/>
          <w:sz w:val="32"/>
        </w:rPr>
        <w:t>.05</w:t>
      </w:r>
      <w:r>
        <w:rPr>
          <w:rFonts w:hint="eastAsia" w:ascii="仿宋_GB2312" w:eastAsia="仿宋_GB2312"/>
          <w:sz w:val="32"/>
        </w:rPr>
        <w:t>）</w:t>
      </w:r>
    </w:p>
    <w:p>
      <w:pPr>
        <w:pStyle w:val="3"/>
        <w:spacing w:line="440" w:lineRule="exact"/>
        <w:ind w:firstLine="0" w:firstLineChars="0"/>
        <w:rPr>
          <w:rFonts w:hint="eastAsia" w:ascii="宋体" w:hAnsi="宋体"/>
          <w:sz w:val="21"/>
          <w:szCs w:val="21"/>
        </w:rPr>
      </w:pPr>
      <w:r>
        <w:rPr>
          <w:rFonts w:hint="eastAsia" w:ascii="宋体" w:hAnsi="宋体"/>
          <w:sz w:val="21"/>
          <w:szCs w:val="21"/>
        </w:rPr>
        <w:t xml:space="preserve">表1 </w:t>
      </w:r>
      <w:r>
        <w:rPr>
          <w:rFonts w:ascii="宋体" w:hAnsi="宋体"/>
          <w:sz w:val="21"/>
          <w:szCs w:val="21"/>
        </w:rPr>
        <w:t>主要应用单位情况表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53"/>
        <w:gridCol w:w="1650"/>
        <w:gridCol w:w="1650"/>
        <w:gridCol w:w="1635"/>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84"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序号</w:t>
            </w:r>
          </w:p>
        </w:tc>
        <w:tc>
          <w:tcPr>
            <w:tcW w:w="735"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单位名称</w:t>
            </w:r>
          </w:p>
        </w:tc>
        <w:tc>
          <w:tcPr>
            <w:tcW w:w="968"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应用的技术</w:t>
            </w:r>
          </w:p>
        </w:tc>
        <w:tc>
          <w:tcPr>
            <w:tcW w:w="968"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应用对象</w:t>
            </w:r>
          </w:p>
          <w:p>
            <w:pPr>
              <w:pStyle w:val="3"/>
              <w:spacing w:line="240" w:lineRule="auto"/>
              <w:ind w:firstLine="0" w:firstLineChars="0"/>
              <w:jc w:val="center"/>
              <w:rPr>
                <w:rFonts w:hint="eastAsia" w:ascii="宋体" w:hAnsi="宋体"/>
                <w:sz w:val="21"/>
                <w:szCs w:val="21"/>
              </w:rPr>
            </w:pPr>
            <w:r>
              <w:rPr>
                <w:rFonts w:ascii="宋体" w:hAnsi="宋体"/>
                <w:sz w:val="21"/>
                <w:szCs w:val="21"/>
              </w:rPr>
              <w:t>及规模</w:t>
            </w:r>
          </w:p>
        </w:tc>
        <w:tc>
          <w:tcPr>
            <w:tcW w:w="959"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应用起止时间</w:t>
            </w:r>
          </w:p>
        </w:tc>
        <w:tc>
          <w:tcPr>
            <w:tcW w:w="886" w:type="pct"/>
            <w:vAlign w:val="center"/>
          </w:tcPr>
          <w:p>
            <w:pPr>
              <w:pStyle w:val="3"/>
              <w:spacing w:line="240" w:lineRule="auto"/>
              <w:ind w:firstLine="0" w:firstLineChars="0"/>
              <w:jc w:val="center"/>
              <w:rPr>
                <w:rFonts w:hint="eastAsia" w:ascii="宋体" w:hAnsi="宋体"/>
                <w:sz w:val="21"/>
                <w:szCs w:val="21"/>
              </w:rPr>
            </w:pPr>
            <w:r>
              <w:rPr>
                <w:rFonts w:ascii="宋体" w:hAnsi="宋体"/>
                <w:sz w:val="21"/>
                <w:szCs w:val="21"/>
              </w:rPr>
              <w:t>单位联系人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84" w:type="pct"/>
          </w:tcPr>
          <w:p>
            <w:pPr>
              <w:pStyle w:val="3"/>
              <w:ind w:firstLine="0" w:firstLineChars="0"/>
              <w:jc w:val="left"/>
              <w:rPr>
                <w:rFonts w:hint="eastAsia" w:ascii="宋体" w:hAnsi="宋体"/>
                <w:sz w:val="21"/>
                <w:szCs w:val="21"/>
              </w:rPr>
            </w:pPr>
            <w:r>
              <w:rPr>
                <w:rFonts w:hint="eastAsia" w:ascii="宋体" w:hAnsi="宋体"/>
                <w:sz w:val="21"/>
                <w:szCs w:val="21"/>
              </w:rPr>
              <w:t>1</w:t>
            </w:r>
          </w:p>
        </w:tc>
        <w:tc>
          <w:tcPr>
            <w:tcW w:w="735" w:type="pct"/>
          </w:tcPr>
          <w:p>
            <w:pPr>
              <w:pStyle w:val="3"/>
              <w:ind w:firstLine="0" w:firstLineChars="0"/>
              <w:jc w:val="left"/>
              <w:rPr>
                <w:rFonts w:hint="eastAsia" w:ascii="宋体" w:hAnsi="宋体"/>
                <w:sz w:val="21"/>
                <w:szCs w:val="21"/>
              </w:rPr>
            </w:pPr>
            <w:r>
              <w:rPr>
                <w:rFonts w:hint="eastAsia" w:ascii="宋体" w:hAnsi="宋体"/>
                <w:sz w:val="21"/>
                <w:szCs w:val="21"/>
              </w:rPr>
              <w:t>空军军医大学空军第986医院</w:t>
            </w:r>
          </w:p>
        </w:tc>
        <w:tc>
          <w:tcPr>
            <w:tcW w:w="968" w:type="pct"/>
          </w:tcPr>
          <w:p>
            <w:pPr>
              <w:pStyle w:val="3"/>
              <w:ind w:firstLine="0" w:firstLineChars="0"/>
              <w:jc w:val="left"/>
              <w:rPr>
                <w:rFonts w:hint="eastAsia" w:ascii="宋体" w:hAnsi="宋体"/>
                <w:sz w:val="21"/>
                <w:szCs w:val="21"/>
              </w:rPr>
            </w:pPr>
            <w:r>
              <w:rPr>
                <w:rFonts w:hint="eastAsia" w:ascii="宋体" w:hAnsi="宋体"/>
                <w:sz w:val="21"/>
                <w:szCs w:val="21"/>
              </w:rPr>
              <w:t>纳米没食子泡腾片的临床应用研究</w:t>
            </w:r>
          </w:p>
        </w:tc>
        <w:tc>
          <w:tcPr>
            <w:tcW w:w="968" w:type="pct"/>
          </w:tcPr>
          <w:p>
            <w:pPr>
              <w:pStyle w:val="3"/>
              <w:ind w:firstLine="0" w:firstLineChars="0"/>
              <w:jc w:val="left"/>
              <w:rPr>
                <w:rFonts w:hint="eastAsia" w:ascii="宋体" w:hAnsi="宋体"/>
                <w:sz w:val="21"/>
                <w:szCs w:val="21"/>
              </w:rPr>
            </w:pPr>
            <w:r>
              <w:rPr>
                <w:rFonts w:hint="eastAsia" w:ascii="宋体" w:hAnsi="宋体"/>
                <w:sz w:val="21"/>
                <w:szCs w:val="21"/>
              </w:rPr>
              <w:t>高原野外驻训官兵120人</w:t>
            </w:r>
          </w:p>
        </w:tc>
        <w:tc>
          <w:tcPr>
            <w:tcW w:w="959" w:type="pct"/>
          </w:tcPr>
          <w:p>
            <w:pPr>
              <w:pStyle w:val="3"/>
              <w:ind w:firstLine="0" w:firstLineChars="0"/>
              <w:jc w:val="left"/>
              <w:rPr>
                <w:rFonts w:hint="eastAsia" w:ascii="宋体" w:hAnsi="宋体"/>
                <w:sz w:val="21"/>
                <w:szCs w:val="21"/>
              </w:rPr>
            </w:pPr>
            <w:r>
              <w:rPr>
                <w:rFonts w:hint="eastAsia" w:ascii="宋体" w:hAnsi="宋体"/>
                <w:sz w:val="21"/>
                <w:szCs w:val="21"/>
              </w:rPr>
              <w:t>2021.01-2021.16</w:t>
            </w:r>
          </w:p>
        </w:tc>
        <w:tc>
          <w:tcPr>
            <w:tcW w:w="886" w:type="pct"/>
          </w:tcPr>
          <w:p>
            <w:pPr>
              <w:pStyle w:val="3"/>
              <w:ind w:firstLine="0" w:firstLineChars="0"/>
              <w:jc w:val="left"/>
              <w:rPr>
                <w:rFonts w:hint="eastAsia" w:ascii="宋体" w:hAnsi="宋体"/>
                <w:sz w:val="21"/>
                <w:szCs w:val="21"/>
              </w:rPr>
            </w:pPr>
            <w:r>
              <w:rPr>
                <w:rFonts w:hint="eastAsia" w:ascii="宋体" w:hAnsi="宋体"/>
                <w:sz w:val="21"/>
                <w:szCs w:val="21"/>
              </w:rPr>
              <w:t>艾林</w:t>
            </w:r>
          </w:p>
        </w:tc>
      </w:tr>
    </w:tbl>
    <w:p>
      <w:pPr>
        <w:ind w:firstLine="640" w:firstLineChars="200"/>
        <w:rPr>
          <w:rFonts w:hint="eastAsia" w:ascii="黑体" w:hAnsi="黑体" w:eastAsia="黑体" w:cs="黑体"/>
          <w:sz w:val="32"/>
        </w:rPr>
      </w:pPr>
      <w:r>
        <w:rPr>
          <w:rFonts w:hint="eastAsia" w:ascii="黑体" w:hAnsi="黑体" w:eastAsia="黑体" w:cs="黑体"/>
          <w:sz w:val="32"/>
        </w:rPr>
        <w:t>九、主要知识产权和标准规范等目录</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09"/>
        <w:gridCol w:w="409"/>
        <w:gridCol w:w="1861"/>
        <w:gridCol w:w="603"/>
        <w:gridCol w:w="2054"/>
        <w:gridCol w:w="603"/>
        <w:gridCol w:w="1087"/>
        <w:gridCol w:w="409"/>
        <w:gridCol w:w="10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序号</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知识产权类    别</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知识产权</w:t>
            </w:r>
          </w:p>
          <w:p>
            <w:pPr>
              <w:pStyle w:val="3"/>
              <w:spacing w:line="240" w:lineRule="auto"/>
              <w:ind w:firstLine="0" w:firstLineChars="0"/>
              <w:jc w:val="center"/>
              <w:rPr>
                <w:rFonts w:eastAsia="仿宋_GB2312"/>
                <w:sz w:val="21"/>
                <w:szCs w:val="21"/>
              </w:rPr>
            </w:pPr>
            <w:r>
              <w:rPr>
                <w:rFonts w:hint="eastAsia" w:eastAsia="仿宋_GB2312"/>
                <w:sz w:val="21"/>
                <w:szCs w:val="21"/>
              </w:rPr>
              <w:t>具体名称</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国家</w:t>
            </w:r>
          </w:p>
          <w:p>
            <w:pPr>
              <w:pStyle w:val="3"/>
              <w:spacing w:line="240" w:lineRule="auto"/>
              <w:ind w:firstLine="0" w:firstLineChars="0"/>
              <w:jc w:val="center"/>
              <w:rPr>
                <w:rFonts w:eastAsia="仿宋_GB2312"/>
                <w:sz w:val="21"/>
                <w:szCs w:val="21"/>
              </w:rPr>
            </w:pPr>
            <w:r>
              <w:rPr>
                <w:rFonts w:hint="eastAsia" w:eastAsia="仿宋_GB2312"/>
                <w:sz w:val="21"/>
                <w:szCs w:val="21"/>
              </w:rPr>
              <w:t>（地区）</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授权号</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授权日期</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证书编号</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权利人</w:t>
            </w:r>
          </w:p>
        </w:tc>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1"/>
                <w:szCs w:val="21"/>
              </w:rPr>
            </w:pPr>
            <w:r>
              <w:rPr>
                <w:rFonts w:hint="eastAsia" w:eastAsia="仿宋_GB2312"/>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1</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实用新型专利</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一种用于口腔检查的压舌板</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ZL 2020 21915195. X</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2021年06月04日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13349892</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ind w:firstLine="0" w:firstLineChars="0"/>
              <w:jc w:val="left"/>
              <w:rPr>
                <w:rFonts w:hint="eastAsia" w:ascii="宋体" w:hAnsi="宋体" w:eastAsia="宋体"/>
                <w:sz w:val="21"/>
                <w:szCs w:val="21"/>
              </w:rPr>
            </w:pPr>
            <w:r>
              <w:rPr>
                <w:rFonts w:hint="eastAsia" w:ascii="宋体" w:hAnsi="宋体" w:eastAsia="宋体"/>
                <w:sz w:val="21"/>
                <w:szCs w:val="21"/>
              </w:rPr>
              <w:t>高鹏，荆玉洁，艾林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2</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计算机软件著作权</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智慧医疗大数据展示系统 V1.0</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2022SR0695819</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2021年03月15日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10848986</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高鹏，刘玉红，艾林，李恺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3</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没食子水提取物对牙根面刮治保护作用的研究</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2022,31(21):36-39</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2022年11月11日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中国药业</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艾林, 李恺, 高 鹏,张若冰,张琳静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4</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计算机软件著作权</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医院实习生在线考试系统 V1.0</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2022SR0691494</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2022年03月21日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10847269</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高鹏，艾林，李恺，刘晓敏，崔钊洋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5</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实用新型专利</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口腔修复材料搅拌装置</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ZL 2019 21521409.2</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2020年05月26日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10609921</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高鹏，刘蕊，艾林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6</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Study on the first principle Calculation of Ti-Zr-Ta alloy and SPS sintered microstructureand properties.</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https://do i.org/10.1 088/2053-1591/acb6 d2</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2023年02月03日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Materials Research Express</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Zhang Ruobing；Ai Lin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7</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没食子水提物对体外培养口腔生物膜的影响</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2022,31(22):41-44</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2022年11月21日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中国药业</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艾林, 李恺, 高 鹏,张若冰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8</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牙脱位后没食子提取物对人牙周成纤维细胞的影响研究</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2022,38(02):139-142</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2022年02月25日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空军医学杂志</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张琳静,高鹏, 李恺, 张若冰, 艾林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9</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没食子水提物对实验性牙周炎的改善作用</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2021,30(20):39-43</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2021年10月21日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中国药业</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艾林, 李恺, 高 鹏,张若冰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0" w:type="auto"/>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ascii="Times New Roman"/>
                <w:sz w:val="21"/>
                <w:szCs w:val="21"/>
              </w:rPr>
            </w:pPr>
            <w:r>
              <w:rPr>
                <w:rFonts w:ascii="Times New Roman"/>
                <w:sz w:val="21"/>
                <w:szCs w:val="21"/>
              </w:rPr>
              <w:t>10</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论文</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没食子水提取物对人牙龈上皮角质形成细胞的体外影响</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2022,31(09):60-64</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2022年05月11日</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中国药业</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空军军医大学</w:t>
            </w:r>
          </w:p>
        </w:tc>
        <w:tc>
          <w:tcPr>
            <w:tcW w:w="0" w:type="auto"/>
            <w:tcBorders>
              <w:top w:val="single" w:color="auto" w:sz="8" w:space="0"/>
              <w:left w:val="single" w:color="auto" w:sz="8" w:space="0"/>
              <w:bottom w:val="single" w:color="auto" w:sz="8" w:space="0"/>
              <w:right w:val="single" w:color="auto" w:sz="8" w:space="0"/>
            </w:tcBorders>
          </w:tcPr>
          <w:p>
            <w:pPr>
              <w:pStyle w:val="3"/>
              <w:spacing w:line="240" w:lineRule="auto"/>
              <w:ind w:firstLine="0" w:firstLineChars="0"/>
              <w:jc w:val="left"/>
              <w:rPr>
                <w:rFonts w:hint="eastAsia" w:ascii="宋体" w:hAnsi="宋体" w:eastAsia="宋体"/>
                <w:sz w:val="21"/>
                <w:szCs w:val="21"/>
              </w:rPr>
            </w:pPr>
            <w:r>
              <w:rPr>
                <w:rFonts w:hint="eastAsia" w:ascii="宋体" w:hAnsi="宋体" w:eastAsia="宋体"/>
                <w:sz w:val="21"/>
                <w:szCs w:val="21"/>
              </w:rPr>
              <w:t>徐娜，李恺，高鹏，艾林</w:t>
            </w:r>
          </w:p>
        </w:tc>
      </w:tr>
    </w:tbl>
    <w:p>
      <w:pPr>
        <w:pStyle w:val="10"/>
        <w:ind w:left="420" w:firstLine="0" w:firstLineChars="0"/>
        <w:rPr>
          <w:rFonts w:ascii="仿宋_GB2312" w:eastAsia="仿宋_GB2312"/>
          <w:bCs/>
          <w:spacing w:val="2"/>
          <w:sz w:val="24"/>
        </w:rPr>
      </w:pPr>
    </w:p>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pStyle w:val="2"/>
        <w:spacing w:before="4" w:after="1"/>
        <w:rPr>
          <w:rFonts w:hint="eastAsia" w:ascii="黑体"/>
          <w:sz w:val="10"/>
        </w:rPr>
      </w:pPr>
    </w:p>
    <w:tbl>
      <w:tblPr>
        <w:tblStyle w:val="1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13"/>
        <w:gridCol w:w="1966"/>
        <w:gridCol w:w="1913"/>
        <w:gridCol w:w="1913"/>
        <w:gridCol w:w="19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369" w:type="pct"/>
          </w:tcPr>
          <w:p>
            <w:pPr>
              <w:pStyle w:val="18"/>
              <w:spacing w:before="170"/>
              <w:ind w:left="76"/>
              <w:rPr>
                <w:rFonts w:hint="eastAsia"/>
                <w:sz w:val="24"/>
                <w:lang w:eastAsia="en-US"/>
              </w:rPr>
            </w:pPr>
            <w:r>
              <w:rPr>
                <w:spacing w:val="-5"/>
                <w:sz w:val="24"/>
                <w:lang w:eastAsia="en-US"/>
              </w:rPr>
              <w:t>序号</w:t>
            </w:r>
          </w:p>
        </w:tc>
        <w:tc>
          <w:tcPr>
            <w:tcW w:w="1182" w:type="pct"/>
          </w:tcPr>
          <w:p>
            <w:pPr>
              <w:pStyle w:val="18"/>
              <w:spacing w:before="170"/>
              <w:ind w:left="527"/>
              <w:rPr>
                <w:rFonts w:hint="eastAsia"/>
                <w:sz w:val="24"/>
                <w:lang w:eastAsia="en-US"/>
              </w:rPr>
            </w:pPr>
            <w:r>
              <w:rPr>
                <w:spacing w:val="-3"/>
                <w:sz w:val="24"/>
                <w:lang w:eastAsia="en-US"/>
              </w:rPr>
              <w:t>合作方式</w:t>
            </w:r>
          </w:p>
        </w:tc>
        <w:tc>
          <w:tcPr>
            <w:tcW w:w="1150" w:type="pct"/>
          </w:tcPr>
          <w:p>
            <w:pPr>
              <w:pStyle w:val="18"/>
              <w:spacing w:before="170"/>
              <w:ind w:left="22"/>
              <w:rPr>
                <w:rFonts w:hint="eastAsia"/>
                <w:sz w:val="24"/>
                <w:lang w:eastAsia="en-US"/>
              </w:rPr>
            </w:pPr>
            <w:r>
              <w:rPr>
                <w:spacing w:val="-2"/>
                <w:sz w:val="24"/>
                <w:lang w:eastAsia="en-US"/>
              </w:rPr>
              <w:t>合作关系人及排名</w:t>
            </w:r>
          </w:p>
        </w:tc>
        <w:tc>
          <w:tcPr>
            <w:tcW w:w="1150" w:type="pct"/>
          </w:tcPr>
          <w:p>
            <w:pPr>
              <w:pStyle w:val="18"/>
              <w:spacing w:before="170"/>
              <w:ind w:left="503"/>
              <w:rPr>
                <w:rFonts w:hint="eastAsia"/>
                <w:sz w:val="24"/>
                <w:lang w:eastAsia="en-US"/>
              </w:rPr>
            </w:pPr>
            <w:r>
              <w:rPr>
                <w:spacing w:val="-3"/>
                <w:sz w:val="24"/>
                <w:lang w:eastAsia="en-US"/>
              </w:rPr>
              <w:t>合作时间</w:t>
            </w:r>
          </w:p>
        </w:tc>
        <w:tc>
          <w:tcPr>
            <w:tcW w:w="1149" w:type="pct"/>
          </w:tcPr>
          <w:p>
            <w:pPr>
              <w:pStyle w:val="18"/>
              <w:spacing w:before="170"/>
              <w:ind w:left="503"/>
              <w:rPr>
                <w:rFonts w:hint="eastAsia"/>
                <w:sz w:val="24"/>
                <w:lang w:eastAsia="en-US"/>
              </w:rPr>
            </w:pPr>
            <w:r>
              <w:rPr>
                <w:spacing w:val="-3"/>
                <w:sz w:val="24"/>
                <w:lang w:eastAsia="en-US"/>
              </w:rPr>
              <w:t>合作成果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369" w:type="pct"/>
          </w:tcPr>
          <w:p>
            <w:pPr>
              <w:pStyle w:val="18"/>
              <w:spacing w:before="170"/>
              <w:ind w:left="16"/>
              <w:rPr>
                <w:rFonts w:hint="eastAsia"/>
                <w:sz w:val="24"/>
                <w:lang w:eastAsia="en-US"/>
              </w:rPr>
            </w:pPr>
            <w:r>
              <w:rPr>
                <w:sz w:val="24"/>
                <w:lang w:eastAsia="en-US"/>
              </w:rPr>
              <w:t>1</w:t>
            </w:r>
          </w:p>
        </w:tc>
        <w:tc>
          <w:tcPr>
            <w:tcW w:w="1182" w:type="pct"/>
          </w:tcPr>
          <w:p>
            <w:pPr>
              <w:pStyle w:val="18"/>
              <w:spacing w:before="170"/>
              <w:ind w:left="16"/>
              <w:rPr>
                <w:rFonts w:hint="eastAsia"/>
                <w:sz w:val="24"/>
                <w:lang w:eastAsia="en-US"/>
              </w:rPr>
            </w:pPr>
            <w:r>
              <w:rPr>
                <w:rFonts w:hint="eastAsia"/>
                <w:lang w:eastAsia="en-US"/>
              </w:rPr>
              <w:t>论文合著</w:t>
            </w:r>
          </w:p>
        </w:tc>
        <w:tc>
          <w:tcPr>
            <w:tcW w:w="1150" w:type="pct"/>
          </w:tcPr>
          <w:p>
            <w:pPr>
              <w:pStyle w:val="18"/>
              <w:spacing w:before="4" w:line="306" w:lineRule="exact"/>
              <w:ind w:left="6"/>
              <w:jc w:val="center"/>
              <w:rPr>
                <w:rFonts w:hint="eastAsia"/>
                <w:sz w:val="24"/>
                <w:lang w:eastAsia="zh-CN"/>
              </w:rPr>
            </w:pPr>
            <w:r>
              <w:rPr>
                <w:rFonts w:hint="eastAsia"/>
                <w:lang w:eastAsia="zh-CN"/>
              </w:rPr>
              <w:t>艾林/第 1；张若冰/第2 ；张琳静/第4 ；李恺/第 5 ；高鹏/第 6</w:t>
            </w:r>
          </w:p>
        </w:tc>
        <w:tc>
          <w:tcPr>
            <w:tcW w:w="1150" w:type="pct"/>
          </w:tcPr>
          <w:p>
            <w:pPr>
              <w:pStyle w:val="18"/>
              <w:spacing w:before="170"/>
              <w:ind w:left="15"/>
              <w:rPr>
                <w:rFonts w:hint="eastAsia"/>
                <w:sz w:val="24"/>
                <w:lang w:eastAsia="en-US"/>
              </w:rPr>
            </w:pPr>
            <w:r>
              <w:rPr>
                <w:sz w:val="24"/>
                <w:lang w:eastAsia="en-US"/>
              </w:rPr>
              <w:t>2015-</w:t>
            </w:r>
            <w:r>
              <w:rPr>
                <w:spacing w:val="-4"/>
                <w:sz w:val="24"/>
                <w:lang w:eastAsia="en-US"/>
              </w:rPr>
              <w:t>2022</w:t>
            </w:r>
          </w:p>
        </w:tc>
        <w:tc>
          <w:tcPr>
            <w:tcW w:w="1149" w:type="pct"/>
          </w:tcPr>
          <w:p>
            <w:pPr>
              <w:pStyle w:val="18"/>
              <w:spacing w:before="170"/>
              <w:ind w:left="16"/>
              <w:rPr>
                <w:rFonts w:hint="eastAsia"/>
                <w:sz w:val="24"/>
                <w:lang w:eastAsia="en-US"/>
              </w:rPr>
            </w:pPr>
            <w:r>
              <w:rPr>
                <w:rFonts w:hint="eastAsia"/>
                <w:lang w:eastAsia="en-US"/>
              </w:rPr>
              <w:t>核心论著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369" w:type="pct"/>
          </w:tcPr>
          <w:p>
            <w:pPr>
              <w:pStyle w:val="18"/>
              <w:spacing w:before="177"/>
              <w:ind w:left="16"/>
              <w:rPr>
                <w:rFonts w:hint="eastAsia"/>
                <w:sz w:val="24"/>
                <w:lang w:eastAsia="en-US"/>
              </w:rPr>
            </w:pPr>
            <w:r>
              <w:rPr>
                <w:sz w:val="24"/>
                <w:lang w:eastAsia="en-US"/>
              </w:rPr>
              <w:t>2</w:t>
            </w:r>
          </w:p>
        </w:tc>
        <w:tc>
          <w:tcPr>
            <w:tcW w:w="1182" w:type="pct"/>
          </w:tcPr>
          <w:p>
            <w:pPr>
              <w:pStyle w:val="18"/>
              <w:spacing w:before="177"/>
              <w:ind w:left="16"/>
              <w:rPr>
                <w:rFonts w:hint="eastAsia"/>
                <w:sz w:val="24"/>
                <w:lang w:eastAsia="en-US"/>
              </w:rPr>
            </w:pPr>
            <w:r>
              <w:rPr>
                <w:rFonts w:hint="eastAsia"/>
                <w:lang w:eastAsia="en-US"/>
              </w:rPr>
              <w:t>论文合著</w:t>
            </w:r>
          </w:p>
        </w:tc>
        <w:tc>
          <w:tcPr>
            <w:tcW w:w="1150" w:type="pct"/>
          </w:tcPr>
          <w:p>
            <w:pPr>
              <w:pStyle w:val="18"/>
              <w:spacing w:before="5" w:line="306" w:lineRule="exact"/>
              <w:ind w:left="6"/>
              <w:jc w:val="center"/>
              <w:rPr>
                <w:rFonts w:hint="eastAsia"/>
                <w:sz w:val="24"/>
                <w:lang w:eastAsia="zh-CN"/>
              </w:rPr>
            </w:pPr>
            <w:r>
              <w:rPr>
                <w:rFonts w:hint="eastAsia"/>
                <w:lang w:eastAsia="en-US"/>
              </w:rPr>
              <w:t>艾林/第 1；张若冰/第 2</w:t>
            </w:r>
          </w:p>
        </w:tc>
        <w:tc>
          <w:tcPr>
            <w:tcW w:w="1150" w:type="pct"/>
          </w:tcPr>
          <w:p>
            <w:pPr>
              <w:pStyle w:val="18"/>
              <w:spacing w:before="177"/>
              <w:ind w:left="15"/>
              <w:rPr>
                <w:rFonts w:hint="eastAsia"/>
                <w:sz w:val="24"/>
                <w:lang w:eastAsia="en-US"/>
              </w:rPr>
            </w:pPr>
            <w:r>
              <w:rPr>
                <w:sz w:val="24"/>
                <w:lang w:eastAsia="en-US"/>
              </w:rPr>
              <w:t>2020-</w:t>
            </w:r>
            <w:r>
              <w:rPr>
                <w:spacing w:val="-4"/>
                <w:sz w:val="24"/>
                <w:lang w:eastAsia="en-US"/>
              </w:rPr>
              <w:t>2022</w:t>
            </w:r>
          </w:p>
        </w:tc>
        <w:tc>
          <w:tcPr>
            <w:tcW w:w="1149" w:type="pct"/>
          </w:tcPr>
          <w:p>
            <w:pPr>
              <w:pStyle w:val="18"/>
              <w:spacing w:before="177"/>
              <w:ind w:left="16"/>
              <w:rPr>
                <w:rFonts w:hint="eastAsia"/>
                <w:sz w:val="24"/>
                <w:lang w:eastAsia="en-US"/>
              </w:rPr>
            </w:pPr>
            <w:r>
              <w:rPr>
                <w:rFonts w:hint="eastAsia"/>
                <w:lang w:eastAsia="en-US"/>
              </w:rPr>
              <w:t>SCI 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369" w:type="pct"/>
          </w:tcPr>
          <w:p>
            <w:pPr>
              <w:pStyle w:val="18"/>
              <w:ind w:left="16"/>
              <w:rPr>
                <w:rFonts w:hint="eastAsia"/>
                <w:sz w:val="24"/>
                <w:lang w:eastAsia="en-US"/>
              </w:rPr>
            </w:pPr>
            <w:r>
              <w:rPr>
                <w:sz w:val="24"/>
                <w:lang w:eastAsia="en-US"/>
              </w:rPr>
              <w:t>3</w:t>
            </w:r>
          </w:p>
        </w:tc>
        <w:tc>
          <w:tcPr>
            <w:tcW w:w="1182" w:type="pct"/>
          </w:tcPr>
          <w:p>
            <w:pPr>
              <w:pStyle w:val="18"/>
              <w:ind w:left="16"/>
              <w:rPr>
                <w:rFonts w:hint="eastAsia"/>
                <w:sz w:val="24"/>
                <w:lang w:eastAsia="en-US"/>
              </w:rPr>
            </w:pPr>
            <w:r>
              <w:rPr>
                <w:rFonts w:hint="eastAsia"/>
                <w:lang w:eastAsia="en-US"/>
              </w:rPr>
              <w:t>论文合著</w:t>
            </w:r>
          </w:p>
        </w:tc>
        <w:tc>
          <w:tcPr>
            <w:tcW w:w="1150" w:type="pct"/>
          </w:tcPr>
          <w:p>
            <w:pPr>
              <w:pStyle w:val="18"/>
              <w:spacing w:before="4"/>
              <w:ind w:left="6"/>
              <w:jc w:val="center"/>
              <w:rPr>
                <w:rFonts w:hint="eastAsia"/>
                <w:sz w:val="24"/>
                <w:lang w:eastAsia="zh-CN"/>
              </w:rPr>
            </w:pPr>
            <w:r>
              <w:rPr>
                <w:rFonts w:hint="eastAsia"/>
                <w:lang w:eastAsia="zh-CN"/>
              </w:rPr>
              <w:t>艾林/第 1；李恺/第 5 ；高鹏/第6 ；徐娜/第7</w:t>
            </w:r>
          </w:p>
        </w:tc>
        <w:tc>
          <w:tcPr>
            <w:tcW w:w="1150" w:type="pct"/>
          </w:tcPr>
          <w:p>
            <w:pPr>
              <w:pStyle w:val="18"/>
              <w:ind w:left="15"/>
              <w:rPr>
                <w:rFonts w:hint="eastAsia"/>
                <w:sz w:val="24"/>
                <w:lang w:eastAsia="en-US"/>
              </w:rPr>
            </w:pPr>
            <w:r>
              <w:rPr>
                <w:sz w:val="24"/>
                <w:lang w:eastAsia="en-US"/>
              </w:rPr>
              <w:t>2020-</w:t>
            </w:r>
            <w:r>
              <w:rPr>
                <w:spacing w:val="-4"/>
                <w:sz w:val="24"/>
                <w:lang w:eastAsia="en-US"/>
              </w:rPr>
              <w:t>2022</w:t>
            </w:r>
          </w:p>
        </w:tc>
        <w:tc>
          <w:tcPr>
            <w:tcW w:w="1149" w:type="pct"/>
          </w:tcPr>
          <w:p>
            <w:pPr>
              <w:pStyle w:val="18"/>
              <w:ind w:left="16"/>
              <w:rPr>
                <w:rFonts w:hint="eastAsia"/>
                <w:sz w:val="24"/>
                <w:lang w:eastAsia="en-US"/>
              </w:rPr>
            </w:pPr>
            <w:r>
              <w:rPr>
                <w:rFonts w:hint="eastAsia"/>
                <w:lang w:eastAsia="en-US"/>
              </w:rPr>
              <w:t>核心论著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trPr>
        <w:tc>
          <w:tcPr>
            <w:tcW w:w="369" w:type="pct"/>
          </w:tcPr>
          <w:p>
            <w:pPr>
              <w:pStyle w:val="18"/>
              <w:spacing w:before="174"/>
              <w:ind w:left="16"/>
              <w:rPr>
                <w:rFonts w:hint="eastAsia"/>
                <w:sz w:val="24"/>
                <w:lang w:eastAsia="en-US"/>
              </w:rPr>
            </w:pPr>
            <w:r>
              <w:rPr>
                <w:sz w:val="24"/>
                <w:lang w:eastAsia="en-US"/>
              </w:rPr>
              <w:t>4</w:t>
            </w:r>
          </w:p>
        </w:tc>
        <w:tc>
          <w:tcPr>
            <w:tcW w:w="1182" w:type="pct"/>
          </w:tcPr>
          <w:p>
            <w:pPr>
              <w:pStyle w:val="18"/>
              <w:spacing w:before="174"/>
              <w:ind w:left="16"/>
              <w:rPr>
                <w:rFonts w:hint="eastAsia"/>
                <w:sz w:val="24"/>
                <w:lang w:eastAsia="en-US"/>
              </w:rPr>
            </w:pPr>
            <w:r>
              <w:rPr>
                <w:rFonts w:hint="eastAsia"/>
                <w:lang w:eastAsia="en-US"/>
              </w:rPr>
              <w:t>论文合著</w:t>
            </w:r>
          </w:p>
        </w:tc>
        <w:tc>
          <w:tcPr>
            <w:tcW w:w="1150" w:type="pct"/>
          </w:tcPr>
          <w:p>
            <w:pPr>
              <w:pStyle w:val="18"/>
              <w:spacing w:before="4" w:line="306" w:lineRule="exact"/>
              <w:ind w:left="6"/>
              <w:jc w:val="center"/>
              <w:rPr>
                <w:rFonts w:hint="eastAsia"/>
                <w:sz w:val="24"/>
                <w:lang w:eastAsia="zh-CN"/>
              </w:rPr>
            </w:pPr>
            <w:r>
              <w:rPr>
                <w:rFonts w:hint="eastAsia"/>
                <w:lang w:eastAsia="zh-CN"/>
              </w:rPr>
              <w:t>艾林/第 1；张若冰/第 2 ；李恺/第5 ；高鹏/第 6</w:t>
            </w:r>
          </w:p>
        </w:tc>
        <w:tc>
          <w:tcPr>
            <w:tcW w:w="1150" w:type="pct"/>
          </w:tcPr>
          <w:p>
            <w:pPr>
              <w:pStyle w:val="18"/>
              <w:spacing w:before="174"/>
              <w:ind w:left="15"/>
              <w:rPr>
                <w:rFonts w:hint="eastAsia"/>
                <w:sz w:val="24"/>
                <w:lang w:eastAsia="en-US"/>
              </w:rPr>
            </w:pPr>
            <w:r>
              <w:rPr>
                <w:sz w:val="24"/>
                <w:lang w:eastAsia="en-US"/>
              </w:rPr>
              <w:t>2020-</w:t>
            </w:r>
            <w:r>
              <w:rPr>
                <w:spacing w:val="-4"/>
                <w:sz w:val="24"/>
                <w:lang w:eastAsia="en-US"/>
              </w:rPr>
              <w:t>2022</w:t>
            </w:r>
          </w:p>
        </w:tc>
        <w:tc>
          <w:tcPr>
            <w:tcW w:w="1149" w:type="pct"/>
          </w:tcPr>
          <w:p>
            <w:pPr>
              <w:pStyle w:val="18"/>
              <w:spacing w:before="174"/>
              <w:ind w:left="16"/>
              <w:rPr>
                <w:rFonts w:hint="eastAsia"/>
                <w:sz w:val="24"/>
                <w:lang w:eastAsia="en-US"/>
              </w:rPr>
            </w:pPr>
            <w:r>
              <w:rPr>
                <w:rFonts w:hint="eastAsia"/>
                <w:lang w:eastAsia="en-US"/>
              </w:rPr>
              <w:t>核心论著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369" w:type="pct"/>
          </w:tcPr>
          <w:p>
            <w:pPr>
              <w:pStyle w:val="18"/>
              <w:spacing w:before="177"/>
              <w:ind w:left="16"/>
              <w:rPr>
                <w:rFonts w:hint="eastAsia"/>
                <w:sz w:val="24"/>
                <w:lang w:eastAsia="en-US"/>
              </w:rPr>
            </w:pPr>
            <w:r>
              <w:rPr>
                <w:sz w:val="24"/>
                <w:lang w:eastAsia="en-US"/>
              </w:rPr>
              <w:t>5</w:t>
            </w:r>
          </w:p>
        </w:tc>
        <w:tc>
          <w:tcPr>
            <w:tcW w:w="1182" w:type="pct"/>
          </w:tcPr>
          <w:p>
            <w:pPr>
              <w:pStyle w:val="18"/>
              <w:spacing w:before="177"/>
              <w:ind w:left="16"/>
              <w:rPr>
                <w:rFonts w:hint="eastAsia"/>
                <w:sz w:val="24"/>
                <w:lang w:eastAsia="en-US"/>
              </w:rPr>
            </w:pPr>
            <w:r>
              <w:rPr>
                <w:rFonts w:hint="eastAsia"/>
                <w:lang w:eastAsia="en-US"/>
              </w:rPr>
              <w:t>论文合著</w:t>
            </w:r>
          </w:p>
        </w:tc>
        <w:tc>
          <w:tcPr>
            <w:tcW w:w="1150" w:type="pct"/>
          </w:tcPr>
          <w:p>
            <w:pPr>
              <w:pStyle w:val="18"/>
              <w:spacing w:before="5" w:line="306" w:lineRule="exact"/>
              <w:ind w:left="6"/>
              <w:jc w:val="center"/>
              <w:rPr>
                <w:rFonts w:hint="eastAsia"/>
                <w:sz w:val="24"/>
                <w:lang w:eastAsia="zh-CN"/>
              </w:rPr>
            </w:pPr>
            <w:r>
              <w:rPr>
                <w:rFonts w:hint="eastAsia"/>
                <w:lang w:eastAsia="zh-CN"/>
              </w:rPr>
              <w:t>艾林/第 1；张若冰/第2 ；张琳静/第4 ；李恺/第 5 ；高鹏/第 6</w:t>
            </w:r>
          </w:p>
        </w:tc>
        <w:tc>
          <w:tcPr>
            <w:tcW w:w="1150" w:type="pct"/>
          </w:tcPr>
          <w:p>
            <w:pPr>
              <w:pStyle w:val="18"/>
              <w:spacing w:before="177"/>
              <w:ind w:left="15"/>
              <w:rPr>
                <w:rFonts w:hint="eastAsia"/>
                <w:sz w:val="24"/>
                <w:lang w:eastAsia="en-US"/>
              </w:rPr>
            </w:pPr>
            <w:r>
              <w:rPr>
                <w:sz w:val="24"/>
                <w:lang w:eastAsia="en-US"/>
              </w:rPr>
              <w:t>2020-</w:t>
            </w:r>
            <w:r>
              <w:rPr>
                <w:spacing w:val="-4"/>
                <w:sz w:val="24"/>
                <w:lang w:eastAsia="en-US"/>
              </w:rPr>
              <w:t>2022</w:t>
            </w:r>
          </w:p>
        </w:tc>
        <w:tc>
          <w:tcPr>
            <w:tcW w:w="1149" w:type="pct"/>
          </w:tcPr>
          <w:p>
            <w:pPr>
              <w:pStyle w:val="18"/>
              <w:spacing w:before="177"/>
              <w:ind w:left="16"/>
              <w:rPr>
                <w:rFonts w:hint="eastAsia"/>
                <w:sz w:val="24"/>
                <w:lang w:eastAsia="en-US"/>
              </w:rPr>
            </w:pPr>
            <w:r>
              <w:rPr>
                <w:rFonts w:hint="eastAsia"/>
                <w:lang w:eastAsia="en-US"/>
              </w:rPr>
              <w:t>核心论著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369" w:type="pct"/>
          </w:tcPr>
          <w:p>
            <w:pPr>
              <w:pStyle w:val="18"/>
              <w:ind w:left="16"/>
              <w:rPr>
                <w:rFonts w:hint="eastAsia"/>
                <w:sz w:val="24"/>
                <w:lang w:eastAsia="en-US"/>
              </w:rPr>
            </w:pPr>
            <w:r>
              <w:rPr>
                <w:sz w:val="24"/>
                <w:lang w:eastAsia="en-US"/>
              </w:rPr>
              <w:t>6</w:t>
            </w:r>
          </w:p>
        </w:tc>
        <w:tc>
          <w:tcPr>
            <w:tcW w:w="1182" w:type="pct"/>
          </w:tcPr>
          <w:p>
            <w:pPr>
              <w:pStyle w:val="18"/>
              <w:ind w:left="16"/>
              <w:rPr>
                <w:rFonts w:hint="eastAsia"/>
                <w:sz w:val="24"/>
                <w:lang w:eastAsia="en-US"/>
              </w:rPr>
            </w:pPr>
            <w:r>
              <w:rPr>
                <w:rFonts w:hint="eastAsia"/>
                <w:lang w:eastAsia="en-US"/>
              </w:rPr>
              <w:t>论文合著</w:t>
            </w:r>
          </w:p>
        </w:tc>
        <w:tc>
          <w:tcPr>
            <w:tcW w:w="1150" w:type="pct"/>
          </w:tcPr>
          <w:p>
            <w:pPr>
              <w:pStyle w:val="18"/>
              <w:spacing w:before="4"/>
              <w:ind w:left="6"/>
              <w:jc w:val="center"/>
              <w:rPr>
                <w:rFonts w:hint="eastAsia"/>
                <w:sz w:val="24"/>
                <w:lang w:eastAsia="zh-CN"/>
              </w:rPr>
            </w:pPr>
            <w:r>
              <w:rPr>
                <w:rFonts w:hint="eastAsia"/>
                <w:lang w:eastAsia="zh-CN"/>
              </w:rPr>
              <w:t>艾林/第 1；张若冰/第 2 ；李恺/第5 ；高鹏/第 6</w:t>
            </w:r>
          </w:p>
        </w:tc>
        <w:tc>
          <w:tcPr>
            <w:tcW w:w="1150" w:type="pct"/>
          </w:tcPr>
          <w:p>
            <w:pPr>
              <w:pStyle w:val="18"/>
              <w:ind w:left="15"/>
              <w:rPr>
                <w:rFonts w:hint="eastAsia"/>
                <w:sz w:val="24"/>
                <w:lang w:eastAsia="en-US"/>
              </w:rPr>
            </w:pPr>
            <w:r>
              <w:rPr>
                <w:sz w:val="24"/>
                <w:lang w:eastAsia="en-US"/>
              </w:rPr>
              <w:t>2020-</w:t>
            </w:r>
            <w:r>
              <w:rPr>
                <w:spacing w:val="-4"/>
                <w:sz w:val="24"/>
                <w:lang w:eastAsia="en-US"/>
              </w:rPr>
              <w:t>2022</w:t>
            </w:r>
          </w:p>
        </w:tc>
        <w:tc>
          <w:tcPr>
            <w:tcW w:w="1149" w:type="pct"/>
          </w:tcPr>
          <w:p>
            <w:pPr>
              <w:pStyle w:val="18"/>
              <w:ind w:left="16"/>
              <w:rPr>
                <w:rFonts w:hint="eastAsia"/>
                <w:sz w:val="24"/>
                <w:lang w:eastAsia="en-US"/>
              </w:rPr>
            </w:pPr>
            <w:r>
              <w:rPr>
                <w:rFonts w:hint="eastAsia"/>
                <w:lang w:eastAsia="en-US"/>
              </w:rPr>
              <w:t>核心论著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369" w:type="pct"/>
          </w:tcPr>
          <w:p>
            <w:pPr>
              <w:pStyle w:val="18"/>
              <w:spacing w:before="1"/>
              <w:ind w:left="16"/>
              <w:rPr>
                <w:rFonts w:hint="eastAsia"/>
                <w:sz w:val="24"/>
                <w:lang w:eastAsia="en-US"/>
              </w:rPr>
            </w:pPr>
            <w:r>
              <w:rPr>
                <w:sz w:val="24"/>
                <w:lang w:eastAsia="en-US"/>
              </w:rPr>
              <w:t>7</w:t>
            </w:r>
          </w:p>
        </w:tc>
        <w:tc>
          <w:tcPr>
            <w:tcW w:w="1182" w:type="pct"/>
          </w:tcPr>
          <w:p>
            <w:pPr>
              <w:pStyle w:val="18"/>
              <w:spacing w:before="1"/>
              <w:ind w:left="16"/>
              <w:rPr>
                <w:rFonts w:hint="eastAsia"/>
                <w:sz w:val="24"/>
                <w:lang w:eastAsia="en-US"/>
              </w:rPr>
            </w:pPr>
            <w:r>
              <w:rPr>
                <w:rFonts w:hint="eastAsia"/>
                <w:lang w:eastAsia="en-US"/>
              </w:rPr>
              <w:t>共同知识产权</w:t>
            </w:r>
          </w:p>
        </w:tc>
        <w:tc>
          <w:tcPr>
            <w:tcW w:w="1150" w:type="pct"/>
          </w:tcPr>
          <w:p>
            <w:pPr>
              <w:pStyle w:val="18"/>
              <w:spacing w:before="5" w:line="306" w:lineRule="exact"/>
              <w:ind w:left="6"/>
              <w:jc w:val="center"/>
              <w:rPr>
                <w:rFonts w:hint="eastAsia"/>
                <w:sz w:val="24"/>
                <w:lang w:eastAsia="en-US"/>
              </w:rPr>
            </w:pPr>
            <w:r>
              <w:rPr>
                <w:rFonts w:hint="eastAsia"/>
                <w:lang w:eastAsia="en-US"/>
              </w:rPr>
              <w:t>艾林/第 1；高鹏/第 5</w:t>
            </w:r>
          </w:p>
        </w:tc>
        <w:tc>
          <w:tcPr>
            <w:tcW w:w="1150" w:type="pct"/>
          </w:tcPr>
          <w:p>
            <w:pPr>
              <w:pStyle w:val="18"/>
              <w:spacing w:before="1"/>
              <w:ind w:left="15"/>
              <w:rPr>
                <w:rFonts w:hint="eastAsia"/>
                <w:sz w:val="24"/>
                <w:lang w:eastAsia="en-US"/>
              </w:rPr>
            </w:pPr>
            <w:r>
              <w:rPr>
                <w:sz w:val="24"/>
                <w:lang w:eastAsia="en-US"/>
              </w:rPr>
              <w:t>2020-</w:t>
            </w:r>
            <w:r>
              <w:rPr>
                <w:spacing w:val="-4"/>
                <w:sz w:val="24"/>
                <w:lang w:eastAsia="en-US"/>
              </w:rPr>
              <w:t>2022</w:t>
            </w:r>
          </w:p>
        </w:tc>
        <w:tc>
          <w:tcPr>
            <w:tcW w:w="1149" w:type="pct"/>
          </w:tcPr>
          <w:p>
            <w:pPr>
              <w:pStyle w:val="18"/>
              <w:spacing w:before="1"/>
              <w:ind w:left="16"/>
              <w:rPr>
                <w:rFonts w:hint="eastAsia"/>
                <w:sz w:val="24"/>
                <w:lang w:eastAsia="en-US"/>
              </w:rPr>
            </w:pPr>
            <w:r>
              <w:rPr>
                <w:rFonts w:hint="eastAsia"/>
                <w:lang w:eastAsia="en-US"/>
              </w:rPr>
              <w:t>实用新型专利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369" w:type="pct"/>
          </w:tcPr>
          <w:p>
            <w:pPr>
              <w:pStyle w:val="18"/>
              <w:ind w:left="16"/>
              <w:rPr>
                <w:rFonts w:hint="eastAsia"/>
                <w:sz w:val="24"/>
                <w:lang w:eastAsia="en-US"/>
              </w:rPr>
            </w:pPr>
            <w:r>
              <w:rPr>
                <w:sz w:val="24"/>
                <w:lang w:eastAsia="en-US"/>
              </w:rPr>
              <w:t>8</w:t>
            </w:r>
          </w:p>
        </w:tc>
        <w:tc>
          <w:tcPr>
            <w:tcW w:w="1182" w:type="pct"/>
          </w:tcPr>
          <w:p>
            <w:pPr>
              <w:pStyle w:val="18"/>
              <w:ind w:left="16"/>
              <w:rPr>
                <w:rFonts w:hint="eastAsia"/>
                <w:sz w:val="24"/>
                <w:lang w:eastAsia="en-US"/>
              </w:rPr>
            </w:pPr>
            <w:r>
              <w:rPr>
                <w:rFonts w:hint="eastAsia"/>
                <w:lang w:eastAsia="en-US"/>
              </w:rPr>
              <w:t>共同知识产权</w:t>
            </w:r>
          </w:p>
        </w:tc>
        <w:tc>
          <w:tcPr>
            <w:tcW w:w="1150" w:type="pct"/>
          </w:tcPr>
          <w:p>
            <w:pPr>
              <w:pStyle w:val="18"/>
              <w:spacing w:before="14" w:line="310" w:lineRule="atLeast"/>
              <w:ind w:left="14" w:right="-29" w:hanging="34"/>
              <w:jc w:val="center"/>
              <w:rPr>
                <w:rFonts w:hint="eastAsia"/>
                <w:sz w:val="24"/>
                <w:lang w:eastAsia="zh-CN"/>
              </w:rPr>
            </w:pPr>
            <w:r>
              <w:rPr>
                <w:rFonts w:hint="eastAsia"/>
                <w:lang w:eastAsia="zh-CN"/>
              </w:rPr>
              <w:t>艾林/第 1；刘玉红/第3；李恺/第5 ；高鹏/第 6</w:t>
            </w:r>
          </w:p>
        </w:tc>
        <w:tc>
          <w:tcPr>
            <w:tcW w:w="1150" w:type="pct"/>
          </w:tcPr>
          <w:p>
            <w:pPr>
              <w:pStyle w:val="18"/>
              <w:ind w:left="15"/>
              <w:rPr>
                <w:rFonts w:hint="eastAsia"/>
                <w:sz w:val="24"/>
                <w:lang w:eastAsia="en-US"/>
              </w:rPr>
            </w:pPr>
            <w:r>
              <w:rPr>
                <w:sz w:val="24"/>
                <w:lang w:eastAsia="en-US"/>
              </w:rPr>
              <w:t>2020-</w:t>
            </w:r>
            <w:r>
              <w:rPr>
                <w:spacing w:val="-4"/>
                <w:sz w:val="24"/>
                <w:lang w:eastAsia="en-US"/>
              </w:rPr>
              <w:t>2022</w:t>
            </w:r>
          </w:p>
        </w:tc>
        <w:tc>
          <w:tcPr>
            <w:tcW w:w="1149" w:type="pct"/>
          </w:tcPr>
          <w:p>
            <w:pPr>
              <w:pStyle w:val="18"/>
              <w:ind w:left="16"/>
              <w:rPr>
                <w:rFonts w:hint="eastAsia"/>
                <w:sz w:val="24"/>
                <w:lang w:eastAsia="en-US"/>
              </w:rPr>
            </w:pPr>
            <w:r>
              <w:rPr>
                <w:rFonts w:hint="eastAsia"/>
                <w:lang w:eastAsia="en-US"/>
              </w:rPr>
              <w:t>软件著作权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1" w:hRule="atLeast"/>
        </w:trPr>
        <w:tc>
          <w:tcPr>
            <w:tcW w:w="369" w:type="pct"/>
          </w:tcPr>
          <w:p>
            <w:pPr>
              <w:pStyle w:val="18"/>
              <w:spacing w:before="1"/>
              <w:ind w:left="16"/>
              <w:rPr>
                <w:rFonts w:hint="eastAsia"/>
                <w:sz w:val="24"/>
                <w:lang w:eastAsia="en-US"/>
              </w:rPr>
            </w:pPr>
            <w:r>
              <w:rPr>
                <w:sz w:val="24"/>
                <w:lang w:eastAsia="en-US"/>
              </w:rPr>
              <w:t>9</w:t>
            </w:r>
          </w:p>
        </w:tc>
        <w:tc>
          <w:tcPr>
            <w:tcW w:w="1182" w:type="pct"/>
          </w:tcPr>
          <w:p>
            <w:pPr>
              <w:pStyle w:val="18"/>
              <w:spacing w:before="1"/>
              <w:ind w:left="16"/>
              <w:rPr>
                <w:rFonts w:hint="eastAsia"/>
                <w:sz w:val="24"/>
                <w:lang w:eastAsia="en-US"/>
              </w:rPr>
            </w:pPr>
            <w:r>
              <w:rPr>
                <w:rFonts w:hint="eastAsia"/>
                <w:lang w:eastAsia="en-US"/>
              </w:rPr>
              <w:t>共同知识产权</w:t>
            </w:r>
          </w:p>
        </w:tc>
        <w:tc>
          <w:tcPr>
            <w:tcW w:w="1150" w:type="pct"/>
          </w:tcPr>
          <w:p>
            <w:pPr>
              <w:pStyle w:val="18"/>
              <w:spacing w:before="5"/>
              <w:ind w:left="6"/>
              <w:jc w:val="center"/>
              <w:rPr>
                <w:rFonts w:hint="eastAsia"/>
                <w:sz w:val="24"/>
                <w:lang w:eastAsia="zh-CN"/>
              </w:rPr>
            </w:pPr>
            <w:r>
              <w:rPr>
                <w:rFonts w:hint="eastAsia"/>
                <w:lang w:eastAsia="zh-CN"/>
              </w:rPr>
              <w:t>艾林/第 1；李恺/第5 ；高鹏/第 6</w:t>
            </w:r>
          </w:p>
        </w:tc>
        <w:tc>
          <w:tcPr>
            <w:tcW w:w="1150" w:type="pct"/>
          </w:tcPr>
          <w:p>
            <w:pPr>
              <w:pStyle w:val="18"/>
              <w:spacing w:before="1"/>
              <w:ind w:left="15"/>
              <w:rPr>
                <w:rFonts w:hint="eastAsia"/>
                <w:sz w:val="24"/>
                <w:lang w:eastAsia="en-US"/>
              </w:rPr>
            </w:pPr>
            <w:r>
              <w:rPr>
                <w:sz w:val="24"/>
                <w:lang w:eastAsia="en-US"/>
              </w:rPr>
              <w:t>2018-</w:t>
            </w:r>
            <w:r>
              <w:rPr>
                <w:spacing w:val="-4"/>
                <w:sz w:val="24"/>
                <w:lang w:eastAsia="en-US"/>
              </w:rPr>
              <w:t>2022</w:t>
            </w:r>
          </w:p>
        </w:tc>
        <w:tc>
          <w:tcPr>
            <w:tcW w:w="1149" w:type="pct"/>
          </w:tcPr>
          <w:p>
            <w:pPr>
              <w:pStyle w:val="18"/>
              <w:spacing w:before="175" w:line="242" w:lineRule="auto"/>
              <w:ind w:left="16" w:right="-15"/>
              <w:rPr>
                <w:rFonts w:hint="eastAsia"/>
                <w:sz w:val="24"/>
                <w:lang w:eastAsia="zh-CN"/>
              </w:rPr>
            </w:pPr>
            <w:r>
              <w:rPr>
                <w:rFonts w:hint="eastAsia"/>
                <w:lang w:eastAsia="en-US"/>
              </w:rPr>
              <w:t>软件著作权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trPr>
        <w:tc>
          <w:tcPr>
            <w:tcW w:w="369" w:type="pct"/>
          </w:tcPr>
          <w:p>
            <w:pPr>
              <w:pStyle w:val="18"/>
              <w:ind w:left="16"/>
              <w:rPr>
                <w:rFonts w:hint="eastAsia"/>
                <w:sz w:val="24"/>
                <w:lang w:eastAsia="en-US"/>
              </w:rPr>
            </w:pPr>
            <w:r>
              <w:rPr>
                <w:spacing w:val="-5"/>
                <w:sz w:val="24"/>
                <w:lang w:eastAsia="en-US"/>
              </w:rPr>
              <w:t>10</w:t>
            </w:r>
          </w:p>
        </w:tc>
        <w:tc>
          <w:tcPr>
            <w:tcW w:w="1182" w:type="pct"/>
          </w:tcPr>
          <w:p>
            <w:pPr>
              <w:pStyle w:val="18"/>
              <w:ind w:left="16"/>
              <w:rPr>
                <w:rFonts w:hint="eastAsia"/>
                <w:sz w:val="24"/>
                <w:lang w:eastAsia="en-US"/>
              </w:rPr>
            </w:pPr>
            <w:r>
              <w:rPr>
                <w:rFonts w:hint="eastAsia"/>
                <w:lang w:eastAsia="en-US"/>
              </w:rPr>
              <w:t>共同知识产权</w:t>
            </w:r>
          </w:p>
        </w:tc>
        <w:tc>
          <w:tcPr>
            <w:tcW w:w="1150" w:type="pct"/>
          </w:tcPr>
          <w:p>
            <w:pPr>
              <w:pStyle w:val="18"/>
              <w:spacing w:before="174" w:line="242" w:lineRule="auto"/>
              <w:ind w:left="82" w:right="42" w:hanging="32"/>
              <w:rPr>
                <w:rFonts w:hint="eastAsia"/>
                <w:sz w:val="24"/>
                <w:lang w:eastAsia="zh-CN"/>
              </w:rPr>
            </w:pPr>
            <w:r>
              <w:rPr>
                <w:rFonts w:hint="eastAsia"/>
                <w:lang w:eastAsia="en-US"/>
              </w:rPr>
              <w:t>艾林/第 1；高鹏/第 6</w:t>
            </w:r>
          </w:p>
        </w:tc>
        <w:tc>
          <w:tcPr>
            <w:tcW w:w="1150" w:type="pct"/>
          </w:tcPr>
          <w:p>
            <w:pPr>
              <w:pStyle w:val="18"/>
              <w:ind w:left="15"/>
              <w:rPr>
                <w:rFonts w:hint="eastAsia"/>
                <w:sz w:val="24"/>
                <w:lang w:eastAsia="en-US"/>
              </w:rPr>
            </w:pPr>
            <w:r>
              <w:rPr>
                <w:sz w:val="24"/>
                <w:lang w:eastAsia="en-US"/>
              </w:rPr>
              <w:t>2020-</w:t>
            </w:r>
            <w:r>
              <w:rPr>
                <w:spacing w:val="-4"/>
                <w:sz w:val="24"/>
                <w:lang w:eastAsia="en-US"/>
              </w:rPr>
              <w:t>2022</w:t>
            </w:r>
          </w:p>
        </w:tc>
        <w:tc>
          <w:tcPr>
            <w:tcW w:w="1149" w:type="pct"/>
          </w:tcPr>
          <w:p>
            <w:pPr>
              <w:pStyle w:val="18"/>
              <w:spacing w:before="174" w:line="242" w:lineRule="auto"/>
              <w:ind w:left="16" w:right="-15"/>
              <w:rPr>
                <w:rFonts w:hint="eastAsia"/>
                <w:sz w:val="24"/>
                <w:lang w:eastAsia="zh-CN"/>
              </w:rPr>
            </w:pPr>
            <w:r>
              <w:rPr>
                <w:rFonts w:hint="eastAsia"/>
                <w:lang w:eastAsia="en-US"/>
              </w:rPr>
              <w:t>实用新型专利</w:t>
            </w:r>
          </w:p>
        </w:tc>
      </w:tr>
    </w:tbl>
    <w:p>
      <w:pPr>
        <w:rPr>
          <w:rFonts w:ascii="仿宋_GB2312" w:eastAsia="仿宋_GB2312"/>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1YTkxYzVmM2VjNmQwY2RlYTA0ODIyN2JmZjNhZTQifQ=="/>
  </w:docVars>
  <w:rsids>
    <w:rsidRoot w:val="0063432F"/>
    <w:rsid w:val="000237B0"/>
    <w:rsid w:val="000359EF"/>
    <w:rsid w:val="0006201F"/>
    <w:rsid w:val="000F1138"/>
    <w:rsid w:val="00117CF0"/>
    <w:rsid w:val="00142945"/>
    <w:rsid w:val="0014707E"/>
    <w:rsid w:val="001B374C"/>
    <w:rsid w:val="001D6CDF"/>
    <w:rsid w:val="0025103A"/>
    <w:rsid w:val="002757D1"/>
    <w:rsid w:val="002E48EA"/>
    <w:rsid w:val="0035277F"/>
    <w:rsid w:val="0035394E"/>
    <w:rsid w:val="003E5DC8"/>
    <w:rsid w:val="003F229D"/>
    <w:rsid w:val="004343A5"/>
    <w:rsid w:val="00446985"/>
    <w:rsid w:val="0049214E"/>
    <w:rsid w:val="004A69D8"/>
    <w:rsid w:val="00533688"/>
    <w:rsid w:val="00533790"/>
    <w:rsid w:val="00536411"/>
    <w:rsid w:val="00552866"/>
    <w:rsid w:val="005E7AF1"/>
    <w:rsid w:val="0060355E"/>
    <w:rsid w:val="00612C67"/>
    <w:rsid w:val="0063432F"/>
    <w:rsid w:val="0067562A"/>
    <w:rsid w:val="00733367"/>
    <w:rsid w:val="00790D67"/>
    <w:rsid w:val="007B22C1"/>
    <w:rsid w:val="00946481"/>
    <w:rsid w:val="0095006A"/>
    <w:rsid w:val="00955DF6"/>
    <w:rsid w:val="00957FB5"/>
    <w:rsid w:val="0097693B"/>
    <w:rsid w:val="009A3D16"/>
    <w:rsid w:val="009E413C"/>
    <w:rsid w:val="00A1062D"/>
    <w:rsid w:val="00A41E3A"/>
    <w:rsid w:val="00AB1E64"/>
    <w:rsid w:val="00AD64FE"/>
    <w:rsid w:val="00AF0CE5"/>
    <w:rsid w:val="00B265E3"/>
    <w:rsid w:val="00C53B30"/>
    <w:rsid w:val="00DB7B74"/>
    <w:rsid w:val="00E8564E"/>
    <w:rsid w:val="00EE6701"/>
    <w:rsid w:val="00EF7F87"/>
    <w:rsid w:val="00F03A73"/>
    <w:rsid w:val="00F4727F"/>
    <w:rsid w:val="00F7008E"/>
    <w:rsid w:val="00FB7653"/>
    <w:rsid w:val="08E76F36"/>
    <w:rsid w:val="0EC7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1"/>
    <w:pPr>
      <w:autoSpaceDE w:val="0"/>
      <w:autoSpaceDN w:val="0"/>
      <w:jc w:val="left"/>
    </w:pPr>
    <w:rPr>
      <w:rFonts w:ascii="宋体" w:hAnsi="宋体" w:eastAsia="宋体" w:cs="宋体"/>
      <w:kern w:val="0"/>
      <w:sz w:val="24"/>
      <w:szCs w:val="24"/>
    </w:rPr>
  </w:style>
  <w:style w:type="paragraph" w:styleId="3">
    <w:name w:val="Plain Text"/>
    <w:basedOn w:val="1"/>
    <w:link w:val="11"/>
    <w:qFormat/>
    <w:uiPriority w:val="0"/>
    <w:pPr>
      <w:spacing w:line="360" w:lineRule="auto"/>
      <w:ind w:firstLine="480" w:firstLineChars="200"/>
    </w:pPr>
    <w:rPr>
      <w:rFonts w:ascii="仿宋_GB2312" w:hAnsi="Times New Roman"/>
      <w:sz w:val="24"/>
    </w:rPr>
  </w:style>
  <w:style w:type="paragraph" w:styleId="4">
    <w:name w:val="footer"/>
    <w:basedOn w:val="1"/>
    <w:link w:val="14"/>
    <w:semiHidden/>
    <w:unhideWhenUsed/>
    <w:uiPriority w:val="99"/>
    <w:pPr>
      <w:tabs>
        <w:tab w:val="center" w:pos="4153"/>
        <w:tab w:val="right" w:pos="8306"/>
      </w:tabs>
      <w:snapToGrid w:val="0"/>
      <w:jc w:val="left"/>
    </w:pPr>
    <w:rPr>
      <w:sz w:val="18"/>
      <w:szCs w:val="18"/>
    </w:rPr>
  </w:style>
  <w:style w:type="paragraph" w:styleId="5">
    <w:name w:val="header"/>
    <w:basedOn w:val="1"/>
    <w:link w:val="13"/>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link w:val="19"/>
    <w:qFormat/>
    <w:uiPriority w:val="10"/>
    <w:pPr>
      <w:autoSpaceDE w:val="0"/>
      <w:autoSpaceDN w:val="0"/>
      <w:spacing w:before="105"/>
      <w:ind w:left="2975" w:right="1227" w:hanging="1100"/>
      <w:jc w:val="left"/>
    </w:pPr>
    <w:rPr>
      <w:rFonts w:ascii="PMingLiU" w:hAnsi="PMingLiU" w:eastAsia="PMingLiU" w:cs="PMingLiU"/>
      <w:kern w:val="0"/>
      <w:sz w:val="44"/>
      <w:szCs w:val="44"/>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0">
    <w:name w:val="List Paragraph"/>
    <w:basedOn w:val="1"/>
    <w:qFormat/>
    <w:uiPriority w:val="34"/>
    <w:pPr>
      <w:ind w:firstLine="420" w:firstLineChars="200"/>
    </w:pPr>
  </w:style>
  <w:style w:type="character" w:customStyle="1" w:styleId="11">
    <w:name w:val="纯文本 字符"/>
    <w:link w:val="3"/>
    <w:uiPriority w:val="0"/>
    <w:rPr>
      <w:rFonts w:ascii="仿宋_GB2312" w:hAnsi="Times New Roman"/>
      <w:sz w:val="24"/>
    </w:rPr>
  </w:style>
  <w:style w:type="character" w:customStyle="1" w:styleId="12">
    <w:name w:val="纯文本 Char"/>
    <w:basedOn w:val="9"/>
    <w:semiHidden/>
    <w:uiPriority w:val="99"/>
    <w:rPr>
      <w:rFonts w:ascii="宋体" w:hAnsi="Courier New" w:eastAsia="宋体" w:cs="Courier New"/>
      <w:szCs w:val="21"/>
    </w:rPr>
  </w:style>
  <w:style w:type="character" w:customStyle="1" w:styleId="13">
    <w:name w:val="页眉 字符"/>
    <w:basedOn w:val="9"/>
    <w:link w:val="5"/>
    <w:semiHidden/>
    <w:qFormat/>
    <w:uiPriority w:val="99"/>
    <w:rPr>
      <w:sz w:val="18"/>
      <w:szCs w:val="18"/>
    </w:rPr>
  </w:style>
  <w:style w:type="character" w:customStyle="1" w:styleId="14">
    <w:name w:val="页脚 字符"/>
    <w:basedOn w:val="9"/>
    <w:link w:val="4"/>
    <w:semiHidden/>
    <w:qFormat/>
    <w:uiPriority w:val="99"/>
    <w:rPr>
      <w:sz w:val="18"/>
      <w:szCs w:val="18"/>
    </w:rPr>
  </w:style>
  <w:style w:type="character" w:customStyle="1" w:styleId="15">
    <w:name w:val="纯文本 字符1"/>
    <w:uiPriority w:val="0"/>
    <w:rPr>
      <w:rFonts w:ascii="仿宋_GB2312"/>
      <w:sz w:val="24"/>
    </w:rPr>
  </w:style>
  <w:style w:type="table" w:customStyle="1" w:styleId="16">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7">
    <w:name w:val="正文文本 字符"/>
    <w:basedOn w:val="9"/>
    <w:link w:val="2"/>
    <w:uiPriority w:val="1"/>
    <w:rPr>
      <w:rFonts w:ascii="宋体" w:hAnsi="宋体" w:eastAsia="宋体" w:cs="宋体"/>
      <w:kern w:val="0"/>
      <w:sz w:val="24"/>
      <w:szCs w:val="24"/>
    </w:rPr>
  </w:style>
  <w:style w:type="paragraph" w:customStyle="1" w:styleId="18">
    <w:name w:val="Table Paragraph"/>
    <w:basedOn w:val="1"/>
    <w:qFormat/>
    <w:uiPriority w:val="1"/>
    <w:pPr>
      <w:autoSpaceDE w:val="0"/>
      <w:autoSpaceDN w:val="0"/>
      <w:jc w:val="left"/>
    </w:pPr>
    <w:rPr>
      <w:rFonts w:ascii="宋体" w:hAnsi="宋体" w:eastAsia="宋体" w:cs="宋体"/>
      <w:kern w:val="0"/>
      <w:sz w:val="22"/>
    </w:rPr>
  </w:style>
  <w:style w:type="character" w:customStyle="1" w:styleId="19">
    <w:name w:val="标题 字符"/>
    <w:basedOn w:val="9"/>
    <w:link w:val="6"/>
    <w:uiPriority w:val="10"/>
    <w:rPr>
      <w:rFonts w:ascii="PMingLiU" w:hAnsi="PMingLiU" w:eastAsia="PMingLiU" w:cs="PMingLiU"/>
      <w:kern w:val="0"/>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11</Pages>
  <Words>5617</Words>
  <Characters>6145</Characters>
  <Lines>46</Lines>
  <Paragraphs>13</Paragraphs>
  <TotalTime>183</TotalTime>
  <ScaleCrop>false</ScaleCrop>
  <LinksUpToDate>false</LinksUpToDate>
  <CharactersWithSpaces>6263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WPS_1641343652</cp:lastModifiedBy>
  <dcterms:modified xsi:type="dcterms:W3CDTF">2024-07-14T10:14:18Z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3461C74F1E8F45478875FE2E541EBE57_12</vt:lpwstr>
  </property>
</Properties>
</file>