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rPr>
          <w:rFonts w:hint="eastAsia" w:ascii="黑体" w:hAnsi="黑体" w:eastAsia="黑体" w:cs="黑体"/>
        </w:rPr>
      </w:pPr>
      <w:r>
        <w:rPr>
          <w:rFonts w:hint="eastAsia" w:ascii="黑体" w:hAnsi="黑体" w:eastAsia="黑体" w:cs="黑体"/>
        </w:rPr>
        <w:t>一、项目名称</w:t>
      </w:r>
    </w:p>
    <w:p>
      <w:pPr>
        <w:pStyle w:val="8"/>
        <w:ind w:firstLine="480"/>
      </w:pPr>
      <w:r>
        <w:rPr>
          <w:rFonts w:hint="eastAsia"/>
        </w:rPr>
        <w:t>糖尿病周围神经痛的发病机制及临床干预研究</w:t>
      </w:r>
    </w:p>
    <w:p>
      <w:pPr>
        <w:ind w:firstLine="480" w:firstLineChars="200"/>
        <w:rPr>
          <w:rFonts w:hint="eastAsia" w:ascii="黑体" w:hAnsi="黑体" w:eastAsia="黑体" w:cs="黑体"/>
        </w:rPr>
      </w:pPr>
      <w:r>
        <w:rPr>
          <w:rFonts w:hint="eastAsia" w:ascii="黑体" w:hAnsi="黑体" w:eastAsia="黑体" w:cs="黑体"/>
        </w:rPr>
        <w:t>二、主要完成人</w:t>
      </w:r>
    </w:p>
    <w:tbl>
      <w:tblPr>
        <w:tblStyle w:val="6"/>
        <w:tblW w:w="1005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775"/>
        <w:gridCol w:w="1067"/>
        <w:gridCol w:w="1418"/>
        <w:gridCol w:w="1276"/>
        <w:gridCol w:w="1275"/>
        <w:gridCol w:w="314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01" w:type="dxa"/>
          </w:tcPr>
          <w:p>
            <w:r>
              <w:rPr>
                <w:rFonts w:hint="eastAsia"/>
              </w:rPr>
              <w:t>姓名</w:t>
            </w:r>
          </w:p>
        </w:tc>
        <w:tc>
          <w:tcPr>
            <w:tcW w:w="775" w:type="dxa"/>
          </w:tcPr>
          <w:p>
            <w:r>
              <w:rPr>
                <w:rFonts w:hint="eastAsia"/>
              </w:rPr>
              <w:t>排名</w:t>
            </w:r>
          </w:p>
        </w:tc>
        <w:tc>
          <w:tcPr>
            <w:tcW w:w="1067" w:type="dxa"/>
          </w:tcPr>
          <w:p>
            <w:r>
              <w:rPr>
                <w:rFonts w:hint="eastAsia"/>
              </w:rPr>
              <w:t>行政职务</w:t>
            </w:r>
          </w:p>
        </w:tc>
        <w:tc>
          <w:tcPr>
            <w:tcW w:w="1418" w:type="dxa"/>
          </w:tcPr>
          <w:p>
            <w:r>
              <w:rPr>
                <w:rFonts w:hint="eastAsia"/>
              </w:rPr>
              <w:t>技术职称</w:t>
            </w:r>
          </w:p>
        </w:tc>
        <w:tc>
          <w:tcPr>
            <w:tcW w:w="1276" w:type="dxa"/>
          </w:tcPr>
          <w:p>
            <w:r>
              <w:rPr>
                <w:rFonts w:hint="eastAsia"/>
              </w:rPr>
              <w:t>工作单位</w:t>
            </w:r>
          </w:p>
        </w:tc>
        <w:tc>
          <w:tcPr>
            <w:tcW w:w="1275" w:type="dxa"/>
          </w:tcPr>
          <w:p>
            <w:r>
              <w:rPr>
                <w:rFonts w:hint="eastAsia"/>
              </w:rPr>
              <w:t>完成单位</w:t>
            </w:r>
          </w:p>
        </w:tc>
        <w:tc>
          <w:tcPr>
            <w:tcW w:w="3144" w:type="dxa"/>
          </w:tcPr>
          <w:p>
            <w:r>
              <w:rPr>
                <w:rFonts w:hint="eastAsia"/>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李洁</w:t>
            </w:r>
          </w:p>
        </w:tc>
        <w:tc>
          <w:tcPr>
            <w:tcW w:w="775" w:type="dxa"/>
          </w:tcPr>
          <w:p>
            <w:r>
              <w:rPr>
                <w:rFonts w:hint="eastAsia"/>
              </w:rPr>
              <w:t>1</w:t>
            </w:r>
          </w:p>
        </w:tc>
        <w:tc>
          <w:tcPr>
            <w:tcW w:w="1067" w:type="dxa"/>
          </w:tcPr>
          <w:p>
            <w:r>
              <w:rPr>
                <w:rFonts w:hint="eastAsia"/>
              </w:rPr>
              <w:t>科主任</w:t>
            </w:r>
          </w:p>
        </w:tc>
        <w:tc>
          <w:tcPr>
            <w:tcW w:w="1418" w:type="dxa"/>
          </w:tcPr>
          <w:p>
            <w:r>
              <w:rPr>
                <w:rFonts w:hint="eastAsia"/>
              </w:rPr>
              <w:t>副主任医师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pPr>
              <w:rPr>
                <w:color w:val="FF0000"/>
              </w:rPr>
            </w:pPr>
            <w:r>
              <w:rPr>
                <w:rFonts w:hint="eastAsia"/>
                <w:color w:val="000000" w:themeColor="text1"/>
              </w:rPr>
              <w:t>是本项目的第一负责人，主持了该项目的设计并参加了整个实施过程。对本项目技术创新点做出重大贡献，全面主持该课题，总体部署，确定总体研究方向、技术路线及研究方法，并完成论文撰写。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刘晓宇</w:t>
            </w:r>
          </w:p>
        </w:tc>
        <w:tc>
          <w:tcPr>
            <w:tcW w:w="775" w:type="dxa"/>
          </w:tcPr>
          <w:p>
            <w:r>
              <w:rPr>
                <w:rFonts w:hint="eastAsia"/>
              </w:rPr>
              <w:t>2</w:t>
            </w:r>
          </w:p>
        </w:tc>
        <w:tc>
          <w:tcPr>
            <w:tcW w:w="1067" w:type="dxa"/>
          </w:tcPr>
          <w:p>
            <w:r>
              <w:rPr>
                <w:rFonts w:hint="eastAsia"/>
              </w:rPr>
              <w:t>无</w:t>
            </w:r>
          </w:p>
        </w:tc>
        <w:tc>
          <w:tcPr>
            <w:tcW w:w="1418" w:type="dxa"/>
          </w:tcPr>
          <w:p>
            <w:r>
              <w:rPr>
                <w:rFonts w:hint="eastAsia"/>
              </w:rPr>
              <w:t>副主任医师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r>
              <w:rPr>
                <w:rFonts w:hint="eastAsia"/>
              </w:rPr>
              <w:t>参与课题设计，评估项目可行性，推动项目在其他单位的应用，并申请相关课题、数据分析、图表制作及文章撰写。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毛培军</w:t>
            </w:r>
          </w:p>
        </w:tc>
        <w:tc>
          <w:tcPr>
            <w:tcW w:w="775" w:type="dxa"/>
          </w:tcPr>
          <w:p>
            <w:r>
              <w:rPr>
                <w:rFonts w:hint="eastAsia"/>
              </w:rPr>
              <w:t>3</w:t>
            </w:r>
          </w:p>
        </w:tc>
        <w:tc>
          <w:tcPr>
            <w:tcW w:w="1067" w:type="dxa"/>
          </w:tcPr>
          <w:p>
            <w:r>
              <w:rPr>
                <w:rFonts w:hint="eastAsia"/>
              </w:rPr>
              <w:t>无</w:t>
            </w:r>
          </w:p>
        </w:tc>
        <w:tc>
          <w:tcPr>
            <w:tcW w:w="1418" w:type="dxa"/>
          </w:tcPr>
          <w:p>
            <w:r>
              <w:rPr>
                <w:rFonts w:hint="eastAsia"/>
              </w:rPr>
              <w:t>主任医师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r>
              <w:rPr>
                <w:rFonts w:hint="eastAsia"/>
              </w:rPr>
              <w:t>参与项目设计，评估项目的意义与可行性，进</w:t>
            </w:r>
            <w:r>
              <w:t>行数据处理与统计学分析，指导撰写论文</w:t>
            </w:r>
            <w:r>
              <w:rPr>
                <w:rFonts w:hint="eastAsia"/>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田雄涛</w:t>
            </w:r>
          </w:p>
        </w:tc>
        <w:tc>
          <w:tcPr>
            <w:tcW w:w="775" w:type="dxa"/>
          </w:tcPr>
          <w:p>
            <w:r>
              <w:rPr>
                <w:rFonts w:hint="eastAsia"/>
              </w:rPr>
              <w:t>4</w:t>
            </w:r>
          </w:p>
        </w:tc>
        <w:tc>
          <w:tcPr>
            <w:tcW w:w="1067" w:type="dxa"/>
          </w:tcPr>
          <w:p>
            <w:r>
              <w:rPr>
                <w:rFonts w:hint="eastAsia"/>
              </w:rPr>
              <w:t>无</w:t>
            </w:r>
          </w:p>
        </w:tc>
        <w:tc>
          <w:tcPr>
            <w:tcW w:w="1418" w:type="dxa"/>
          </w:tcPr>
          <w:p>
            <w:r>
              <w:rPr>
                <w:rFonts w:hint="eastAsia"/>
              </w:rPr>
              <w:t>主治医师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r>
              <w:rPr>
                <w:rFonts w:hint="eastAsia"/>
              </w:rPr>
              <w:t>参与病例收集，病例随访，数据收集整理。完成论文撰写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叶欣</w:t>
            </w:r>
          </w:p>
        </w:tc>
        <w:tc>
          <w:tcPr>
            <w:tcW w:w="775" w:type="dxa"/>
          </w:tcPr>
          <w:p>
            <w:r>
              <w:rPr>
                <w:rFonts w:hint="eastAsia"/>
              </w:rPr>
              <w:t>5</w:t>
            </w:r>
          </w:p>
        </w:tc>
        <w:tc>
          <w:tcPr>
            <w:tcW w:w="1067" w:type="dxa"/>
          </w:tcPr>
          <w:p>
            <w:r>
              <w:rPr>
                <w:rFonts w:hint="eastAsia"/>
              </w:rPr>
              <w:t>无</w:t>
            </w:r>
          </w:p>
        </w:tc>
        <w:tc>
          <w:tcPr>
            <w:tcW w:w="1418" w:type="dxa"/>
          </w:tcPr>
          <w:p>
            <w:r>
              <w:rPr>
                <w:rFonts w:hint="eastAsia"/>
              </w:rPr>
              <w:t>主治医师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r>
              <w:rPr>
                <w:rFonts w:hint="eastAsia"/>
              </w:rPr>
              <w:t>负责基础实验操作，参与数据分析，论文撰写。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邵英</w:t>
            </w:r>
          </w:p>
        </w:tc>
        <w:tc>
          <w:tcPr>
            <w:tcW w:w="775" w:type="dxa"/>
          </w:tcPr>
          <w:p>
            <w:r>
              <w:rPr>
                <w:rFonts w:hint="eastAsia"/>
              </w:rPr>
              <w:t>6</w:t>
            </w:r>
          </w:p>
        </w:tc>
        <w:tc>
          <w:tcPr>
            <w:tcW w:w="1067" w:type="dxa"/>
          </w:tcPr>
          <w:p>
            <w:r>
              <w:rPr>
                <w:rFonts w:hint="eastAsia"/>
              </w:rPr>
              <w:t>无</w:t>
            </w:r>
          </w:p>
        </w:tc>
        <w:tc>
          <w:tcPr>
            <w:tcW w:w="1418" w:type="dxa"/>
          </w:tcPr>
          <w:p>
            <w:r>
              <w:rPr>
                <w:rFonts w:hint="eastAsia"/>
              </w:rPr>
              <w:t>主治医师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r>
              <w:rPr>
                <w:rFonts w:hint="eastAsia"/>
              </w:rPr>
              <w:t>参与了部分实验设计与实施； 负责资料收集和数据分析；参与患者随访工作，完成论文撰写。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r>
              <w:rPr>
                <w:rFonts w:hint="eastAsia"/>
              </w:rPr>
              <w:t>张利红</w:t>
            </w:r>
          </w:p>
        </w:tc>
        <w:tc>
          <w:tcPr>
            <w:tcW w:w="775" w:type="dxa"/>
          </w:tcPr>
          <w:p>
            <w:r>
              <w:rPr>
                <w:rFonts w:hint="eastAsia"/>
              </w:rPr>
              <w:t>7</w:t>
            </w:r>
          </w:p>
        </w:tc>
        <w:tc>
          <w:tcPr>
            <w:tcW w:w="1067" w:type="dxa"/>
          </w:tcPr>
          <w:p>
            <w:r>
              <w:rPr>
                <w:rFonts w:hint="eastAsia"/>
              </w:rPr>
              <w:t>无</w:t>
            </w:r>
          </w:p>
        </w:tc>
        <w:tc>
          <w:tcPr>
            <w:tcW w:w="1418" w:type="dxa"/>
          </w:tcPr>
          <w:p>
            <w:r>
              <w:rPr>
                <w:rFonts w:hint="eastAsia"/>
              </w:rPr>
              <w:t>副主任医师</w:t>
            </w:r>
          </w:p>
        </w:tc>
        <w:tc>
          <w:tcPr>
            <w:tcW w:w="1276" w:type="dxa"/>
          </w:tcPr>
          <w:p>
            <w:r>
              <w:rPr>
                <w:rFonts w:hint="eastAsia"/>
              </w:rPr>
              <w:t>中国人民解放军空军军医大学</w:t>
            </w:r>
          </w:p>
        </w:tc>
        <w:tc>
          <w:tcPr>
            <w:tcW w:w="1275" w:type="dxa"/>
          </w:tcPr>
          <w:p>
            <w:r>
              <w:rPr>
                <w:rFonts w:hint="eastAsia"/>
              </w:rPr>
              <w:t>中国人民解放军空军军医大学</w:t>
            </w:r>
          </w:p>
        </w:tc>
        <w:tc>
          <w:tcPr>
            <w:tcW w:w="3144" w:type="dxa"/>
          </w:tcPr>
          <w:p>
            <w:r>
              <w:rPr>
                <w:rFonts w:hint="eastAsia"/>
              </w:rPr>
              <w:t>参与了疾病评估与患者随访工作；收取临床数据，进行统计学分析，完成论文撰写。</w:t>
            </w:r>
          </w:p>
        </w:tc>
      </w:tr>
    </w:tbl>
    <w:p>
      <w:pPr>
        <w:ind w:firstLine="480" w:firstLineChars="200"/>
        <w:rPr>
          <w:rFonts w:hint="eastAsia" w:ascii="黑体" w:hAnsi="黑体" w:eastAsia="黑体" w:cs="黑体"/>
        </w:rPr>
      </w:pPr>
      <w:r>
        <w:rPr>
          <w:rFonts w:hint="eastAsia" w:ascii="黑体" w:hAnsi="黑体" w:eastAsia="黑体" w:cs="黑体"/>
        </w:rPr>
        <w:t>三、主要完成单位及创新推广贡献</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r>
              <w:rPr>
                <w:rFonts w:hint="eastAsia"/>
              </w:rPr>
              <w:t>完成单位</w:t>
            </w:r>
          </w:p>
        </w:tc>
        <w:tc>
          <w:tcPr>
            <w:tcW w:w="1843" w:type="dxa"/>
          </w:tcPr>
          <w:p>
            <w:r>
              <w:rPr>
                <w:rFonts w:hint="eastAsia"/>
              </w:rPr>
              <w:t>排名</w:t>
            </w:r>
          </w:p>
        </w:tc>
        <w:tc>
          <w:tcPr>
            <w:tcW w:w="5245" w:type="dxa"/>
          </w:tcPr>
          <w:p>
            <w:r>
              <w:rPr>
                <w:rFonts w:hint="eastAsia"/>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hint="default" w:eastAsia="仿宋_GB2312"/>
                <w:lang w:val="en-US" w:eastAsia="zh-CN"/>
              </w:rPr>
            </w:pPr>
            <w:r>
              <w:rPr>
                <w:rFonts w:hint="eastAsia"/>
                <w:lang w:val="en-US" w:eastAsia="zh-CN"/>
              </w:rPr>
              <w:t>中国人民解放军空军军医大学</w:t>
            </w:r>
          </w:p>
        </w:tc>
        <w:tc>
          <w:tcPr>
            <w:tcW w:w="1843" w:type="dxa"/>
          </w:tcPr>
          <w:p>
            <w:pPr>
              <w:rPr>
                <w:rFonts w:hint="eastAsia" w:eastAsia="仿宋_GB2312"/>
                <w:lang w:val="en-US" w:eastAsia="zh-CN"/>
              </w:rPr>
            </w:pPr>
            <w:r>
              <w:rPr>
                <w:rFonts w:hint="eastAsia"/>
                <w:lang w:val="en-US" w:eastAsia="zh-CN"/>
              </w:rPr>
              <w:t>1</w:t>
            </w:r>
          </w:p>
        </w:tc>
        <w:tc>
          <w:tcPr>
            <w:tcW w:w="5245" w:type="dxa"/>
          </w:tcPr>
          <w:p>
            <w:r>
              <w:rPr>
                <w:rFonts w:hint="eastAsia"/>
              </w:rPr>
              <w:t>空军军医大学是一所培养高、中层次医学专业人才的全国重点大学。学校人才济济，医疗、科研实力雄厚。空军军医大学为本项目提供基础研究实验室及实验所需要的材料、设备、仪器等，保证实验顺利开展。附属986医院是病例收集及病例采集的主要平台，提供研究中所需的各项的硬件设施，提供相关检查设备、相关检验的大型仪器，分析软件支持，支持技术应用、论文发表、成果申报。</w:t>
            </w:r>
          </w:p>
        </w:tc>
      </w:tr>
    </w:tbl>
    <w:p>
      <w:pPr>
        <w:ind w:firstLine="480" w:firstLineChars="200"/>
        <w:rPr>
          <w:rFonts w:hint="eastAsia" w:ascii="黑体" w:hAnsi="黑体" w:eastAsia="黑体" w:cs="黑体"/>
        </w:rPr>
      </w:pPr>
      <w:r>
        <w:rPr>
          <w:rFonts w:hint="eastAsia" w:ascii="黑体" w:hAnsi="黑体" w:eastAsia="黑体" w:cs="黑体"/>
        </w:rPr>
        <w:t>四、提名者</w:t>
      </w:r>
    </w:p>
    <w:p>
      <w:pPr>
        <w:ind w:firstLine="480" w:firstLineChars="200"/>
      </w:pPr>
      <w:r>
        <w:rPr>
          <w:rFonts w:hint="eastAsia"/>
        </w:rPr>
        <w:t>中国人民解放军空军军医大学</w:t>
      </w:r>
    </w:p>
    <w:p>
      <w:pPr>
        <w:ind w:firstLine="480" w:firstLineChars="200"/>
        <w:rPr>
          <w:rFonts w:hint="eastAsia" w:ascii="黑体" w:hAnsi="黑体" w:eastAsia="黑体" w:cs="黑体"/>
        </w:rPr>
      </w:pPr>
      <w:r>
        <w:rPr>
          <w:rFonts w:hint="eastAsia" w:ascii="黑体" w:hAnsi="黑体" w:eastAsia="黑体" w:cs="黑体"/>
        </w:rPr>
        <w:t>五、提名意见</w:t>
      </w:r>
    </w:p>
    <w:p>
      <w:pPr>
        <w:pStyle w:val="8"/>
        <w:ind w:firstLine="480"/>
      </w:pPr>
      <w:r>
        <w:rPr>
          <w:rFonts w:hint="eastAsia"/>
          <w:lang w:val="en-US" w:eastAsia="zh-CN"/>
        </w:rPr>
        <w:t>拟</w:t>
      </w:r>
      <w:r>
        <w:rPr>
          <w:rFonts w:hint="eastAsia"/>
        </w:rPr>
        <w:t>提名该项目为陕西省科技进步奖。</w:t>
      </w:r>
    </w:p>
    <w:p>
      <w:pPr>
        <w:ind w:firstLine="480" w:firstLineChars="200"/>
        <w:rPr>
          <w:rFonts w:hint="eastAsia" w:ascii="黑体" w:hAnsi="黑体" w:eastAsia="黑体" w:cs="黑体"/>
        </w:rPr>
      </w:pPr>
      <w:r>
        <w:rPr>
          <w:rFonts w:hint="eastAsia" w:ascii="黑体" w:hAnsi="黑体" w:eastAsia="黑体" w:cs="黑体"/>
        </w:rPr>
        <w:t>六、项目简介</w:t>
      </w:r>
    </w:p>
    <w:p>
      <w:pPr>
        <w:pStyle w:val="8"/>
        <w:ind w:firstLine="480"/>
      </w:pPr>
      <w:r>
        <w:rPr>
          <w:rFonts w:hint="eastAsia"/>
        </w:rPr>
        <w:t>糖尿病周围神经病变</w:t>
      </w:r>
      <w:r>
        <w:t>是糖尿病最常见的慢性并发症之一</w:t>
      </w:r>
      <w:r>
        <w:rPr>
          <w:rFonts w:hint="eastAsia"/>
        </w:rPr>
        <w:t>，症状通常表现为“麻、凉、冷、痛”，给患者生存质量带来严重影响。其中因糖尿病周围神经病变而出现的疼痛称为糖尿病神经痛（painful diabetic neuropathy, PDN），16%-26%的糖尿病病人会出现PDN，</w:t>
      </w:r>
      <w:r>
        <w:t>P</w:t>
      </w:r>
      <w:r>
        <w:rPr>
          <w:rFonts w:hint="eastAsia"/>
        </w:rPr>
        <w:t>D</w:t>
      </w:r>
      <w:r>
        <w:t>N</w:t>
      </w:r>
      <w:r>
        <w:rPr>
          <w:rFonts w:hint="eastAsia"/>
        </w:rPr>
        <w:t>多从肢体远端起病，对称分布，呈烧灼样、电击样或针刺样疼痛，夜间为著，并伴有异常疼痛和痛觉过敏，严重影响病人日常生活工作及心理健康。</w:t>
      </w:r>
      <w:r>
        <w:t>制约其防治的主要难点是</w:t>
      </w:r>
      <w:r>
        <w:rPr>
          <w:rFonts w:hint="eastAsia"/>
        </w:rPr>
        <w:t>：</w:t>
      </w:r>
      <w:r>
        <w:t>1.</w:t>
      </w:r>
      <w:r>
        <w:rPr>
          <w:rFonts w:hint="eastAsia"/>
        </w:rPr>
        <w:t>确切发病机制不明确</w:t>
      </w:r>
      <w:r>
        <w:t>。2.</w:t>
      </w:r>
      <w:r>
        <w:rPr>
          <w:rFonts w:hint="eastAsia"/>
        </w:rPr>
        <w:t>发病机制与治疗方法未能充分的结合；3治疗手段及方法有限，治疗效果不佳</w:t>
      </w:r>
      <w:r>
        <w:t>。</w:t>
      </w:r>
      <w:r>
        <w:rPr>
          <w:rFonts w:hint="eastAsia"/>
        </w:rPr>
        <w:t>本项目</w:t>
      </w:r>
      <w:r>
        <w:t>针对上述问题，从</w:t>
      </w:r>
      <w:r>
        <w:rPr>
          <w:rFonts w:hint="eastAsia"/>
        </w:rPr>
        <w:t>发病机制、</w:t>
      </w:r>
      <w:r>
        <w:t>炎症机制、治疗策略创新等方面历经</w:t>
      </w:r>
      <w:r>
        <w:rPr>
          <w:rFonts w:hint="eastAsia"/>
        </w:rPr>
        <w:t>18</w:t>
      </w:r>
      <w:r>
        <w:t>年临床和基础研究，取得了一系列的创新成果</w:t>
      </w:r>
      <w:r>
        <w:rPr>
          <w:rFonts w:hint="eastAsia"/>
        </w:rPr>
        <w:t>。</w:t>
      </w:r>
    </w:p>
    <w:p>
      <w:pPr>
        <w:pStyle w:val="8"/>
        <w:ind w:firstLine="480"/>
      </w:pPr>
      <w:r>
        <w:rPr>
          <w:rFonts w:hint="eastAsia"/>
        </w:rPr>
        <w:t>本成果属于临床医学内分泌代谢学科研究领域，研究了高血糖对痛阈的影响及对糖尿病周围神经痛(painful diabetic neuropathy，PDN)的影响；阐明了基础研究的关键基因及重要信号通路，分子生物学角度研究PDN的发病机制，为PDN精准治疗提供新的思路与策略；结合临床实践研究对减轻与改善PDN患者症状提出新的诊疗思路及策略，有着重要的临床及科研意义。</w:t>
      </w:r>
    </w:p>
    <w:p>
      <w:pPr>
        <w:pStyle w:val="8"/>
        <w:ind w:firstLine="480"/>
      </w:pPr>
      <w:r>
        <w:rPr>
          <w:rFonts w:hint="eastAsia"/>
        </w:rPr>
        <w:t>（一）高血糖与痛阈的关系</w:t>
      </w:r>
    </w:p>
    <w:p>
      <w:pPr>
        <w:ind w:firstLine="480" w:firstLineChars="200"/>
      </w:pPr>
      <w:r>
        <w:rPr>
          <w:rFonts w:hint="eastAsia"/>
        </w:rPr>
        <w:t xml:space="preserve"> 本研究表明高血糖、高血脂、高血压等代谢综合征与痛阈存在一定的关系，尤其血糖水平变化对基础痛阈有十分重要的影响，本研究发现炎症可诱导实验性高血糖大鼠原发性热和机械性痛敏，实验性高血糖增强了炎性痛模型的疼痛反应。表明高血糖、胰岛素抵抗与PDN发病息息相关。</w:t>
      </w:r>
    </w:p>
    <w:p>
      <w:pPr>
        <w:ind w:firstLine="480" w:firstLineChars="200"/>
      </w:pPr>
      <w:r>
        <w:rPr>
          <w:rFonts w:hint="eastAsia"/>
        </w:rPr>
        <w:t>（二）PDN机制的研究</w:t>
      </w:r>
    </w:p>
    <w:p>
      <w:pPr>
        <w:pStyle w:val="8"/>
        <w:ind w:firstLine="480"/>
      </w:pPr>
      <w:r>
        <w:rPr>
          <w:rFonts w:hint="eastAsia"/>
        </w:rPr>
        <w:t>本研究首先利用转录组测序技术研究了糖尿病病理性神经痛大鼠脊髓背角中基因表达的变化，发现了糖尿病神经痛组共有42个基因在转录水平发生了上调，有51个基因在转录水平发生了下调。并且根据这一线索进一步研究发现脊髓小胶质细胞P2X4的表达和糖尿病病理性神经痛大鼠炎症反应和疼痛阈值的关系，并且发现了在糖尿病病理性神经痛大鼠坐骨神经中miR-133a的上调对疼痛阈值的影响，miR-133a-3p可能是患有神经性疼痛的患者的有用治疗靶点，在PDN中高血糖显著诱导血管内皮中的miR-133a基因表达，P2X4基因的表达，不仅引发了内皮功能障碍，与糖尿病神经疼痛有显著的相关性。这一发现提示在今后的临床治疗中通过改善糖脂代谢紊乱，减少相关基因的表达，从而改善内皮功能、减少氧化应激、缓解炎症反应等作用，为今后研发相关药物干预或可提供理论基础。</w:t>
      </w:r>
    </w:p>
    <w:p>
      <w:pPr>
        <w:pStyle w:val="8"/>
        <w:ind w:firstLine="480"/>
      </w:pPr>
      <w:bookmarkStart w:id="0" w:name="_Hlk160634672"/>
      <w:r>
        <w:rPr>
          <w:rFonts w:hint="eastAsia"/>
        </w:rPr>
        <w:t>（三）PDN临床干预研究</w:t>
      </w:r>
    </w:p>
    <w:bookmarkEnd w:id="0"/>
    <w:p>
      <w:pPr>
        <w:pStyle w:val="8"/>
        <w:ind w:firstLine="480"/>
      </w:pPr>
      <w:r>
        <w:rPr>
          <w:rFonts w:hint="eastAsia"/>
        </w:rPr>
        <w:t>临床上，通过改善糖代谢紊乱，营养神经的治疗从而改善内皮功能、减少氧化应激、缓解炎症反应等作用，最终可降低相关基因的表达。我们根据治疗PDN各药物作用机制和作用靶点不同，在临床试验中我们分别使用了不同的药物针对PDN做出相关的疗效分析与机制探讨。通过强化控制血糖，联合指南中推荐药物，通过促神经细胞分化和释放神经调节因子，保障神经细胞、神经元的存活，并且能够降低氧化应激，抑制炎症因子，减轻PDN患者炎性细胞因子及部分靶点基因的表达，改善受损神经传导速度；通过强化调控糖脂，改善PDN的肢体感觉及运动功能障碍。并通过改善神经滋养血管内膜靶基因表达，减少氧化应激反应诱导的炎症因子，改善糖尿病痛性神经病变的症状。</w:t>
      </w:r>
    </w:p>
    <w:p>
      <w:pPr>
        <w:ind w:firstLine="480" w:firstLineChars="200"/>
        <w:rPr>
          <w:rFonts w:hint="eastAsia" w:ascii="黑体" w:hAnsi="黑体" w:eastAsia="黑体" w:cs="黑体"/>
        </w:rPr>
      </w:pPr>
      <w:r>
        <w:rPr>
          <w:rFonts w:hint="eastAsia" w:ascii="黑体" w:hAnsi="黑体" w:eastAsia="黑体" w:cs="黑体"/>
        </w:rPr>
        <w:t>七、客观评价</w:t>
      </w:r>
    </w:p>
    <w:p>
      <w:pPr>
        <w:pStyle w:val="8"/>
        <w:ind w:firstLine="480"/>
      </w:pPr>
      <w:r>
        <w:rPr>
          <w:rFonts w:hint="eastAsia"/>
        </w:rPr>
        <w:t>该项目阐明了高血糖对痛阈的影响，异常代谢导致糖尿病周围神经痛(painful diabetic neuropathy，PDN)的发生发展；从基础研究的关键基因及重要信号通路，分子生物学角度分析糖尿病神经痛的发病机制，为 PDN 精准治疗提供新的诊疗方向，为临床改善糖尿病周围周围神经病变的治疗提供策略；结合临床药物及中医治疗的应用，减轻了PDN患者痛苦，具有重要的临床及科研意义。为PDN的基础临床研究及治疗提供了研究基础。该成果技术创新性强，实用性强，在基础研究中有了新的突破并结合临床研究为PDN的诊治开启了新的治疗策略。</w:t>
      </w:r>
    </w:p>
    <w:p>
      <w:pPr>
        <w:pStyle w:val="8"/>
        <w:ind w:firstLine="480"/>
      </w:pPr>
      <w:r>
        <w:rPr>
          <w:rFonts w:hint="eastAsia"/>
        </w:rPr>
        <w:t>该项目发表学术完成论文12篇，实用新型专利 3 项，著作 2 部，大会交流2项，圆满完成科研立项合同如下：（1） 项目名称：糖尿病神经病变的早期预警预测研究，项目编号：2019JM-422，第三方单位：陕西省科学技术厅，评价时间：2022-4-19；（2） 项目名称：糖尿病早期神经病变的预警机制研究，项目编号：2019JM-422。</w:t>
      </w:r>
    </w:p>
    <w:p>
      <w:pPr>
        <w:ind w:firstLine="480" w:firstLineChars="200"/>
        <w:rPr>
          <w:rFonts w:hint="eastAsia" w:ascii="黑体" w:hAnsi="黑体" w:eastAsia="黑体" w:cs="黑体"/>
        </w:rPr>
      </w:pPr>
      <w:r>
        <w:rPr>
          <w:rFonts w:hint="eastAsia" w:ascii="黑体" w:hAnsi="黑体" w:eastAsia="黑体" w:cs="黑体"/>
        </w:rPr>
        <w:t>八、应用情况</w:t>
      </w:r>
    </w:p>
    <w:p>
      <w:pPr>
        <w:ind w:firstLine="480" w:firstLineChars="200"/>
      </w:pPr>
      <w:r>
        <w:rPr>
          <w:rFonts w:hint="eastAsia"/>
        </w:rPr>
        <w:t>近年以上总结的糖尿病周围神经病变治疗方案目前已经在陕西省第五医院、解放军第987医院等多家军地医院应用，取得了良好的效果，患者的临床治愈率大幅度提高，减少了患者的痛苦，节省了医疗费用，得到了相关医疗单位的认可，提高了患者的满意率，具有一定的社会效益。目前基于前期我们研究的结果，课题组在糖尿病周围神经的基础研究及治疗方面更进行深入的研究，以期待获得更多的治疗方法与手段。</w:t>
      </w:r>
    </w:p>
    <w:p>
      <w:pPr>
        <w:ind w:firstLine="480" w:firstLineChars="200"/>
        <w:rPr>
          <w:rFonts w:hint="eastAsia" w:ascii="黑体" w:hAnsi="黑体" w:eastAsia="黑体" w:cs="黑体"/>
        </w:rPr>
      </w:pPr>
      <w:r>
        <w:rPr>
          <w:rFonts w:hint="eastAsia" w:ascii="黑体" w:hAnsi="黑体" w:eastAsia="黑体" w:cs="黑体"/>
        </w:rPr>
        <w:t>九、主要知识产权和标准规范等目录</w:t>
      </w:r>
    </w:p>
    <w:tbl>
      <w:tblPr>
        <w:tblStyle w:val="5"/>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17"/>
        <w:gridCol w:w="1093"/>
        <w:gridCol w:w="1328"/>
        <w:gridCol w:w="760"/>
        <w:gridCol w:w="862"/>
        <w:gridCol w:w="937"/>
        <w:gridCol w:w="990"/>
        <w:gridCol w:w="1103"/>
        <w:gridCol w:w="9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序号</w:t>
            </w:r>
          </w:p>
        </w:tc>
        <w:tc>
          <w:tcPr>
            <w:tcW w:w="641"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知识产权类    别</w:t>
            </w:r>
          </w:p>
        </w:tc>
        <w:tc>
          <w:tcPr>
            <w:tcW w:w="779"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知识产权</w:t>
            </w:r>
          </w:p>
          <w:p>
            <w:pPr>
              <w:jc w:val="center"/>
              <w:rPr>
                <w:rFonts w:hAnsi="Times New Roman"/>
                <w:color w:val="auto"/>
                <w:sz w:val="21"/>
                <w:szCs w:val="21"/>
              </w:rPr>
            </w:pPr>
            <w:r>
              <w:rPr>
                <w:rFonts w:hint="eastAsia" w:hAnsi="Times New Roman"/>
                <w:color w:val="auto"/>
                <w:sz w:val="21"/>
                <w:szCs w:val="21"/>
              </w:rPr>
              <w:t>具体名称</w:t>
            </w:r>
          </w:p>
        </w:tc>
        <w:tc>
          <w:tcPr>
            <w:tcW w:w="446"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国家</w:t>
            </w:r>
          </w:p>
          <w:p>
            <w:pPr>
              <w:jc w:val="center"/>
              <w:rPr>
                <w:rFonts w:hAnsi="Times New Roman"/>
                <w:color w:val="auto"/>
                <w:sz w:val="21"/>
                <w:szCs w:val="21"/>
              </w:rPr>
            </w:pPr>
            <w:r>
              <w:rPr>
                <w:rFonts w:hint="eastAsia" w:hAnsi="Times New Roman"/>
                <w:color w:val="auto"/>
                <w:sz w:val="21"/>
                <w:szCs w:val="21"/>
              </w:rPr>
              <w:t>（地区）</w:t>
            </w:r>
          </w:p>
        </w:tc>
        <w:tc>
          <w:tcPr>
            <w:tcW w:w="506"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授权号</w:t>
            </w:r>
          </w:p>
        </w:tc>
        <w:tc>
          <w:tcPr>
            <w:tcW w:w="550"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授权日期</w:t>
            </w:r>
          </w:p>
        </w:tc>
        <w:tc>
          <w:tcPr>
            <w:tcW w:w="581"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证书编号</w:t>
            </w:r>
          </w:p>
        </w:tc>
        <w:tc>
          <w:tcPr>
            <w:tcW w:w="647"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权利人</w:t>
            </w:r>
          </w:p>
        </w:tc>
        <w:tc>
          <w:tcPr>
            <w:tcW w:w="547" w:type="pct"/>
            <w:tcBorders>
              <w:top w:val="single" w:color="auto" w:sz="8" w:space="0"/>
              <w:left w:val="single" w:color="auto" w:sz="8" w:space="0"/>
              <w:bottom w:val="single" w:color="auto" w:sz="8" w:space="0"/>
              <w:right w:val="single" w:color="auto" w:sz="8" w:space="0"/>
            </w:tcBorders>
            <w:vAlign w:val="center"/>
          </w:tcPr>
          <w:p>
            <w:pPr>
              <w:jc w:val="center"/>
              <w:rPr>
                <w:rFonts w:hAnsi="Times New Roman"/>
                <w:color w:val="auto"/>
                <w:sz w:val="21"/>
                <w:szCs w:val="21"/>
              </w:rPr>
            </w:pPr>
            <w:r>
              <w:rPr>
                <w:rFonts w:hint="eastAsia" w:hAnsi="Times New Roman"/>
                <w:color w:val="auto"/>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1</w:t>
            </w:r>
          </w:p>
        </w:tc>
        <w:tc>
          <w:tcPr>
            <w:tcW w:w="641"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论文 </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基于转录组学研究1型糖尿病神经痛大鼠腰膨大处脊髓</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背角基因表达的改变</w:t>
            </w: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2022,53 （6）：704-712 </w:t>
            </w:r>
          </w:p>
          <w:p>
            <w:pPr>
              <w:jc w:val="left"/>
              <w:rPr>
                <w:rFonts w:ascii="Times New Roman" w:hAnsi="Times New Roman" w:eastAsiaTheme="minorEastAsia"/>
                <w:color w:val="auto"/>
                <w:sz w:val="21"/>
                <w:szCs w:val="21"/>
              </w:rPr>
            </w:pP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2022年</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06月01日</w:t>
            </w:r>
          </w:p>
        </w:tc>
        <w:tc>
          <w:tcPr>
            <w:tcW w:w="58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山西医科大学</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学报</w:t>
            </w:r>
            <w:r>
              <w:rPr>
                <w:rFonts w:ascii="STSong-Light" w:hAnsi="STSong-Light" w:eastAsia="STSong-Light" w:cs="STSong-Light"/>
                <w:color w:val="000000"/>
                <w:kern w:val="0"/>
                <w:sz w:val="20"/>
                <w:szCs w:val="20"/>
                <w:lang w:bidi="ar"/>
              </w:rPr>
              <w:t xml:space="preserve"> </w:t>
            </w:r>
          </w:p>
          <w:p>
            <w:pPr>
              <w:ind w:firstLine="269"/>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空军第</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986 医院内分泌科</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，空军</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军医大学唐都医院消化内科</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，潍坊医学院心理</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学院，68003</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部队卫生</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队</w:t>
            </w:r>
          </w:p>
        </w:tc>
        <w:tc>
          <w:tcPr>
            <w:tcW w:w="547"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李洁，马</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力天，金</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兆丰，郑</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伟杰，王</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敬博，毛</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培军，叶</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欣</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2</w:t>
            </w:r>
          </w:p>
        </w:tc>
        <w:tc>
          <w:tcPr>
            <w:tcW w:w="64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论文</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大鼠脊髓小胶质细胞P2X4的表达和糖尿病病理性神经痛大鼠炎症反应和疼痛阈值的关系</w:t>
            </w: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2022,53</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（6）：704-712</w:t>
            </w: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2022年</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06月01日</w:t>
            </w:r>
          </w:p>
        </w:tc>
        <w:tc>
          <w:tcPr>
            <w:tcW w:w="58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现代生物医学</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进展</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空军军医大学西986医院内分泌科</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，西北大学附属西安市第一</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医院内分泌科</w:t>
            </w: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李洁刘</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晓宇，毛培军，刘</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立栋，叶欣，吴大方，邵英</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3</w:t>
            </w:r>
          </w:p>
        </w:tc>
        <w:tc>
          <w:tcPr>
            <w:tcW w:w="64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论文</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糖尿病病理性神经痛大鼠坐骨神经中miR-133a 的上调对疼痛阈值的影响及机制</w:t>
            </w: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2022,22（14）：（2620-</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2235）</w:t>
            </w: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2022年</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07月01日</w:t>
            </w:r>
          </w:p>
        </w:tc>
        <w:tc>
          <w:tcPr>
            <w:tcW w:w="581"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现代生物医学进展</w:t>
            </w:r>
          </w:p>
        </w:tc>
        <w:tc>
          <w:tcPr>
            <w:tcW w:w="6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空军军医大学西京</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986 医院内分泌科，西北大</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学附属西安市第一医院内分</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泌科</w:t>
            </w: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邵英，李洁，刘晓，毛培军</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，刘立栋，叶 欣，吴大方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4</w:t>
            </w:r>
          </w:p>
        </w:tc>
        <w:tc>
          <w:tcPr>
            <w:tcW w:w="64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论文</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“标本配穴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”针灸结合甲钴胺对老年糖尿病周围神经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病变患者脂质代谢炎性细胞因子和受损神经传导速度的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影响 </w:t>
            </w:r>
          </w:p>
          <w:p>
            <w:pPr>
              <w:jc w:val="left"/>
              <w:rPr>
                <w:rFonts w:ascii="Times New Roman" w:hAnsi="Times New Roman" w:eastAsiaTheme="minorEastAsia"/>
                <w:color w:val="auto"/>
                <w:sz w:val="21"/>
                <w:szCs w:val="21"/>
              </w:rPr>
            </w:pPr>
          </w:p>
        </w:tc>
        <w:tc>
          <w:tcPr>
            <w:tcW w:w="446" w:type="pct"/>
            <w:tcBorders>
              <w:top w:val="single" w:color="auto" w:sz="8" w:space="0"/>
              <w:left w:val="single" w:color="auto" w:sz="8" w:space="0"/>
              <w:bottom w:val="single" w:color="auto" w:sz="8" w:space="0"/>
              <w:right w:val="single" w:color="auto" w:sz="8" w:space="0"/>
            </w:tcBorders>
          </w:tcPr>
          <w:p>
            <w:pP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2021,21（11）：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2065-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2068 </w:t>
            </w:r>
          </w:p>
          <w:p>
            <w:pPr>
              <w:jc w:val="left"/>
              <w:rPr>
                <w:rFonts w:ascii="Times New Roman" w:hAnsi="Times New Roman" w:eastAsiaTheme="minorEastAsia"/>
                <w:color w:val="auto"/>
                <w:sz w:val="21"/>
                <w:szCs w:val="21"/>
              </w:rPr>
            </w:pP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2021年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07月01日 </w:t>
            </w:r>
          </w:p>
          <w:p>
            <w:pPr>
              <w:jc w:val="left"/>
              <w:rPr>
                <w:rFonts w:ascii="Times New Roman" w:hAnsi="Times New Roman" w:eastAsiaTheme="minorEastAsia"/>
                <w:color w:val="auto"/>
                <w:sz w:val="21"/>
                <w:szCs w:val="21"/>
              </w:rPr>
            </w:pPr>
          </w:p>
        </w:tc>
        <w:tc>
          <w:tcPr>
            <w:tcW w:w="581"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现代生物医学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进展 </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空军第九八六医院内分泌科</w:t>
            </w:r>
          </w:p>
          <w:p>
            <w:pPr>
              <w:jc w:val="left"/>
              <w:rPr>
                <w:rFonts w:ascii="Times New Roman" w:hAnsi="Times New Roman" w:eastAsiaTheme="minorEastAsia"/>
                <w:color w:val="auto"/>
                <w:sz w:val="21"/>
                <w:szCs w:val="21"/>
              </w:rPr>
            </w:pP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叶欣，刘 晓宇，刘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卫，田雄涛</w:t>
            </w:r>
            <w:r>
              <w:rPr>
                <w:rFonts w:hint="eastAsia" w:ascii="Times New Roman" w:hAnsi="Times New Roman" w:eastAsiaTheme="minorEastAsia"/>
                <w:color w:val="auto"/>
                <w:sz w:val="21"/>
                <w:szCs w:val="21"/>
              </w:rPr>
              <w:t>，</w:t>
            </w:r>
            <w:r>
              <w:rPr>
                <w:rFonts w:ascii="Times New Roman" w:hAnsi="Times New Roman" w:eastAsiaTheme="minorEastAsia"/>
                <w:color w:val="auto"/>
                <w:sz w:val="21"/>
                <w:szCs w:val="21"/>
              </w:rPr>
              <w:t>李洁</w:t>
            </w:r>
          </w:p>
          <w:p>
            <w:pPr>
              <w:jc w:val="left"/>
              <w:rPr>
                <w:rFonts w:ascii="Times New Roman" w:hAnsi="Times New Roman" w:eastAsiaTheme="minorEastAsia"/>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5</w:t>
            </w:r>
          </w:p>
        </w:tc>
        <w:tc>
          <w:tcPr>
            <w:tcW w:w="64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论文</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注射用鼠神经生长因子治疗糖尿病周围神经病变的临床效果</w:t>
            </w:r>
          </w:p>
          <w:p>
            <w:pPr>
              <w:jc w:val="left"/>
              <w:rPr>
                <w:rFonts w:ascii="Times New Roman" w:hAnsi="Times New Roman" w:eastAsiaTheme="minorEastAsia"/>
                <w:color w:val="auto"/>
                <w:sz w:val="21"/>
                <w:szCs w:val="21"/>
              </w:rPr>
            </w:pP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2021,6（32）：40-42</w:t>
            </w: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2021年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01月01日</w:t>
            </w:r>
          </w:p>
          <w:p>
            <w:pPr>
              <w:jc w:val="left"/>
              <w:rPr>
                <w:rFonts w:ascii="Times New Roman" w:hAnsi="Times New Roman" w:eastAsiaTheme="minorEastAsia"/>
                <w:color w:val="auto"/>
                <w:sz w:val="21"/>
                <w:szCs w:val="21"/>
              </w:rPr>
            </w:pPr>
          </w:p>
        </w:tc>
        <w:tc>
          <w:tcPr>
            <w:tcW w:w="58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临床医学研究</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与实践</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空军第九八六医院内分泌科</w:t>
            </w:r>
          </w:p>
          <w:p>
            <w:pPr>
              <w:jc w:val="left"/>
              <w:rPr>
                <w:rFonts w:ascii="Times New Roman" w:hAnsi="Times New Roman" w:eastAsiaTheme="minorEastAsia"/>
                <w:color w:val="auto"/>
                <w:sz w:val="21"/>
                <w:szCs w:val="21"/>
              </w:rPr>
            </w:pP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田雄涛</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，，李洁，叶欣，刘晓宇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ascii="Times New Roman" w:hAnsi="Times New Roman" w:eastAsiaTheme="minorEastAsia"/>
                <w:color w:val="auto"/>
                <w:sz w:val="21"/>
                <w:szCs w:val="21"/>
              </w:rPr>
              <w:t>6</w:t>
            </w:r>
          </w:p>
        </w:tc>
        <w:tc>
          <w:tcPr>
            <w:tcW w:w="64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论文</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前列地尔联合</w:t>
            </w:r>
            <w:r>
              <w:rPr>
                <w:rFonts w:ascii="STSong-Light" w:hAnsi="STSong-Light" w:eastAsia="STSong-Light" w:cs="STSong-Light"/>
                <w:color w:val="000000"/>
                <w:kern w:val="0"/>
                <w:sz w:val="20"/>
                <w:szCs w:val="20"/>
                <w:lang w:bidi="ar"/>
              </w:rPr>
              <w:t xml:space="preserve"> α-</w:t>
            </w:r>
            <w:r>
              <w:rPr>
                <w:rFonts w:hint="eastAsia" w:ascii="宋体" w:hAnsi="宋体" w:eastAsia="宋体" w:cs="宋体"/>
                <w:color w:val="000000"/>
                <w:kern w:val="0"/>
                <w:sz w:val="20"/>
                <w:szCs w:val="20"/>
                <w:lang w:bidi="ar"/>
              </w:rPr>
              <w:t>硫辛酸对糖尿病周围神经病变患者神经传导速度及氧化应激的影响</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2021,6（32）：40-42</w:t>
            </w:r>
          </w:p>
        </w:tc>
        <w:tc>
          <w:tcPr>
            <w:tcW w:w="550"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ascii="STSong-Light" w:hAnsi="STSong-Light" w:eastAsia="STSong-Light" w:cs="STSong-Light"/>
                <w:color w:val="000000"/>
                <w:kern w:val="0"/>
                <w:sz w:val="20"/>
                <w:szCs w:val="20"/>
                <w:lang w:bidi="ar"/>
              </w:rPr>
              <w:t>2020</w:t>
            </w:r>
            <w:r>
              <w:rPr>
                <w:rFonts w:hint="eastAsia" w:ascii="宋体" w:hAnsi="宋体" w:eastAsia="宋体" w:cs="宋体"/>
                <w:color w:val="000000"/>
                <w:kern w:val="0"/>
                <w:sz w:val="20"/>
                <w:szCs w:val="20"/>
                <w:lang w:bidi="ar"/>
              </w:rPr>
              <w:t>年</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ascii="STSong-Light" w:hAnsi="STSong-Light" w:eastAsia="STSong-Light" w:cs="STSong-Light"/>
                <w:color w:val="000000"/>
                <w:kern w:val="0"/>
                <w:sz w:val="20"/>
                <w:szCs w:val="20"/>
                <w:lang w:bidi="ar"/>
              </w:rPr>
              <w:t>06</w:t>
            </w:r>
            <w:r>
              <w:rPr>
                <w:rFonts w:hint="eastAsia" w:ascii="宋体" w:hAnsi="宋体" w:eastAsia="宋体" w:cs="宋体"/>
                <w:color w:val="000000"/>
                <w:kern w:val="0"/>
                <w:sz w:val="20"/>
                <w:szCs w:val="20"/>
                <w:lang w:bidi="ar"/>
              </w:rPr>
              <w:t>月</w:t>
            </w:r>
            <w:r>
              <w:rPr>
                <w:rFonts w:ascii="STSong-Light" w:hAnsi="STSong-Light" w:eastAsia="STSong-Light" w:cs="STSong-Light"/>
                <w:color w:val="000000"/>
                <w:kern w:val="0"/>
                <w:sz w:val="20"/>
                <w:szCs w:val="20"/>
                <w:lang w:bidi="ar"/>
              </w:rPr>
              <w:t>01</w:t>
            </w:r>
            <w:r>
              <w:rPr>
                <w:rFonts w:hint="eastAsia" w:ascii="宋体" w:hAnsi="宋体" w:eastAsia="宋体" w:cs="宋体"/>
                <w:color w:val="000000"/>
                <w:kern w:val="0"/>
                <w:sz w:val="20"/>
                <w:szCs w:val="20"/>
                <w:lang w:bidi="ar"/>
              </w:rPr>
              <w:t>日</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581"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中国临床保健</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杂志</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中国人民解放军空军第九八六医院</w:t>
            </w:r>
          </w:p>
          <w:p>
            <w:pPr>
              <w:jc w:val="left"/>
              <w:rPr>
                <w:rFonts w:ascii="Times New Roman" w:hAnsi="Times New Roman" w:eastAsiaTheme="minorEastAsia"/>
                <w:color w:val="auto"/>
                <w:sz w:val="21"/>
                <w:szCs w:val="21"/>
              </w:rPr>
            </w:pP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张利红</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，毛培军，徐永妮，张艳，王亚妮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7</w:t>
            </w:r>
          </w:p>
        </w:tc>
        <w:tc>
          <w:tcPr>
            <w:tcW w:w="641" w:type="pct"/>
            <w:tcBorders>
              <w:top w:val="single" w:color="auto" w:sz="8" w:space="0"/>
              <w:left w:val="single" w:color="auto" w:sz="8" w:space="0"/>
              <w:bottom w:val="single" w:color="auto" w:sz="8" w:space="0"/>
              <w:right w:val="single" w:color="auto" w:sz="8" w:space="0"/>
            </w:tcBorders>
          </w:tcPr>
          <w:p>
            <w:pPr>
              <w:rPr>
                <w:rFonts w:ascii="Times New Roman" w:hAnsi="Times New Roman" w:eastAsiaTheme="minorEastAsia"/>
                <w:color w:val="auto"/>
                <w:sz w:val="21"/>
                <w:szCs w:val="21"/>
              </w:rPr>
            </w:pPr>
            <w:r>
              <w:rPr>
                <w:rFonts w:hint="eastAsia" w:ascii="宋体" w:hAnsi="宋体" w:eastAsia="宋体" w:cs="宋体"/>
                <w:color w:val="000000"/>
                <w:kern w:val="0"/>
                <w:sz w:val="20"/>
                <w:szCs w:val="20"/>
                <w:lang w:bidi="ar"/>
              </w:rPr>
              <w:t>论文</w:t>
            </w: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 xml:space="preserve">长期高脂 、 </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 xml:space="preserve">高糖 、高盐 </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 xml:space="preserve">饮食对大鼠热和机械痛阈的影响 </w:t>
            </w:r>
          </w:p>
          <w:p>
            <w:pPr>
              <w:jc w:val="left"/>
              <w:rPr>
                <w:rFonts w:ascii="Times New Roman" w:hAnsi="Times New Roman" w:eastAsiaTheme="minorEastAsia"/>
                <w:color w:val="auto"/>
                <w:sz w:val="21"/>
                <w:szCs w:val="21"/>
              </w:rPr>
            </w:pP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widowControl/>
              <w:jc w:val="left"/>
              <w:rPr>
                <w:rFonts w:ascii="STSong-Light" w:hAnsi="STSong-Light" w:eastAsia="STSong-Light" w:cs="STSong-Light"/>
                <w:color w:val="000000"/>
                <w:kern w:val="0"/>
                <w:sz w:val="20"/>
                <w:szCs w:val="20"/>
                <w:lang w:bidi="ar"/>
              </w:rPr>
            </w:pPr>
            <w:r>
              <w:rPr>
                <w:rFonts w:hint="eastAsia" w:ascii="STSong-Light" w:hAnsi="STSong-Light" w:eastAsia="STSong-Light" w:cs="STSong-Light"/>
                <w:color w:val="000000"/>
                <w:kern w:val="0"/>
                <w:sz w:val="20"/>
                <w:szCs w:val="20"/>
                <w:lang w:bidi="ar"/>
              </w:rPr>
              <w:t>2012,17</w:t>
            </w:r>
            <w:r>
              <w:rPr>
                <w:rFonts w:hint="eastAsia" w:ascii="宋体" w:hAnsi="宋体" w:eastAsia="宋体" w:cs="宋体"/>
                <w:color w:val="000000"/>
                <w:kern w:val="0"/>
                <w:sz w:val="20"/>
                <w:szCs w:val="20"/>
                <w:lang w:bidi="ar"/>
              </w:rPr>
              <w:t>（</w:t>
            </w:r>
            <w:r>
              <w:rPr>
                <w:rFonts w:hint="eastAsia" w:ascii="STSong-Light" w:hAnsi="STSong-Light" w:eastAsia="STSong-Light" w:cs="STSong-Light"/>
                <w:color w:val="000000"/>
                <w:kern w:val="0"/>
                <w:sz w:val="20"/>
                <w:szCs w:val="20"/>
                <w:lang w:bidi="ar"/>
              </w:rPr>
              <w:t>4</w:t>
            </w:r>
            <w:r>
              <w:rPr>
                <w:rFonts w:hint="eastAsia" w:ascii="宋体" w:hAnsi="宋体" w:eastAsia="宋体" w:cs="宋体"/>
                <w:color w:val="000000"/>
                <w:kern w:val="0"/>
                <w:sz w:val="20"/>
                <w:szCs w:val="20"/>
                <w:lang w:bidi="ar"/>
              </w:rPr>
              <w:t>）：</w:t>
            </w:r>
            <w:r>
              <w:rPr>
                <w:rFonts w:hint="eastAsia" w:ascii="STSong-Light" w:hAnsi="STSong-Light" w:eastAsia="STSong-Light" w:cs="STSong-Light"/>
                <w:color w:val="000000"/>
                <w:kern w:val="0"/>
                <w:sz w:val="20"/>
                <w:szCs w:val="20"/>
                <w:lang w:bidi="ar"/>
              </w:rPr>
              <w:t>412-414</w:t>
            </w: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2012年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01月02日 </w:t>
            </w:r>
          </w:p>
          <w:p>
            <w:pPr>
              <w:jc w:val="left"/>
              <w:rPr>
                <w:rFonts w:ascii="Times New Roman" w:hAnsi="Times New Roman" w:eastAsiaTheme="minorEastAsia"/>
                <w:color w:val="auto"/>
                <w:sz w:val="21"/>
                <w:szCs w:val="21"/>
              </w:rPr>
            </w:pPr>
          </w:p>
        </w:tc>
        <w:tc>
          <w:tcPr>
            <w:tcW w:w="581"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中国临床药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理学与治疗学</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widowControl/>
              <w:jc w:val="left"/>
            </w:pPr>
            <w:r>
              <w:rPr>
                <w:rFonts w:hint="eastAsia" w:ascii="宋体" w:hAnsi="宋体" w:eastAsia="宋体" w:cs="宋体"/>
                <w:color w:val="000000"/>
                <w:kern w:val="0"/>
                <w:sz w:val="20"/>
                <w:szCs w:val="20"/>
                <w:lang w:bidi="ar"/>
              </w:rPr>
              <w:t>空军第九</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八六医院</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内分泌科</w:t>
            </w:r>
          </w:p>
          <w:p>
            <w:pPr>
              <w:widowControl/>
              <w:jc w:val="left"/>
              <w:rPr>
                <w:rFonts w:ascii="宋体" w:hAnsi="宋体" w:eastAsia="宋体" w:cs="宋体"/>
                <w:color w:val="000000"/>
                <w:kern w:val="0"/>
                <w:sz w:val="20"/>
                <w:szCs w:val="20"/>
                <w:lang w:bidi="ar"/>
              </w:rPr>
            </w:pP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刘晓宇</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，姚 茹</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，吴 大</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方 ，叶</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欣 ，周</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8</w:t>
            </w:r>
          </w:p>
        </w:tc>
        <w:tc>
          <w:tcPr>
            <w:tcW w:w="641" w:type="pct"/>
            <w:tcBorders>
              <w:top w:val="single" w:color="auto" w:sz="8" w:space="0"/>
              <w:left w:val="single" w:color="auto" w:sz="8" w:space="0"/>
              <w:bottom w:val="single" w:color="auto" w:sz="8" w:space="0"/>
              <w:right w:val="single" w:color="auto" w:sz="8" w:space="0"/>
            </w:tcBorders>
          </w:tcPr>
          <w:p>
            <w:pPr>
              <w:rPr>
                <w:rFonts w:ascii="Times New Roman" w:hAnsi="Times New Roman" w:eastAsiaTheme="minorEastAsia"/>
                <w:color w:val="auto"/>
                <w:sz w:val="21"/>
                <w:szCs w:val="21"/>
              </w:rPr>
            </w:pPr>
            <w:r>
              <w:rPr>
                <w:rFonts w:hint="eastAsia" w:ascii="宋体" w:hAnsi="宋体" w:eastAsia="宋体" w:cs="宋体"/>
                <w:color w:val="000000"/>
                <w:kern w:val="0"/>
                <w:sz w:val="20"/>
                <w:szCs w:val="20"/>
                <w:lang w:bidi="ar"/>
              </w:rPr>
              <w:t>论文</w:t>
            </w:r>
          </w:p>
        </w:tc>
        <w:tc>
          <w:tcPr>
            <w:tcW w:w="779" w:type="pct"/>
            <w:tcBorders>
              <w:top w:val="single" w:color="auto" w:sz="8" w:space="0"/>
              <w:left w:val="single" w:color="auto" w:sz="8" w:space="0"/>
              <w:bottom w:val="single" w:color="auto" w:sz="8" w:space="0"/>
              <w:right w:val="single" w:color="auto" w:sz="8" w:space="0"/>
            </w:tcBorders>
          </w:tcPr>
          <w:p>
            <w:pPr>
              <w:widowControl/>
              <w:jc w:val="left"/>
            </w:pPr>
            <w:r>
              <w:rPr>
                <w:rFonts w:hint="eastAsia" w:ascii="宋体" w:hAnsi="宋体" w:eastAsia="宋体" w:cs="宋体"/>
                <w:color w:val="000000"/>
                <w:kern w:val="0"/>
                <w:sz w:val="20"/>
                <w:szCs w:val="20"/>
                <w:lang w:bidi="ar"/>
              </w:rPr>
              <w:t>实验性高血糖对炎性痛大鼠的影响</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widowControl/>
              <w:jc w:val="center"/>
              <w:rPr>
                <w:rFonts w:ascii="STSong-Light" w:hAnsi="STSong-Light" w:eastAsia="STSong-Light" w:cs="STSong-Light"/>
                <w:color w:val="000000"/>
                <w:kern w:val="0"/>
                <w:sz w:val="20"/>
                <w:szCs w:val="20"/>
                <w:lang w:bidi="ar"/>
              </w:rPr>
            </w:pPr>
            <w:r>
              <w:rPr>
                <w:rFonts w:ascii="STSong-Light" w:hAnsi="STSong-Light" w:eastAsia="STSong-Light" w:cs="STSong-Light"/>
                <w:color w:val="000000"/>
                <w:kern w:val="0"/>
                <w:sz w:val="20"/>
                <w:szCs w:val="20"/>
                <w:lang w:bidi="ar"/>
              </w:rPr>
              <w:t xml:space="preserve">2006,6 </w:t>
            </w:r>
          </w:p>
          <w:p>
            <w:pPr>
              <w:widowControl/>
              <w:jc w:val="center"/>
              <w:rPr>
                <w:rFonts w:ascii="STSong-Light" w:hAnsi="STSong-Light" w:eastAsia="STSong-Light" w:cs="STSong-Light"/>
                <w:color w:val="000000"/>
                <w:kern w:val="0"/>
                <w:sz w:val="20"/>
                <w:szCs w:val="20"/>
                <w:lang w:bidi="ar"/>
              </w:rPr>
            </w:pPr>
            <w:r>
              <w:rPr>
                <w:rFonts w:hint="eastAsia" w:ascii="宋体" w:hAnsi="宋体" w:eastAsia="宋体" w:cs="宋体"/>
                <w:color w:val="000000"/>
                <w:kern w:val="0"/>
                <w:sz w:val="20"/>
                <w:szCs w:val="20"/>
                <w:lang w:bidi="ar"/>
              </w:rPr>
              <w:t>（</w:t>
            </w:r>
            <w:r>
              <w:rPr>
                <w:rFonts w:ascii="STSong-Light" w:hAnsi="STSong-Light" w:eastAsia="STSong-Light" w:cs="STSong-Light"/>
                <w:color w:val="000000"/>
                <w:kern w:val="0"/>
                <w:sz w:val="20"/>
                <w:szCs w:val="20"/>
                <w:lang w:bidi="ar"/>
              </w:rPr>
              <w:t>7</w:t>
            </w:r>
            <w:r>
              <w:rPr>
                <w:rFonts w:hint="eastAsia" w:ascii="宋体" w:hAnsi="宋体" w:eastAsia="宋体" w:cs="宋体"/>
                <w:color w:val="000000"/>
                <w:kern w:val="0"/>
                <w:sz w:val="20"/>
                <w:szCs w:val="20"/>
                <w:lang w:bidi="ar"/>
              </w:rPr>
              <w:t>）：</w:t>
            </w:r>
            <w:r>
              <w:rPr>
                <w:rFonts w:ascii="STSong-Light" w:hAnsi="STSong-Light" w:eastAsia="STSong-Light" w:cs="STSong-Light"/>
                <w:color w:val="000000"/>
                <w:kern w:val="0"/>
                <w:sz w:val="20"/>
                <w:szCs w:val="20"/>
                <w:lang w:bidi="ar"/>
              </w:rPr>
              <w:t>1264-</w:t>
            </w:r>
            <w:r>
              <w:rPr>
                <w:rFonts w:hint="eastAsia" w:ascii="STSong-Light" w:hAnsi="STSong-Light" w:eastAsia="STSong-Light" w:cs="STSong-Light"/>
                <w:color w:val="000000"/>
                <w:kern w:val="0"/>
                <w:sz w:val="20"/>
                <w:szCs w:val="20"/>
                <w:lang w:bidi="ar"/>
              </w:rPr>
              <w:t>1</w:t>
            </w:r>
            <w:r>
              <w:rPr>
                <w:rFonts w:ascii="STSong-Light" w:hAnsi="STSong-Light" w:eastAsia="STSong-Light" w:cs="STSong-Light"/>
                <w:color w:val="000000"/>
                <w:kern w:val="0"/>
                <w:sz w:val="20"/>
                <w:szCs w:val="20"/>
                <w:lang w:bidi="ar"/>
              </w:rPr>
              <w:t xml:space="preserve">265 </w:t>
            </w:r>
          </w:p>
          <w:p>
            <w:pPr>
              <w:widowControl/>
              <w:jc w:val="left"/>
              <w:rPr>
                <w:rFonts w:ascii="STSong-Light" w:hAnsi="STSong-Light" w:eastAsia="STSong-Light" w:cs="STSong-Light"/>
                <w:color w:val="000000"/>
                <w:kern w:val="0"/>
                <w:sz w:val="20"/>
                <w:szCs w:val="20"/>
                <w:lang w:bidi="ar"/>
              </w:rPr>
            </w:pP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2005年</w:t>
            </w:r>
          </w:p>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12月22日</w:t>
            </w:r>
          </w:p>
        </w:tc>
        <w:tc>
          <w:tcPr>
            <w:tcW w:w="581" w:type="pct"/>
            <w:tcBorders>
              <w:top w:val="single" w:color="auto" w:sz="8" w:space="0"/>
              <w:left w:val="single" w:color="auto" w:sz="8" w:space="0"/>
              <w:bottom w:val="single" w:color="auto" w:sz="8" w:space="0"/>
              <w:right w:val="single" w:color="auto" w:sz="8" w:space="0"/>
            </w:tcBorders>
          </w:tcPr>
          <w:p>
            <w:pPr>
              <w:widowControl/>
              <w:jc w:val="left"/>
            </w:pPr>
            <w:r>
              <w:rPr>
                <w:rFonts w:hint="eastAsia" w:ascii="宋体" w:hAnsi="宋体" w:eastAsia="宋体" w:cs="宋体"/>
                <w:color w:val="000000"/>
                <w:kern w:val="0"/>
                <w:sz w:val="20"/>
                <w:szCs w:val="20"/>
                <w:lang w:bidi="ar"/>
              </w:rPr>
              <w:t>中国误诊学杂</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志</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widowControl/>
              <w:jc w:val="left"/>
            </w:pPr>
            <w:r>
              <w:rPr>
                <w:rFonts w:hint="eastAsia" w:ascii="宋体" w:hAnsi="宋体" w:eastAsia="宋体" w:cs="宋体"/>
                <w:color w:val="000000"/>
                <w:kern w:val="0"/>
                <w:sz w:val="20"/>
                <w:szCs w:val="20"/>
                <w:lang w:bidi="ar"/>
              </w:rPr>
              <w:t>空军第九</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八六医院</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内分泌科</w:t>
            </w:r>
          </w:p>
          <w:p>
            <w:pPr>
              <w:widowControl/>
              <w:jc w:val="left"/>
              <w:rPr>
                <w:rFonts w:ascii="宋体" w:hAnsi="宋体" w:eastAsia="宋体" w:cs="宋体"/>
                <w:color w:val="000000"/>
                <w:kern w:val="0"/>
                <w:sz w:val="20"/>
                <w:szCs w:val="20"/>
                <w:lang w:bidi="ar"/>
              </w:rPr>
            </w:pPr>
          </w:p>
        </w:tc>
        <w:tc>
          <w:tcPr>
            <w:tcW w:w="547" w:type="pct"/>
            <w:tcBorders>
              <w:top w:val="single" w:color="auto" w:sz="8" w:space="0"/>
              <w:left w:val="single" w:color="auto" w:sz="8" w:space="0"/>
              <w:bottom w:val="single" w:color="auto" w:sz="8" w:space="0"/>
              <w:right w:val="single" w:color="auto" w:sz="8" w:space="0"/>
            </w:tcBorders>
          </w:tcPr>
          <w:p>
            <w:pPr>
              <w:widowControl/>
              <w:jc w:val="left"/>
            </w:pPr>
            <w:r>
              <w:rPr>
                <w:rFonts w:hint="eastAsia" w:ascii="宋体" w:hAnsi="宋体" w:eastAsia="宋体" w:cs="宋体"/>
                <w:color w:val="000000"/>
                <w:kern w:val="0"/>
                <w:sz w:val="20"/>
                <w:szCs w:val="20"/>
                <w:lang w:bidi="ar"/>
              </w:rPr>
              <w:t>刘晓宇</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，冯建龙</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，昊大方</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，李洁</w:t>
            </w:r>
          </w:p>
          <w:p>
            <w:pPr>
              <w:jc w:val="left"/>
              <w:rPr>
                <w:rFonts w:ascii="Times New Roman" w:hAnsi="Times New Roman" w:eastAsiaTheme="minorEastAsia"/>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9</w:t>
            </w:r>
          </w:p>
        </w:tc>
        <w:tc>
          <w:tcPr>
            <w:tcW w:w="641" w:type="pct"/>
            <w:tcBorders>
              <w:top w:val="single" w:color="auto" w:sz="8" w:space="0"/>
              <w:left w:val="single" w:color="auto" w:sz="8" w:space="0"/>
              <w:bottom w:val="single" w:color="auto" w:sz="8" w:space="0"/>
              <w:right w:val="single" w:color="auto" w:sz="8" w:space="0"/>
            </w:tcBorders>
          </w:tcPr>
          <w:p>
            <w:pPr>
              <w:rPr>
                <w:rFonts w:ascii="Times New Roman" w:hAnsi="Times New Roman" w:eastAsiaTheme="minorEastAsia"/>
                <w:color w:val="auto"/>
                <w:sz w:val="21"/>
                <w:szCs w:val="21"/>
              </w:rPr>
            </w:pPr>
            <w:r>
              <w:rPr>
                <w:rFonts w:hint="eastAsia" w:ascii="宋体" w:hAnsi="宋体" w:eastAsia="宋体" w:cs="宋体"/>
                <w:color w:val="000000"/>
                <w:kern w:val="0"/>
                <w:sz w:val="20"/>
                <w:szCs w:val="20"/>
                <w:lang w:bidi="ar"/>
              </w:rPr>
              <w:t>论文</w:t>
            </w: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 xml:space="preserve">血糖水平变化 对基础痛阈及病理性痛反应的影响 </w:t>
            </w:r>
          </w:p>
          <w:p>
            <w:pPr>
              <w:jc w:val="left"/>
              <w:rPr>
                <w:rFonts w:ascii="Times New Roman" w:hAnsi="Times New Roman" w:eastAsiaTheme="minorEastAsia"/>
                <w:color w:val="auto"/>
                <w:sz w:val="21"/>
                <w:szCs w:val="21"/>
              </w:rPr>
            </w:pP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widowControl/>
              <w:jc w:val="left"/>
            </w:pPr>
            <w:r>
              <w:rPr>
                <w:rFonts w:ascii="STSong-Light" w:hAnsi="STSong-Light" w:eastAsia="STSong-Light" w:cs="STSong-Light"/>
                <w:color w:val="000000"/>
                <w:kern w:val="0"/>
                <w:sz w:val="20"/>
                <w:szCs w:val="20"/>
                <w:lang w:bidi="ar"/>
              </w:rPr>
              <w:t>2006,22</w:t>
            </w:r>
            <w:r>
              <w:rPr>
                <w:rFonts w:hint="eastAsia" w:ascii="宋体" w:hAnsi="宋体" w:eastAsia="宋体" w:cs="宋体"/>
                <w:color w:val="000000"/>
                <w:kern w:val="0"/>
                <w:sz w:val="20"/>
                <w:szCs w:val="20"/>
                <w:lang w:bidi="ar"/>
              </w:rPr>
              <w:t>（</w:t>
            </w:r>
            <w:r>
              <w:rPr>
                <w:rFonts w:ascii="STSong-Light" w:hAnsi="STSong-Light" w:eastAsia="STSong-Light" w:cs="STSong-Light"/>
                <w:color w:val="000000"/>
                <w:kern w:val="0"/>
                <w:sz w:val="20"/>
                <w:szCs w:val="20"/>
                <w:lang w:bidi="ar"/>
              </w:rPr>
              <w:t>10</w:t>
            </w:r>
            <w:r>
              <w:rPr>
                <w:rFonts w:hint="eastAsia" w:ascii="宋体" w:hAnsi="宋体" w:eastAsia="宋体" w:cs="宋体"/>
                <w:color w:val="000000"/>
                <w:kern w:val="0"/>
                <w:sz w:val="20"/>
                <w:szCs w:val="20"/>
                <w:lang w:bidi="ar"/>
              </w:rPr>
              <w:t>）：</w:t>
            </w:r>
            <w:r>
              <w:rPr>
                <w:rFonts w:ascii="STSong-Light" w:hAnsi="STSong-Light" w:eastAsia="STSong-Light" w:cs="STSong-Light"/>
                <w:color w:val="000000"/>
                <w:kern w:val="0"/>
                <w:sz w:val="20"/>
                <w:szCs w:val="20"/>
                <w:lang w:bidi="ar"/>
              </w:rPr>
              <w:t xml:space="preserve"> </w:t>
            </w:r>
          </w:p>
          <w:p>
            <w:pPr>
              <w:widowControl/>
              <w:jc w:val="left"/>
            </w:pPr>
            <w:r>
              <w:rPr>
                <w:rFonts w:ascii="STSong-Light" w:hAnsi="STSong-Light" w:eastAsia="STSong-Light" w:cs="STSong-Light"/>
                <w:color w:val="000000"/>
                <w:kern w:val="0"/>
                <w:sz w:val="20"/>
                <w:szCs w:val="20"/>
                <w:lang w:bidi="ar"/>
              </w:rPr>
              <w:t xml:space="preserve">1219-1220 </w:t>
            </w:r>
          </w:p>
          <w:p>
            <w:pPr>
              <w:widowControl/>
              <w:jc w:val="left"/>
              <w:rPr>
                <w:rFonts w:ascii="STSong-Light" w:hAnsi="STSong-Light" w:eastAsia="STSong-Light" w:cs="STSong-Light"/>
                <w:color w:val="000000"/>
                <w:kern w:val="0"/>
                <w:sz w:val="20"/>
                <w:szCs w:val="20"/>
                <w:lang w:bidi="ar"/>
              </w:rPr>
            </w:pPr>
          </w:p>
        </w:tc>
        <w:tc>
          <w:tcPr>
            <w:tcW w:w="550" w:type="pct"/>
            <w:tcBorders>
              <w:top w:val="single" w:color="auto" w:sz="8" w:space="0"/>
              <w:left w:val="single" w:color="auto" w:sz="8" w:space="0"/>
              <w:bottom w:val="single" w:color="auto" w:sz="8" w:space="0"/>
              <w:right w:val="single" w:color="auto" w:sz="8" w:space="0"/>
            </w:tcBorders>
          </w:tcPr>
          <w:p>
            <w:pPr>
              <w:widowControl/>
              <w:jc w:val="left"/>
            </w:pPr>
            <w:r>
              <w:rPr>
                <w:rFonts w:ascii="STSong-Light" w:hAnsi="STSong-Light" w:eastAsia="STSong-Light" w:cs="STSong-Light"/>
                <w:color w:val="000000"/>
                <w:kern w:val="0"/>
                <w:sz w:val="20"/>
                <w:szCs w:val="20"/>
                <w:lang w:bidi="ar"/>
              </w:rPr>
              <w:t>2005</w:t>
            </w:r>
            <w:r>
              <w:rPr>
                <w:rFonts w:hint="eastAsia" w:ascii="宋体" w:hAnsi="宋体" w:eastAsia="宋体" w:cs="宋体"/>
                <w:color w:val="000000"/>
                <w:kern w:val="0"/>
                <w:sz w:val="20"/>
                <w:szCs w:val="20"/>
                <w:lang w:bidi="ar"/>
              </w:rPr>
              <w:t>年</w:t>
            </w:r>
            <w:r>
              <w:rPr>
                <w:rFonts w:ascii="STSong-Light" w:hAnsi="STSong-Light" w:eastAsia="STSong-Light" w:cs="STSong-Light"/>
                <w:color w:val="000000"/>
                <w:kern w:val="0"/>
                <w:sz w:val="20"/>
                <w:szCs w:val="20"/>
                <w:lang w:bidi="ar"/>
              </w:rPr>
              <w:t xml:space="preserve"> </w:t>
            </w:r>
          </w:p>
          <w:p>
            <w:pPr>
              <w:widowControl/>
              <w:jc w:val="left"/>
            </w:pPr>
            <w:r>
              <w:rPr>
                <w:rFonts w:ascii="STSong-Light" w:hAnsi="STSong-Light" w:eastAsia="STSong-Light" w:cs="STSong-Light"/>
                <w:color w:val="000000"/>
                <w:kern w:val="0"/>
                <w:sz w:val="20"/>
                <w:szCs w:val="20"/>
                <w:lang w:bidi="ar"/>
              </w:rPr>
              <w:t>12</w:t>
            </w:r>
            <w:r>
              <w:rPr>
                <w:rFonts w:hint="eastAsia" w:ascii="宋体" w:hAnsi="宋体" w:eastAsia="宋体" w:cs="宋体"/>
                <w:color w:val="000000"/>
                <w:kern w:val="0"/>
                <w:sz w:val="20"/>
                <w:szCs w:val="20"/>
                <w:lang w:bidi="ar"/>
              </w:rPr>
              <w:t>月</w:t>
            </w:r>
            <w:r>
              <w:rPr>
                <w:rFonts w:ascii="STSong-Light" w:hAnsi="STSong-Light" w:eastAsia="STSong-Light" w:cs="STSong-Light"/>
                <w:color w:val="000000"/>
                <w:kern w:val="0"/>
                <w:sz w:val="20"/>
                <w:szCs w:val="20"/>
                <w:lang w:bidi="ar"/>
              </w:rPr>
              <w:t>06</w:t>
            </w:r>
            <w:r>
              <w:rPr>
                <w:rFonts w:hint="eastAsia" w:ascii="宋体" w:hAnsi="宋体" w:eastAsia="宋体" w:cs="宋体"/>
                <w:color w:val="000000"/>
                <w:kern w:val="0"/>
                <w:sz w:val="20"/>
                <w:szCs w:val="20"/>
                <w:lang w:bidi="ar"/>
              </w:rPr>
              <w:t>日</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581"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实用医学杂志 </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widowControl/>
              <w:jc w:val="left"/>
            </w:pPr>
            <w:r>
              <w:rPr>
                <w:rFonts w:hint="eastAsia" w:ascii="宋体" w:hAnsi="宋体" w:eastAsia="宋体" w:cs="宋体"/>
                <w:color w:val="000000"/>
                <w:kern w:val="0"/>
                <w:sz w:val="20"/>
                <w:szCs w:val="20"/>
                <w:lang w:bidi="ar"/>
              </w:rPr>
              <w:t>空军第九</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八六医院</w:t>
            </w:r>
            <w:r>
              <w:rPr>
                <w:rFonts w:ascii="STSong-Light" w:hAnsi="STSong-Light" w:eastAsia="STSong-Light" w:cs="STSong-Light"/>
                <w:color w:val="000000"/>
                <w:kern w:val="0"/>
                <w:sz w:val="20"/>
                <w:szCs w:val="20"/>
                <w:lang w:bidi="ar"/>
              </w:rPr>
              <w:t xml:space="preserve"> </w:t>
            </w:r>
          </w:p>
          <w:p>
            <w:pPr>
              <w:widowControl/>
              <w:jc w:val="left"/>
            </w:pPr>
            <w:r>
              <w:rPr>
                <w:rFonts w:hint="eastAsia" w:ascii="宋体" w:hAnsi="宋体" w:eastAsia="宋体" w:cs="宋体"/>
                <w:color w:val="000000"/>
                <w:kern w:val="0"/>
                <w:sz w:val="20"/>
                <w:szCs w:val="20"/>
                <w:lang w:bidi="ar"/>
              </w:rPr>
              <w:t>内分泌科</w:t>
            </w:r>
          </w:p>
          <w:p>
            <w:pPr>
              <w:widowControl/>
              <w:jc w:val="left"/>
              <w:rPr>
                <w:rFonts w:ascii="宋体" w:hAnsi="宋体" w:eastAsia="宋体" w:cs="宋体"/>
                <w:color w:val="000000"/>
                <w:kern w:val="0"/>
                <w:sz w:val="20"/>
                <w:szCs w:val="20"/>
                <w:lang w:bidi="ar"/>
              </w:rPr>
            </w:pP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冯建龙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，刘晓宇 ，吴大方</w:t>
            </w:r>
          </w:p>
          <w:p>
            <w:pPr>
              <w:jc w:val="left"/>
              <w:rPr>
                <w:rFonts w:ascii="Times New Roman" w:hAnsi="Times New Roman" w:eastAsiaTheme="minorEastAsia"/>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3" w:type="pct"/>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10</w:t>
            </w:r>
          </w:p>
        </w:tc>
        <w:tc>
          <w:tcPr>
            <w:tcW w:w="641" w:type="pct"/>
            <w:tcBorders>
              <w:top w:val="single" w:color="auto" w:sz="8" w:space="0"/>
              <w:left w:val="single" w:color="auto" w:sz="8" w:space="0"/>
              <w:bottom w:val="single" w:color="auto" w:sz="8" w:space="0"/>
              <w:right w:val="single" w:color="auto" w:sz="8" w:space="0"/>
            </w:tcBorders>
          </w:tcPr>
          <w:p>
            <w:pP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 xml:space="preserve">实用新型 </w:t>
            </w:r>
          </w:p>
          <w:p>
            <w:pPr>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专利</w:t>
            </w:r>
          </w:p>
          <w:p>
            <w:pPr>
              <w:jc w:val="left"/>
              <w:rPr>
                <w:rFonts w:ascii="Times New Roman" w:hAnsi="Times New Roman" w:eastAsiaTheme="minorEastAsia"/>
                <w:color w:val="auto"/>
                <w:sz w:val="21"/>
                <w:szCs w:val="21"/>
              </w:rPr>
            </w:pPr>
          </w:p>
        </w:tc>
        <w:tc>
          <w:tcPr>
            <w:tcW w:w="779"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一种内分泌代谢病检测用的试剂盒</w:t>
            </w:r>
          </w:p>
        </w:tc>
        <w:tc>
          <w:tcPr>
            <w:tcW w:w="446"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hint="eastAsia" w:ascii="Times New Roman" w:hAnsi="Times New Roman" w:eastAsiaTheme="minorEastAsia"/>
                <w:color w:val="auto"/>
                <w:sz w:val="21"/>
                <w:szCs w:val="21"/>
              </w:rPr>
              <w:t>中国</w:t>
            </w:r>
          </w:p>
        </w:tc>
        <w:tc>
          <w:tcPr>
            <w:tcW w:w="506"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ascii="STSong-Light" w:hAnsi="STSong-Light" w:eastAsia="STSong-Light" w:cs="STSong-Light"/>
                <w:color w:val="000000"/>
                <w:kern w:val="0"/>
                <w:sz w:val="20"/>
                <w:szCs w:val="20"/>
                <w:lang w:bidi="ar"/>
              </w:rPr>
              <w:t xml:space="preserve">ZL202022045309.6 </w:t>
            </w:r>
          </w:p>
          <w:p>
            <w:pPr>
              <w:jc w:val="left"/>
              <w:rPr>
                <w:rFonts w:ascii="Times New Roman" w:hAnsi="Times New Roman" w:eastAsiaTheme="minorEastAsia"/>
                <w:color w:val="auto"/>
                <w:sz w:val="21"/>
                <w:szCs w:val="21"/>
              </w:rPr>
            </w:pPr>
          </w:p>
        </w:tc>
        <w:tc>
          <w:tcPr>
            <w:tcW w:w="550"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2021年 </w:t>
            </w:r>
          </w:p>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04月06日 </w:t>
            </w:r>
          </w:p>
          <w:p>
            <w:pPr>
              <w:jc w:val="left"/>
              <w:rPr>
                <w:rFonts w:ascii="Times New Roman" w:hAnsi="Times New Roman" w:eastAsiaTheme="minorEastAsia"/>
                <w:color w:val="auto"/>
                <w:sz w:val="21"/>
                <w:szCs w:val="21"/>
              </w:rPr>
            </w:pPr>
          </w:p>
        </w:tc>
        <w:tc>
          <w:tcPr>
            <w:tcW w:w="581"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 xml:space="preserve">12864595 </w:t>
            </w:r>
          </w:p>
          <w:p>
            <w:pPr>
              <w:jc w:val="left"/>
              <w:rPr>
                <w:rFonts w:ascii="Times New Roman" w:hAnsi="Times New Roman" w:eastAsiaTheme="minorEastAsia"/>
                <w:color w:val="auto"/>
                <w:sz w:val="21"/>
                <w:szCs w:val="21"/>
              </w:rPr>
            </w:pPr>
          </w:p>
        </w:tc>
        <w:tc>
          <w:tcPr>
            <w:tcW w:w="647" w:type="pct"/>
            <w:tcBorders>
              <w:top w:val="single" w:color="auto" w:sz="8" w:space="0"/>
              <w:left w:val="single" w:color="auto" w:sz="8" w:space="0"/>
              <w:bottom w:val="single" w:color="auto" w:sz="8" w:space="0"/>
              <w:right w:val="single" w:color="auto" w:sz="8" w:space="0"/>
            </w:tcBorders>
          </w:tcPr>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中国人民</w:t>
            </w:r>
            <w:r>
              <w:rPr>
                <w:rFonts w:ascii="STSong-Light" w:hAnsi="STSong-Light" w:eastAsia="STSong-Light" w:cs="STSong-Light"/>
                <w:color w:val="000000"/>
                <w:kern w:val="0"/>
                <w:sz w:val="20"/>
                <w:szCs w:val="20"/>
                <w:lang w:bidi="ar"/>
              </w:rPr>
              <w:t xml:space="preserve"> </w:t>
            </w:r>
            <w:r>
              <w:rPr>
                <w:rFonts w:hint="eastAsia" w:ascii="宋体" w:hAnsi="宋体" w:eastAsia="宋体" w:cs="宋体"/>
                <w:color w:val="000000"/>
                <w:kern w:val="0"/>
                <w:sz w:val="20"/>
                <w:szCs w:val="20"/>
                <w:lang w:bidi="ar"/>
              </w:rPr>
              <w:t>解放军空</w:t>
            </w:r>
            <w:r>
              <w:rPr>
                <w:rFonts w:ascii="STSong-Light" w:hAnsi="STSong-Light" w:eastAsia="STSong-Light" w:cs="STSong-Light"/>
                <w:color w:val="000000"/>
                <w:kern w:val="0"/>
                <w:sz w:val="20"/>
                <w:szCs w:val="20"/>
                <w:lang w:bidi="ar"/>
              </w:rPr>
              <w:t xml:space="preserve"> </w:t>
            </w:r>
          </w:p>
          <w:p>
            <w:pPr>
              <w:widowControl/>
              <w:jc w:val="left"/>
              <w:rPr>
                <w:rFonts w:asciiTheme="minorHAnsi" w:eastAsiaTheme="minorEastAsia"/>
                <w:color w:val="auto"/>
                <w:sz w:val="21"/>
              </w:rPr>
            </w:pPr>
            <w:r>
              <w:rPr>
                <w:rFonts w:hint="eastAsia" w:ascii="宋体" w:hAnsi="宋体" w:eastAsia="宋体" w:cs="宋体"/>
                <w:color w:val="000000"/>
                <w:kern w:val="0"/>
                <w:sz w:val="20"/>
                <w:szCs w:val="20"/>
                <w:lang w:bidi="ar"/>
              </w:rPr>
              <w:t>军军医大学</w:t>
            </w:r>
            <w:r>
              <w:rPr>
                <w:rFonts w:ascii="STSong-Light" w:hAnsi="STSong-Light" w:eastAsia="STSong-Light" w:cs="STSong-Light"/>
                <w:color w:val="000000"/>
                <w:kern w:val="0"/>
                <w:sz w:val="20"/>
                <w:szCs w:val="20"/>
                <w:lang w:bidi="ar"/>
              </w:rPr>
              <w:t xml:space="preserve"> </w:t>
            </w:r>
          </w:p>
          <w:p>
            <w:pPr>
              <w:jc w:val="left"/>
              <w:rPr>
                <w:rFonts w:ascii="Times New Roman" w:hAnsi="Times New Roman" w:eastAsiaTheme="minorEastAsia"/>
                <w:color w:val="auto"/>
                <w:sz w:val="21"/>
                <w:szCs w:val="21"/>
              </w:rPr>
            </w:pPr>
          </w:p>
        </w:tc>
        <w:tc>
          <w:tcPr>
            <w:tcW w:w="547" w:type="pct"/>
            <w:tcBorders>
              <w:top w:val="single" w:color="auto" w:sz="8" w:space="0"/>
              <w:left w:val="single" w:color="auto" w:sz="8" w:space="0"/>
              <w:bottom w:val="single" w:color="auto" w:sz="8" w:space="0"/>
              <w:right w:val="single" w:color="auto" w:sz="8" w:space="0"/>
            </w:tcBorders>
          </w:tcPr>
          <w:p>
            <w:pPr>
              <w:jc w:val="left"/>
              <w:rPr>
                <w:rFonts w:ascii="Times New Roman" w:hAnsi="Times New Roman" w:eastAsiaTheme="minorEastAsia"/>
                <w:color w:val="auto"/>
                <w:sz w:val="21"/>
                <w:szCs w:val="21"/>
              </w:rPr>
            </w:pPr>
            <w:r>
              <w:rPr>
                <w:rFonts w:ascii="Times New Roman" w:hAnsi="Times New Roman" w:eastAsiaTheme="minorEastAsia"/>
                <w:color w:val="auto"/>
                <w:sz w:val="21"/>
                <w:szCs w:val="21"/>
              </w:rPr>
              <w:t>李洁，王 伟，刘晓</w:t>
            </w:r>
            <w:r>
              <w:rPr>
                <w:rFonts w:hint="eastAsia" w:ascii="Times New Roman" w:hAnsi="Times New Roman" w:eastAsiaTheme="minorEastAsia"/>
                <w:color w:val="auto"/>
                <w:sz w:val="21"/>
                <w:szCs w:val="21"/>
              </w:rPr>
              <w:t>宇</w:t>
            </w:r>
          </w:p>
          <w:p>
            <w:pPr>
              <w:jc w:val="left"/>
              <w:rPr>
                <w:rFonts w:ascii="Times New Roman" w:hAnsi="Times New Roman" w:eastAsiaTheme="minorEastAsia"/>
                <w:color w:val="auto"/>
                <w:sz w:val="21"/>
                <w:szCs w:val="21"/>
              </w:rPr>
            </w:pPr>
          </w:p>
        </w:tc>
      </w:tr>
    </w:tbl>
    <w:p/>
    <w:p>
      <w:pPr>
        <w:pStyle w:val="8"/>
        <w:numPr>
          <w:ilvl w:val="0"/>
          <w:numId w:val="1"/>
        </w:numPr>
        <w:ind w:firstLineChars="0"/>
        <w:rPr>
          <w:rFonts w:hint="eastAsia" w:ascii="黑体" w:hAnsi="黑体" w:eastAsia="黑体" w:cs="黑体"/>
        </w:rPr>
      </w:pPr>
      <w:bookmarkStart w:id="1" w:name="_GoBack"/>
      <w:r>
        <w:rPr>
          <w:rFonts w:hint="eastAsia" w:ascii="黑体" w:hAnsi="黑体" w:eastAsia="黑体" w:cs="黑体"/>
        </w:rPr>
        <w:t>完成人合作关系说明</w:t>
      </w:r>
    </w:p>
    <w:bookmarkEnd w:id="1"/>
    <w:p>
      <w:pPr>
        <w:ind w:firstLine="480" w:firstLineChars="200"/>
      </w:pPr>
      <w:r>
        <w:rPr>
          <w:rFonts w:hint="eastAsia"/>
        </w:rPr>
        <w:t>1、李洁与刘晓宇（1）共同立项“糖尿病神经病变的早期预警预测研究，项目编号：2019JM-422；(2)论文合著：基于转录组学研究1型糖尿病神经痛大鼠腰膨大处脊髓背角基因表达的改变。</w:t>
      </w:r>
    </w:p>
    <w:p>
      <w:pPr>
        <w:ind w:firstLine="480" w:firstLineChars="200"/>
      </w:pPr>
      <w:r>
        <w:rPr>
          <w:rFonts w:hint="eastAsia"/>
        </w:rPr>
        <w:t>2、李洁与毛培军合作论文：大鼠脊髓小胶质细胞P2X4的表达和糖尿病病理性神经痛大鼠炎症反应和疼痛阈值的关系。</w:t>
      </w:r>
    </w:p>
    <w:p>
      <w:pPr>
        <w:ind w:firstLine="480" w:firstLineChars="200"/>
      </w:pPr>
      <w:r>
        <w:rPr>
          <w:rFonts w:hint="eastAsia"/>
        </w:rPr>
        <w:t>3、刘晓宇与田雄涛合作论文：注射用鼠神经生长因子治疗糖尿病周围神经病变的临床效果。</w:t>
      </w:r>
    </w:p>
    <w:p>
      <w:pPr>
        <w:ind w:firstLine="480" w:firstLineChars="200"/>
      </w:pPr>
      <w:r>
        <w:rPr>
          <w:rFonts w:hint="eastAsia"/>
        </w:rPr>
        <w:t>4、李洁与叶欣合作论文：“标本配穴 ”针灸结合甲钴胺对老年糖尿病周围神经病变患者脂质代谢炎性细胞因子和受损神经传导速度的影响 。</w:t>
      </w:r>
    </w:p>
    <w:p>
      <w:pPr>
        <w:ind w:firstLine="480" w:firstLineChars="200"/>
      </w:pPr>
      <w:r>
        <w:rPr>
          <w:rFonts w:hint="eastAsia"/>
        </w:rPr>
        <w:t>5、李洁与邵英合作论文：糖尿病病理性神经痛大鼠坐骨神经中miR-133a 的上调对疼痛阈值的影响及机制。</w:t>
      </w:r>
    </w:p>
    <w:p>
      <w:pPr>
        <w:ind w:firstLine="480" w:firstLineChars="200"/>
      </w:pPr>
      <w:r>
        <w:rPr>
          <w:rFonts w:hint="eastAsia"/>
        </w:rPr>
        <w:t>6、毛培军与张利红合作论文：前列地尔联合α-硫辛酸对糖尿病周围神经病变患者神经传导速度及氧化应激的影响。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STSong-Light">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15280"/>
    <w:multiLevelType w:val="singleLevel"/>
    <w:tmpl w:val="ECB15280"/>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1YTkxYzVmM2VjNmQwY2RlYTA0ODIyN2JmZjNhZTQifQ=="/>
  </w:docVars>
  <w:rsids>
    <w:rsidRoot w:val="0063432F"/>
    <w:rsid w:val="000F1138"/>
    <w:rsid w:val="0014116A"/>
    <w:rsid w:val="0014707E"/>
    <w:rsid w:val="00193129"/>
    <w:rsid w:val="001A1D32"/>
    <w:rsid w:val="00212DDD"/>
    <w:rsid w:val="00217742"/>
    <w:rsid w:val="002666BA"/>
    <w:rsid w:val="002700D9"/>
    <w:rsid w:val="002757D1"/>
    <w:rsid w:val="0028539A"/>
    <w:rsid w:val="002A4358"/>
    <w:rsid w:val="003221E6"/>
    <w:rsid w:val="003C5AB9"/>
    <w:rsid w:val="003E5DC8"/>
    <w:rsid w:val="00446985"/>
    <w:rsid w:val="00462E38"/>
    <w:rsid w:val="00472236"/>
    <w:rsid w:val="00505369"/>
    <w:rsid w:val="00612C67"/>
    <w:rsid w:val="0063432F"/>
    <w:rsid w:val="006916F8"/>
    <w:rsid w:val="006F6A36"/>
    <w:rsid w:val="0072169C"/>
    <w:rsid w:val="007623F8"/>
    <w:rsid w:val="00781FD6"/>
    <w:rsid w:val="007A02BC"/>
    <w:rsid w:val="007E491F"/>
    <w:rsid w:val="00832E04"/>
    <w:rsid w:val="008F3747"/>
    <w:rsid w:val="009C1F8E"/>
    <w:rsid w:val="009F392E"/>
    <w:rsid w:val="00A142D7"/>
    <w:rsid w:val="00A3542A"/>
    <w:rsid w:val="00A41E3A"/>
    <w:rsid w:val="00A87F7E"/>
    <w:rsid w:val="00AC04A3"/>
    <w:rsid w:val="00AF0CE5"/>
    <w:rsid w:val="00B114E5"/>
    <w:rsid w:val="00B265E3"/>
    <w:rsid w:val="00B813CB"/>
    <w:rsid w:val="00B82773"/>
    <w:rsid w:val="00BD6390"/>
    <w:rsid w:val="00C1345A"/>
    <w:rsid w:val="00C23DE0"/>
    <w:rsid w:val="00C47086"/>
    <w:rsid w:val="00C66F20"/>
    <w:rsid w:val="00C70CFA"/>
    <w:rsid w:val="00D11CA3"/>
    <w:rsid w:val="00D76F11"/>
    <w:rsid w:val="00D821D3"/>
    <w:rsid w:val="00DB7B74"/>
    <w:rsid w:val="00E23619"/>
    <w:rsid w:val="00E745AC"/>
    <w:rsid w:val="00E8564E"/>
    <w:rsid w:val="00F4727F"/>
    <w:rsid w:val="00F7008E"/>
    <w:rsid w:val="00F876B1"/>
    <w:rsid w:val="00FB38EC"/>
    <w:rsid w:val="03F96F84"/>
    <w:rsid w:val="21DF0EC4"/>
    <w:rsid w:val="2E840E29"/>
    <w:rsid w:val="36FF214D"/>
    <w:rsid w:val="3B0703D0"/>
    <w:rsid w:val="42B67F03"/>
    <w:rsid w:val="43EC5232"/>
    <w:rsid w:val="4B196EA4"/>
    <w:rsid w:val="6A7A083C"/>
    <w:rsid w:val="743B47E6"/>
    <w:rsid w:val="79462463"/>
    <w:rsid w:val="7BFC1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eastAsia="仿宋_GB2312" w:hAnsiTheme="minorHAnsi" w:cstheme="minorBidi"/>
      <w:color w:val="000000" w:themeColor="text1"/>
      <w:kern w:val="2"/>
      <w:sz w:val="24"/>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autoRedefine/>
    <w:qFormat/>
    <w:uiPriority w:val="0"/>
    <w:pPr>
      <w:spacing w:line="360" w:lineRule="auto"/>
      <w:ind w:firstLine="480" w:firstLineChars="200"/>
    </w:pPr>
    <w:rPr>
      <w:rFonts w:hAnsi="Times New Roman"/>
    </w:r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autoRedefine/>
    <w:qFormat/>
    <w:uiPriority w:val="34"/>
    <w:pPr>
      <w:ind w:firstLine="420" w:firstLineChars="200"/>
    </w:pPr>
  </w:style>
  <w:style w:type="character" w:customStyle="1" w:styleId="9">
    <w:name w:val="纯文本 Char1"/>
    <w:uiPriority w:val="0"/>
    <w:rPr>
      <w:rFonts w:ascii="仿宋_GB2312" w:hAnsi="Times New Roman"/>
      <w:sz w:val="24"/>
    </w:rPr>
  </w:style>
  <w:style w:type="character" w:customStyle="1" w:styleId="10">
    <w:name w:val="纯文本 字符"/>
    <w:basedOn w:val="7"/>
    <w:link w:val="2"/>
    <w:semiHidden/>
    <w:qFormat/>
    <w:uiPriority w:val="99"/>
    <w:rPr>
      <w:rFonts w:ascii="宋体" w:hAnsi="Courier New" w:eastAsia="宋体" w:cs="Courier New"/>
      <w:szCs w:val="21"/>
    </w:rPr>
  </w:style>
  <w:style w:type="character" w:customStyle="1" w:styleId="11">
    <w:name w:val="页眉 字符"/>
    <w:basedOn w:val="7"/>
    <w:link w:val="4"/>
    <w:autoRedefine/>
    <w:qFormat/>
    <w:uiPriority w:val="99"/>
    <w:rPr>
      <w:sz w:val="18"/>
      <w:szCs w:val="18"/>
    </w:rPr>
  </w:style>
  <w:style w:type="character" w:customStyle="1" w:styleId="12">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5</Pages>
  <Words>4070</Words>
  <Characters>4511</Characters>
  <Lines>358</Lines>
  <Paragraphs>280</Paragraphs>
  <TotalTime>524</TotalTime>
  <ScaleCrop>false</ScaleCrop>
  <LinksUpToDate>false</LinksUpToDate>
  <CharactersWithSpaces>4627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WPS_1641343652</cp:lastModifiedBy>
  <cp:lastPrinted>2024-07-12T06:18:00Z</cp:lastPrinted>
  <dcterms:modified xsi:type="dcterms:W3CDTF">2024-07-14T10:26:41Z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D2B1C0A3054B41A99CEA1B8B3F8409C2_12</vt:lpwstr>
  </property>
</Properties>
</file>