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640" w:firstLineChars="200"/>
        <w:rPr>
          <w:rFonts w:hint="eastAsia" w:ascii="黑体" w:hAnsi="黑体" w:eastAsia="黑体" w:cs="黑体"/>
          <w:sz w:val="32"/>
        </w:rPr>
      </w:pPr>
      <w:r>
        <w:rPr>
          <w:rFonts w:hint="eastAsia" w:ascii="黑体" w:hAnsi="黑体" w:eastAsia="黑体" w:cs="黑体"/>
          <w:sz w:val="32"/>
        </w:rPr>
        <w:t>一、项目名称</w:t>
      </w:r>
    </w:p>
    <w:p>
      <w:pPr>
        <w:pStyle w:val="8"/>
        <w:ind w:left="420" w:firstLine="0" w:firstLineChars="0"/>
        <w:rPr>
          <w:rFonts w:ascii="仿宋_GB2312" w:eastAsia="仿宋_GB2312"/>
          <w:sz w:val="24"/>
        </w:rPr>
      </w:pPr>
      <w:r>
        <w:rPr>
          <w:rFonts w:hint="eastAsia" w:ascii="仿宋_GB2312" w:eastAsia="仿宋_GB2312"/>
          <w:sz w:val="24"/>
        </w:rPr>
        <w:t>糖脂代谢紊乱相关心血管疾病关键分子机制与靶向治疗策略</w:t>
      </w:r>
    </w:p>
    <w:p>
      <w:pPr>
        <w:ind w:firstLine="640" w:firstLineChars="200"/>
        <w:rPr>
          <w:rFonts w:hint="eastAsia" w:ascii="黑体" w:hAnsi="黑体" w:eastAsia="黑体" w:cs="黑体"/>
          <w:sz w:val="32"/>
        </w:rPr>
      </w:pPr>
      <w:r>
        <w:rPr>
          <w:rFonts w:hint="eastAsia" w:ascii="黑体" w:hAnsi="黑体" w:eastAsia="黑体" w:cs="黑体"/>
          <w:sz w:val="32"/>
        </w:rPr>
        <w:t>二、主要完成人</w:t>
      </w:r>
    </w:p>
    <w:tbl>
      <w:tblPr>
        <w:tblStyle w:val="6"/>
        <w:tblW w:w="9039" w:type="dxa"/>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944"/>
        <w:gridCol w:w="961"/>
        <w:gridCol w:w="969"/>
        <w:gridCol w:w="988"/>
        <w:gridCol w:w="1289"/>
        <w:gridCol w:w="1032"/>
        <w:gridCol w:w="2856"/>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44" w:type="dxa"/>
          </w:tcPr>
          <w:p>
            <w:pPr>
              <w:spacing w:line="480" w:lineRule="auto"/>
              <w:jc w:val="center"/>
              <w:rPr>
                <w:rFonts w:ascii="仿宋_GB2312" w:hAnsi="仿宋_GB2312" w:eastAsia="仿宋_GB2312" w:cs="仿宋_GB2312"/>
                <w:b/>
                <w:bCs/>
                <w:sz w:val="24"/>
                <w:szCs w:val="24"/>
              </w:rPr>
            </w:pPr>
            <w:r>
              <w:rPr>
                <w:rFonts w:hint="eastAsia" w:ascii="仿宋_GB2312" w:hAnsi="仿宋_GB2312" w:eastAsia="仿宋_GB2312" w:cs="仿宋_GB2312"/>
                <w:b/>
                <w:bCs/>
                <w:sz w:val="24"/>
                <w:szCs w:val="24"/>
              </w:rPr>
              <w:t>姓名</w:t>
            </w:r>
          </w:p>
        </w:tc>
        <w:tc>
          <w:tcPr>
            <w:tcW w:w="961" w:type="dxa"/>
          </w:tcPr>
          <w:p>
            <w:pPr>
              <w:spacing w:line="480" w:lineRule="auto"/>
              <w:jc w:val="center"/>
              <w:rPr>
                <w:rFonts w:ascii="仿宋_GB2312" w:hAnsi="仿宋_GB2312" w:eastAsia="仿宋_GB2312" w:cs="仿宋_GB2312"/>
                <w:b/>
                <w:bCs/>
                <w:sz w:val="24"/>
                <w:szCs w:val="24"/>
              </w:rPr>
            </w:pPr>
            <w:r>
              <w:rPr>
                <w:rFonts w:hint="eastAsia" w:ascii="仿宋_GB2312" w:hAnsi="仿宋_GB2312" w:eastAsia="仿宋_GB2312" w:cs="仿宋_GB2312"/>
                <w:b/>
                <w:bCs/>
                <w:sz w:val="24"/>
                <w:szCs w:val="24"/>
              </w:rPr>
              <w:t>排名</w:t>
            </w:r>
          </w:p>
        </w:tc>
        <w:tc>
          <w:tcPr>
            <w:tcW w:w="969" w:type="dxa"/>
          </w:tcPr>
          <w:p>
            <w:pPr>
              <w:jc w:val="center"/>
              <w:rPr>
                <w:rFonts w:ascii="仿宋_GB2312" w:hAnsi="仿宋_GB2312" w:eastAsia="仿宋_GB2312" w:cs="仿宋_GB2312"/>
                <w:b/>
                <w:bCs/>
                <w:sz w:val="24"/>
                <w:szCs w:val="24"/>
              </w:rPr>
            </w:pPr>
            <w:r>
              <w:rPr>
                <w:rFonts w:hint="eastAsia" w:ascii="仿宋_GB2312" w:hAnsi="仿宋_GB2312" w:eastAsia="仿宋_GB2312" w:cs="仿宋_GB2312"/>
                <w:b/>
                <w:bCs/>
                <w:sz w:val="24"/>
                <w:szCs w:val="24"/>
              </w:rPr>
              <w:t>行政</w:t>
            </w:r>
          </w:p>
          <w:p>
            <w:pPr>
              <w:jc w:val="center"/>
              <w:rPr>
                <w:rFonts w:ascii="仿宋_GB2312" w:hAnsi="仿宋_GB2312" w:eastAsia="仿宋_GB2312" w:cs="仿宋_GB2312"/>
                <w:b/>
                <w:bCs/>
                <w:sz w:val="24"/>
                <w:szCs w:val="24"/>
              </w:rPr>
            </w:pPr>
            <w:r>
              <w:rPr>
                <w:rFonts w:hint="eastAsia" w:ascii="仿宋_GB2312" w:hAnsi="仿宋_GB2312" w:eastAsia="仿宋_GB2312" w:cs="仿宋_GB2312"/>
                <w:b/>
                <w:bCs/>
                <w:sz w:val="24"/>
                <w:szCs w:val="24"/>
              </w:rPr>
              <w:t>职务</w:t>
            </w:r>
          </w:p>
        </w:tc>
        <w:tc>
          <w:tcPr>
            <w:tcW w:w="988" w:type="dxa"/>
          </w:tcPr>
          <w:p>
            <w:pPr>
              <w:jc w:val="center"/>
              <w:rPr>
                <w:rFonts w:ascii="仿宋_GB2312" w:hAnsi="仿宋_GB2312" w:eastAsia="仿宋_GB2312" w:cs="仿宋_GB2312"/>
                <w:b/>
                <w:bCs/>
                <w:sz w:val="24"/>
                <w:szCs w:val="24"/>
              </w:rPr>
            </w:pPr>
            <w:r>
              <w:rPr>
                <w:rFonts w:hint="eastAsia" w:ascii="仿宋_GB2312" w:hAnsi="仿宋_GB2312" w:eastAsia="仿宋_GB2312" w:cs="仿宋_GB2312"/>
                <w:b/>
                <w:bCs/>
                <w:sz w:val="24"/>
                <w:szCs w:val="24"/>
              </w:rPr>
              <w:t>技术</w:t>
            </w:r>
          </w:p>
          <w:p>
            <w:pPr>
              <w:jc w:val="center"/>
              <w:rPr>
                <w:rFonts w:ascii="仿宋_GB2312" w:hAnsi="仿宋_GB2312" w:eastAsia="仿宋_GB2312" w:cs="仿宋_GB2312"/>
                <w:b/>
                <w:bCs/>
                <w:sz w:val="24"/>
                <w:szCs w:val="24"/>
              </w:rPr>
            </w:pPr>
            <w:r>
              <w:rPr>
                <w:rFonts w:hint="eastAsia" w:ascii="仿宋_GB2312" w:hAnsi="仿宋_GB2312" w:eastAsia="仿宋_GB2312" w:cs="仿宋_GB2312"/>
                <w:b/>
                <w:bCs/>
                <w:sz w:val="24"/>
                <w:szCs w:val="24"/>
              </w:rPr>
              <w:t>职称</w:t>
            </w:r>
          </w:p>
        </w:tc>
        <w:tc>
          <w:tcPr>
            <w:tcW w:w="1289" w:type="dxa"/>
          </w:tcPr>
          <w:p>
            <w:pPr>
              <w:spacing w:line="480" w:lineRule="auto"/>
              <w:jc w:val="center"/>
              <w:rPr>
                <w:rFonts w:ascii="仿宋_GB2312" w:hAnsi="仿宋_GB2312" w:eastAsia="仿宋_GB2312" w:cs="仿宋_GB2312"/>
                <w:b/>
                <w:bCs/>
                <w:sz w:val="24"/>
                <w:szCs w:val="24"/>
              </w:rPr>
            </w:pPr>
            <w:r>
              <w:rPr>
                <w:rFonts w:hint="eastAsia" w:ascii="仿宋_GB2312" w:hAnsi="仿宋_GB2312" w:eastAsia="仿宋_GB2312" w:cs="仿宋_GB2312"/>
                <w:b/>
                <w:bCs/>
                <w:sz w:val="24"/>
                <w:szCs w:val="24"/>
              </w:rPr>
              <w:t>工作单位</w:t>
            </w:r>
          </w:p>
        </w:tc>
        <w:tc>
          <w:tcPr>
            <w:tcW w:w="1032" w:type="dxa"/>
          </w:tcPr>
          <w:p>
            <w:pPr>
              <w:jc w:val="center"/>
              <w:rPr>
                <w:rFonts w:ascii="仿宋_GB2312" w:hAnsi="仿宋_GB2312" w:eastAsia="仿宋_GB2312" w:cs="仿宋_GB2312"/>
                <w:b/>
                <w:bCs/>
                <w:sz w:val="24"/>
                <w:szCs w:val="24"/>
              </w:rPr>
            </w:pPr>
            <w:r>
              <w:rPr>
                <w:rFonts w:hint="eastAsia" w:ascii="仿宋_GB2312" w:hAnsi="仿宋_GB2312" w:eastAsia="仿宋_GB2312" w:cs="仿宋_GB2312"/>
                <w:b/>
                <w:bCs/>
                <w:sz w:val="24"/>
                <w:szCs w:val="24"/>
              </w:rPr>
              <w:t>完成</w:t>
            </w:r>
          </w:p>
          <w:p>
            <w:pPr>
              <w:jc w:val="center"/>
              <w:rPr>
                <w:rFonts w:ascii="仿宋_GB2312" w:hAnsi="仿宋_GB2312" w:eastAsia="仿宋_GB2312" w:cs="仿宋_GB2312"/>
                <w:b/>
                <w:bCs/>
                <w:sz w:val="24"/>
                <w:szCs w:val="24"/>
              </w:rPr>
            </w:pPr>
            <w:r>
              <w:rPr>
                <w:rFonts w:hint="eastAsia" w:ascii="仿宋_GB2312" w:hAnsi="仿宋_GB2312" w:eastAsia="仿宋_GB2312" w:cs="仿宋_GB2312"/>
                <w:b/>
                <w:bCs/>
                <w:sz w:val="24"/>
                <w:szCs w:val="24"/>
              </w:rPr>
              <w:t>单位</w:t>
            </w:r>
          </w:p>
        </w:tc>
        <w:tc>
          <w:tcPr>
            <w:tcW w:w="2856" w:type="dxa"/>
          </w:tcPr>
          <w:p>
            <w:pPr>
              <w:spacing w:line="480" w:lineRule="auto"/>
              <w:jc w:val="center"/>
              <w:rPr>
                <w:rFonts w:ascii="仿宋_GB2312" w:hAnsi="仿宋_GB2312" w:eastAsia="仿宋_GB2312" w:cs="仿宋_GB2312"/>
                <w:b/>
                <w:bCs/>
                <w:sz w:val="24"/>
                <w:szCs w:val="24"/>
              </w:rPr>
            </w:pPr>
            <w:r>
              <w:rPr>
                <w:rFonts w:hint="eastAsia" w:ascii="仿宋_GB2312" w:hAnsi="仿宋_GB2312" w:eastAsia="仿宋_GB2312" w:cs="仿宋_GB2312"/>
                <w:b/>
                <w:bCs/>
                <w:sz w:val="24"/>
                <w:szCs w:val="24"/>
              </w:rPr>
              <w:t>对本项目贡献</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702" w:hRule="atLeast"/>
        </w:trPr>
        <w:tc>
          <w:tcPr>
            <w:tcW w:w="944" w:type="dxa"/>
            <w:vAlign w:val="center"/>
          </w:tcPr>
          <w:p>
            <w:pPr>
              <w:spacing w:line="400" w:lineRule="exact"/>
              <w:rPr>
                <w:rFonts w:ascii="仿宋_GB2312" w:hAnsi="仿宋_GB2312" w:eastAsia="仿宋_GB2312" w:cs="仿宋_GB2312"/>
                <w:sz w:val="24"/>
                <w:szCs w:val="24"/>
              </w:rPr>
            </w:pPr>
            <w:r>
              <w:rPr>
                <w:rFonts w:hint="eastAsia" w:ascii="仿宋_GB2312" w:hAnsi="仿宋_GB2312" w:eastAsia="仿宋_GB2312" w:cs="仿宋_GB2312"/>
                <w:sz w:val="24"/>
                <w:szCs w:val="24"/>
              </w:rPr>
              <w:t>孙冬冬</w:t>
            </w:r>
          </w:p>
        </w:tc>
        <w:tc>
          <w:tcPr>
            <w:tcW w:w="961" w:type="dxa"/>
            <w:vAlign w:val="center"/>
          </w:tcPr>
          <w:p>
            <w:pPr>
              <w:spacing w:line="400" w:lineRule="exact"/>
              <w:rPr>
                <w:rFonts w:ascii="仿宋_GB2312" w:hAnsi="仿宋_GB2312" w:eastAsia="仿宋_GB2312" w:cs="仿宋_GB2312"/>
                <w:sz w:val="24"/>
                <w:szCs w:val="24"/>
              </w:rPr>
            </w:pPr>
            <w:r>
              <w:rPr>
                <w:rFonts w:hint="eastAsia" w:ascii="仿宋_GB2312" w:hAnsi="仿宋_GB2312" w:eastAsia="仿宋_GB2312" w:cs="仿宋_GB2312"/>
                <w:sz w:val="24"/>
                <w:szCs w:val="24"/>
              </w:rPr>
              <w:t>1</w:t>
            </w:r>
          </w:p>
        </w:tc>
        <w:tc>
          <w:tcPr>
            <w:tcW w:w="969" w:type="dxa"/>
            <w:vAlign w:val="center"/>
          </w:tcPr>
          <w:p>
            <w:pPr>
              <w:spacing w:line="400" w:lineRule="exact"/>
              <w:rPr>
                <w:rFonts w:ascii="仿宋_GB2312" w:hAnsi="仿宋_GB2312" w:eastAsia="仿宋_GB2312" w:cs="仿宋_GB2312"/>
                <w:sz w:val="24"/>
                <w:szCs w:val="24"/>
              </w:rPr>
            </w:pPr>
            <w:r>
              <w:rPr>
                <w:rFonts w:hint="eastAsia" w:ascii="仿宋_GB2312" w:hAnsi="仿宋_GB2312" w:eastAsia="仿宋_GB2312" w:cs="仿宋_GB2312"/>
                <w:sz w:val="24"/>
                <w:szCs w:val="24"/>
              </w:rPr>
              <w:t>心血管内科副主任</w:t>
            </w:r>
          </w:p>
        </w:tc>
        <w:tc>
          <w:tcPr>
            <w:tcW w:w="988" w:type="dxa"/>
            <w:vAlign w:val="center"/>
          </w:tcPr>
          <w:p>
            <w:pPr>
              <w:spacing w:line="400" w:lineRule="exact"/>
              <w:rPr>
                <w:rFonts w:ascii="仿宋_GB2312" w:hAnsi="仿宋_GB2312" w:eastAsia="仿宋_GB2312" w:cs="仿宋_GB2312"/>
                <w:sz w:val="24"/>
                <w:szCs w:val="24"/>
              </w:rPr>
            </w:pPr>
            <w:r>
              <w:rPr>
                <w:rFonts w:hint="eastAsia" w:ascii="仿宋_GB2312" w:hAnsi="仿宋_GB2312" w:eastAsia="仿宋_GB2312" w:cs="仿宋_GB2312"/>
                <w:sz w:val="24"/>
                <w:szCs w:val="24"/>
              </w:rPr>
              <w:t>副教授</w:t>
            </w:r>
          </w:p>
        </w:tc>
        <w:tc>
          <w:tcPr>
            <w:tcW w:w="1289" w:type="dxa"/>
            <w:vAlign w:val="center"/>
          </w:tcPr>
          <w:p>
            <w:pPr>
              <w:spacing w:line="400" w:lineRule="exact"/>
              <w:rPr>
                <w:rFonts w:ascii="仿宋_GB2312" w:hAnsi="仿宋_GB2312" w:eastAsia="仿宋_GB2312" w:cs="仿宋_GB2312"/>
                <w:sz w:val="24"/>
                <w:szCs w:val="24"/>
              </w:rPr>
            </w:pPr>
            <w:r>
              <w:rPr>
                <w:rFonts w:hint="eastAsia" w:ascii="仿宋_GB2312" w:hAnsi="仿宋_GB2312" w:eastAsia="仿宋_GB2312" w:cs="仿宋_GB2312"/>
                <w:sz w:val="24"/>
                <w:szCs w:val="24"/>
              </w:rPr>
              <w:t>中国人民解放军空军军医大学</w:t>
            </w:r>
          </w:p>
        </w:tc>
        <w:tc>
          <w:tcPr>
            <w:tcW w:w="1032" w:type="dxa"/>
            <w:vAlign w:val="center"/>
          </w:tcPr>
          <w:p>
            <w:pPr>
              <w:spacing w:line="400" w:lineRule="exact"/>
              <w:rPr>
                <w:rFonts w:ascii="仿宋_GB2312" w:hAnsi="仿宋_GB2312" w:eastAsia="仿宋_GB2312" w:cs="仿宋_GB2312"/>
                <w:sz w:val="24"/>
                <w:szCs w:val="24"/>
              </w:rPr>
            </w:pPr>
            <w:r>
              <w:rPr>
                <w:rFonts w:hint="eastAsia" w:ascii="仿宋_GB2312" w:hAnsi="仿宋_GB2312" w:eastAsia="仿宋_GB2312" w:cs="仿宋_GB2312"/>
                <w:sz w:val="24"/>
                <w:szCs w:val="24"/>
              </w:rPr>
              <w:t>中国人民解放军空军军医大学</w:t>
            </w:r>
          </w:p>
        </w:tc>
        <w:tc>
          <w:tcPr>
            <w:tcW w:w="2856" w:type="dxa"/>
            <w:vAlign w:val="center"/>
          </w:tcPr>
          <w:p>
            <w:pPr>
              <w:spacing w:line="400" w:lineRule="exact"/>
              <w:rPr>
                <w:rFonts w:ascii="仿宋_GB2312" w:hAnsi="仿宋_GB2312" w:eastAsia="仿宋_GB2312" w:cs="仿宋_GB2312"/>
                <w:sz w:val="24"/>
                <w:szCs w:val="24"/>
              </w:rPr>
            </w:pPr>
            <w:r>
              <w:rPr>
                <w:rFonts w:hint="eastAsia" w:ascii="仿宋_GB2312" w:hAnsi="仿宋_GB2312" w:eastAsia="仿宋_GB2312" w:cs="仿宋_GB2312"/>
                <w:sz w:val="24"/>
                <w:szCs w:val="24"/>
              </w:rPr>
              <w:t>本项目的组织者和负责人，负责整个项目相关基金申请、人员组织、课题研究指导等工作。带领团队建设糖脂代谢紊乱相关心血管疾病基础研究及临床转化研究平台，指导课题组成员揭示糖脂代谢紊乱导致血管损伤和心肌损伤的新机制；基于课题组已发现的新靶点及新机制，创新研发及推广糖脂代谢紊乱相关心血管疾病评估及救治技术。为所有代表性论著作者。（附件2-2-1；附件2-2-2；附件2-2-3；附件2-2-4；附件2-2-5;附件2-2-6；附件2-2-7）</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44" w:type="dxa"/>
            <w:vAlign w:val="center"/>
          </w:tcPr>
          <w:p>
            <w:pPr>
              <w:spacing w:line="400" w:lineRule="exact"/>
              <w:rPr>
                <w:rFonts w:ascii="仿宋_GB2312" w:hAnsi="仿宋_GB2312" w:eastAsia="仿宋_GB2312" w:cs="仿宋_GB2312"/>
                <w:sz w:val="24"/>
                <w:szCs w:val="24"/>
              </w:rPr>
            </w:pPr>
            <w:r>
              <w:rPr>
                <w:rFonts w:hint="eastAsia" w:ascii="仿宋_GB2312" w:hAnsi="仿宋_GB2312" w:eastAsia="仿宋_GB2312" w:cs="仿宋_GB2312"/>
                <w:sz w:val="24"/>
                <w:szCs w:val="24"/>
              </w:rPr>
              <w:t>王海昌</w:t>
            </w:r>
          </w:p>
        </w:tc>
        <w:tc>
          <w:tcPr>
            <w:tcW w:w="961" w:type="dxa"/>
            <w:vAlign w:val="center"/>
          </w:tcPr>
          <w:p>
            <w:pPr>
              <w:spacing w:line="400" w:lineRule="exact"/>
              <w:rPr>
                <w:rFonts w:ascii="仿宋_GB2312" w:hAnsi="仿宋_GB2312" w:eastAsia="仿宋_GB2312" w:cs="仿宋_GB2312"/>
                <w:sz w:val="24"/>
                <w:szCs w:val="24"/>
              </w:rPr>
            </w:pPr>
            <w:r>
              <w:rPr>
                <w:rFonts w:hint="eastAsia" w:ascii="仿宋_GB2312" w:hAnsi="仿宋_GB2312" w:eastAsia="仿宋_GB2312" w:cs="仿宋_GB2312"/>
                <w:sz w:val="24"/>
                <w:szCs w:val="24"/>
              </w:rPr>
              <w:t>2</w:t>
            </w:r>
          </w:p>
        </w:tc>
        <w:tc>
          <w:tcPr>
            <w:tcW w:w="969" w:type="dxa"/>
            <w:vAlign w:val="center"/>
          </w:tcPr>
          <w:p>
            <w:pPr>
              <w:spacing w:line="400" w:lineRule="exact"/>
              <w:rPr>
                <w:rFonts w:ascii="仿宋_GB2312" w:hAnsi="仿宋_GB2312" w:eastAsia="仿宋_GB2312" w:cs="仿宋_GB2312"/>
                <w:sz w:val="24"/>
                <w:szCs w:val="24"/>
              </w:rPr>
            </w:pPr>
            <w:r>
              <w:rPr>
                <w:rFonts w:hint="eastAsia" w:ascii="仿宋_GB2312" w:hAnsi="仿宋_GB2312" w:eastAsia="仿宋_GB2312" w:cs="仿宋_GB2312"/>
                <w:sz w:val="24"/>
                <w:szCs w:val="24"/>
              </w:rPr>
              <w:t>心脏病医院院长</w:t>
            </w:r>
          </w:p>
        </w:tc>
        <w:tc>
          <w:tcPr>
            <w:tcW w:w="988" w:type="dxa"/>
            <w:vAlign w:val="center"/>
          </w:tcPr>
          <w:p>
            <w:pPr>
              <w:spacing w:line="400" w:lineRule="exact"/>
              <w:rPr>
                <w:rFonts w:ascii="仿宋_GB2312" w:hAnsi="仿宋_GB2312" w:eastAsia="仿宋_GB2312" w:cs="仿宋_GB2312"/>
                <w:sz w:val="24"/>
                <w:szCs w:val="24"/>
              </w:rPr>
            </w:pPr>
            <w:r>
              <w:rPr>
                <w:rFonts w:hint="eastAsia" w:ascii="仿宋_GB2312" w:hAnsi="仿宋_GB2312" w:eastAsia="仿宋_GB2312" w:cs="仿宋_GB2312"/>
                <w:sz w:val="24"/>
                <w:szCs w:val="24"/>
              </w:rPr>
              <w:t>教授</w:t>
            </w:r>
          </w:p>
        </w:tc>
        <w:tc>
          <w:tcPr>
            <w:tcW w:w="1289" w:type="dxa"/>
            <w:vAlign w:val="center"/>
          </w:tcPr>
          <w:p>
            <w:pPr>
              <w:spacing w:line="400" w:lineRule="exact"/>
              <w:rPr>
                <w:rFonts w:ascii="仿宋_GB2312" w:hAnsi="仿宋_GB2312" w:eastAsia="仿宋_GB2312" w:cs="仿宋_GB2312"/>
                <w:sz w:val="24"/>
                <w:szCs w:val="24"/>
              </w:rPr>
            </w:pPr>
            <w:r>
              <w:rPr>
                <w:rFonts w:hint="eastAsia" w:ascii="仿宋_GB2312" w:hAnsi="仿宋_GB2312" w:eastAsia="仿宋_GB2312" w:cs="仿宋_GB2312"/>
                <w:sz w:val="24"/>
                <w:szCs w:val="24"/>
              </w:rPr>
              <w:t>西安国际医学中心医院</w:t>
            </w:r>
          </w:p>
        </w:tc>
        <w:tc>
          <w:tcPr>
            <w:tcW w:w="1032" w:type="dxa"/>
            <w:vAlign w:val="center"/>
          </w:tcPr>
          <w:p>
            <w:pPr>
              <w:spacing w:line="400" w:lineRule="exact"/>
              <w:rPr>
                <w:rFonts w:ascii="仿宋_GB2312" w:hAnsi="仿宋_GB2312" w:eastAsia="仿宋_GB2312" w:cs="仿宋_GB2312"/>
                <w:sz w:val="24"/>
                <w:szCs w:val="24"/>
              </w:rPr>
            </w:pPr>
            <w:r>
              <w:rPr>
                <w:rFonts w:hint="eastAsia" w:ascii="仿宋_GB2312" w:hAnsi="仿宋_GB2312" w:eastAsia="仿宋_GB2312" w:cs="仿宋_GB2312"/>
                <w:sz w:val="24"/>
                <w:szCs w:val="24"/>
              </w:rPr>
              <w:t>西安国际医学中心医院</w:t>
            </w:r>
          </w:p>
        </w:tc>
        <w:tc>
          <w:tcPr>
            <w:tcW w:w="2856" w:type="dxa"/>
            <w:vAlign w:val="center"/>
          </w:tcPr>
          <w:p>
            <w:pPr>
              <w:spacing w:line="400" w:lineRule="exact"/>
              <w:rPr>
                <w:rFonts w:ascii="仿宋_GB2312" w:hAnsi="仿宋_GB2312" w:eastAsia="仿宋_GB2312" w:cs="仿宋_GB2312"/>
                <w:sz w:val="24"/>
                <w:szCs w:val="24"/>
              </w:rPr>
            </w:pPr>
            <w:r>
              <w:rPr>
                <w:rFonts w:hint="eastAsia" w:ascii="仿宋_GB2312" w:hAnsi="仿宋_GB2312" w:eastAsia="仿宋_GB2312" w:cs="仿宋_GB2312"/>
                <w:sz w:val="24"/>
                <w:szCs w:val="24"/>
              </w:rPr>
              <w:t>针对糖脂代谢紊乱相关心血管疾病的发病机制及临床特点，从术前评估，术中介入治疗术式及围术期管理层面，取得了系列创新成果，并在临床上推广应用。对应本项目第1，2，3项科技创新。为第6，7，8篇代表性论著作者（附件 1-1-3；附件 2-2-5；附件 2-2-6；附件 2-2-7）</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96" w:hRule="atLeast"/>
        </w:trPr>
        <w:tc>
          <w:tcPr>
            <w:tcW w:w="944" w:type="dxa"/>
            <w:vAlign w:val="center"/>
          </w:tcPr>
          <w:p>
            <w:pPr>
              <w:spacing w:line="400" w:lineRule="exact"/>
              <w:rPr>
                <w:rFonts w:ascii="仿宋_GB2312" w:hAnsi="仿宋_GB2312" w:eastAsia="仿宋_GB2312" w:cs="仿宋_GB2312"/>
                <w:sz w:val="24"/>
                <w:szCs w:val="24"/>
              </w:rPr>
            </w:pPr>
            <w:r>
              <w:rPr>
                <w:rFonts w:hint="eastAsia" w:ascii="仿宋_GB2312" w:hAnsi="仿宋_GB2312" w:eastAsia="仿宋_GB2312" w:cs="仿宋_GB2312"/>
                <w:sz w:val="24"/>
                <w:szCs w:val="24"/>
              </w:rPr>
              <w:t>张璇</w:t>
            </w:r>
          </w:p>
        </w:tc>
        <w:tc>
          <w:tcPr>
            <w:tcW w:w="961" w:type="dxa"/>
            <w:vAlign w:val="center"/>
          </w:tcPr>
          <w:p>
            <w:pPr>
              <w:spacing w:line="400" w:lineRule="exact"/>
              <w:rPr>
                <w:rFonts w:ascii="仿宋_GB2312" w:hAnsi="仿宋_GB2312" w:eastAsia="仿宋_GB2312" w:cs="仿宋_GB2312"/>
                <w:sz w:val="24"/>
                <w:szCs w:val="24"/>
              </w:rPr>
            </w:pPr>
            <w:r>
              <w:rPr>
                <w:rFonts w:hint="eastAsia" w:ascii="仿宋_GB2312" w:hAnsi="仿宋_GB2312" w:eastAsia="仿宋_GB2312" w:cs="仿宋_GB2312"/>
                <w:sz w:val="24"/>
                <w:szCs w:val="24"/>
              </w:rPr>
              <w:t>3</w:t>
            </w:r>
          </w:p>
        </w:tc>
        <w:tc>
          <w:tcPr>
            <w:tcW w:w="969" w:type="dxa"/>
            <w:vAlign w:val="center"/>
          </w:tcPr>
          <w:p>
            <w:pPr>
              <w:spacing w:line="400" w:lineRule="exact"/>
              <w:rPr>
                <w:rFonts w:ascii="仿宋_GB2312" w:hAnsi="仿宋_GB2312" w:eastAsia="仿宋_GB2312" w:cs="仿宋_GB2312"/>
                <w:sz w:val="24"/>
                <w:szCs w:val="24"/>
              </w:rPr>
            </w:pPr>
            <w:r>
              <w:rPr>
                <w:rFonts w:hint="eastAsia" w:ascii="仿宋_GB2312" w:hAnsi="仿宋_GB2312" w:eastAsia="仿宋_GB2312" w:cs="仿宋_GB2312"/>
                <w:sz w:val="24"/>
                <w:szCs w:val="24"/>
              </w:rPr>
              <w:t>无</w:t>
            </w:r>
          </w:p>
        </w:tc>
        <w:tc>
          <w:tcPr>
            <w:tcW w:w="988" w:type="dxa"/>
            <w:vAlign w:val="center"/>
          </w:tcPr>
          <w:p>
            <w:pPr>
              <w:spacing w:line="400" w:lineRule="exact"/>
              <w:rPr>
                <w:rFonts w:ascii="仿宋_GB2312" w:hAnsi="仿宋_GB2312" w:eastAsia="仿宋_GB2312" w:cs="仿宋_GB2312"/>
                <w:sz w:val="24"/>
                <w:szCs w:val="24"/>
              </w:rPr>
            </w:pPr>
            <w:r>
              <w:rPr>
                <w:rFonts w:hint="eastAsia" w:ascii="仿宋_GB2312" w:hAnsi="仿宋_GB2312" w:eastAsia="仿宋_GB2312" w:cs="仿宋_GB2312"/>
                <w:sz w:val="24"/>
                <w:szCs w:val="24"/>
              </w:rPr>
              <w:t>副教授</w:t>
            </w:r>
          </w:p>
        </w:tc>
        <w:tc>
          <w:tcPr>
            <w:tcW w:w="1289" w:type="dxa"/>
            <w:vAlign w:val="center"/>
          </w:tcPr>
          <w:p>
            <w:pPr>
              <w:spacing w:line="400" w:lineRule="exact"/>
              <w:rPr>
                <w:rFonts w:ascii="仿宋_GB2312" w:hAnsi="仿宋_GB2312" w:eastAsia="仿宋_GB2312" w:cs="仿宋_GB2312"/>
                <w:sz w:val="24"/>
                <w:szCs w:val="24"/>
              </w:rPr>
            </w:pPr>
            <w:r>
              <w:rPr>
                <w:rFonts w:hint="eastAsia" w:ascii="仿宋_GB2312" w:hAnsi="仿宋_GB2312" w:eastAsia="仿宋_GB2312" w:cs="仿宋_GB2312"/>
                <w:sz w:val="24"/>
                <w:szCs w:val="24"/>
              </w:rPr>
              <w:t>中国人民解放军总医院医学创新研究部医院管理研究所</w:t>
            </w:r>
          </w:p>
        </w:tc>
        <w:tc>
          <w:tcPr>
            <w:tcW w:w="1032" w:type="dxa"/>
            <w:vAlign w:val="center"/>
          </w:tcPr>
          <w:p>
            <w:pPr>
              <w:spacing w:line="400" w:lineRule="exact"/>
              <w:rPr>
                <w:rFonts w:ascii="仿宋_GB2312" w:hAnsi="仿宋_GB2312" w:eastAsia="仿宋_GB2312" w:cs="仿宋_GB2312"/>
                <w:sz w:val="24"/>
                <w:szCs w:val="24"/>
              </w:rPr>
            </w:pPr>
            <w:r>
              <w:rPr>
                <w:rFonts w:hint="eastAsia" w:ascii="仿宋_GB2312" w:hAnsi="仿宋_GB2312" w:eastAsia="仿宋_GB2312" w:cs="仿宋_GB2312"/>
                <w:sz w:val="24"/>
                <w:szCs w:val="24"/>
              </w:rPr>
              <w:t>中国人民解放军总医院</w:t>
            </w:r>
          </w:p>
        </w:tc>
        <w:tc>
          <w:tcPr>
            <w:tcW w:w="2856" w:type="dxa"/>
            <w:vAlign w:val="center"/>
          </w:tcPr>
          <w:p>
            <w:pPr>
              <w:spacing w:line="400" w:lineRule="exact"/>
              <w:rPr>
                <w:rFonts w:ascii="仿宋_GB2312" w:hAnsi="仿宋_GB2312" w:eastAsia="仿宋_GB2312" w:cs="仿宋_GB2312"/>
                <w:sz w:val="24"/>
                <w:szCs w:val="24"/>
              </w:rPr>
            </w:pPr>
            <w:r>
              <w:rPr>
                <w:rFonts w:hint="eastAsia" w:ascii="仿宋_GB2312" w:hAnsi="仿宋_GB2312" w:eastAsia="仿宋_GB2312" w:cs="仿宋_GB2312"/>
                <w:sz w:val="24"/>
                <w:szCs w:val="24"/>
              </w:rPr>
              <w:t>临床上推广应用课题组建立的糖脂代谢紊乱相关心血管疾病围术期优化管理综合治疗策略。对应本项目第1，3项科技创新。为第4篇代表性论著作者。（附件 2-2-1）</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44" w:type="dxa"/>
            <w:vAlign w:val="center"/>
          </w:tcPr>
          <w:p>
            <w:pPr>
              <w:spacing w:line="400" w:lineRule="exact"/>
              <w:rPr>
                <w:rFonts w:ascii="仿宋_GB2312" w:hAnsi="仿宋_GB2312" w:eastAsia="仿宋_GB2312" w:cs="仿宋_GB2312"/>
                <w:sz w:val="24"/>
                <w:szCs w:val="24"/>
              </w:rPr>
            </w:pPr>
            <w:r>
              <w:rPr>
                <w:rFonts w:hint="eastAsia" w:ascii="仿宋_GB2312" w:hAnsi="仿宋_GB2312" w:eastAsia="仿宋_GB2312" w:cs="仿宋_GB2312"/>
                <w:sz w:val="24"/>
                <w:szCs w:val="24"/>
              </w:rPr>
              <w:t>沈敏</w:t>
            </w:r>
          </w:p>
        </w:tc>
        <w:tc>
          <w:tcPr>
            <w:tcW w:w="961" w:type="dxa"/>
            <w:vAlign w:val="center"/>
          </w:tcPr>
          <w:p>
            <w:pPr>
              <w:spacing w:line="400" w:lineRule="exact"/>
              <w:rPr>
                <w:rFonts w:ascii="仿宋_GB2312" w:hAnsi="仿宋_GB2312" w:eastAsia="仿宋_GB2312" w:cs="仿宋_GB2312"/>
                <w:sz w:val="24"/>
                <w:szCs w:val="24"/>
              </w:rPr>
            </w:pPr>
            <w:r>
              <w:rPr>
                <w:rFonts w:hint="eastAsia" w:ascii="仿宋_GB2312" w:hAnsi="仿宋_GB2312" w:eastAsia="仿宋_GB2312" w:cs="仿宋_GB2312"/>
                <w:sz w:val="24"/>
                <w:szCs w:val="24"/>
              </w:rPr>
              <w:t>4</w:t>
            </w:r>
          </w:p>
        </w:tc>
        <w:tc>
          <w:tcPr>
            <w:tcW w:w="969" w:type="dxa"/>
            <w:vAlign w:val="center"/>
          </w:tcPr>
          <w:p>
            <w:pPr>
              <w:spacing w:line="400" w:lineRule="exact"/>
              <w:rPr>
                <w:rFonts w:ascii="仿宋_GB2312" w:hAnsi="仿宋_GB2312" w:eastAsia="仿宋_GB2312" w:cs="仿宋_GB2312"/>
                <w:sz w:val="24"/>
                <w:szCs w:val="24"/>
              </w:rPr>
            </w:pPr>
            <w:r>
              <w:rPr>
                <w:rFonts w:hint="eastAsia" w:ascii="仿宋_GB2312" w:hAnsi="仿宋_GB2312" w:eastAsia="仿宋_GB2312" w:cs="仿宋_GB2312"/>
                <w:sz w:val="24"/>
                <w:szCs w:val="24"/>
              </w:rPr>
              <w:t>无</w:t>
            </w:r>
          </w:p>
        </w:tc>
        <w:tc>
          <w:tcPr>
            <w:tcW w:w="988" w:type="dxa"/>
            <w:vAlign w:val="center"/>
          </w:tcPr>
          <w:p>
            <w:pPr>
              <w:spacing w:line="400" w:lineRule="exact"/>
              <w:rPr>
                <w:rFonts w:ascii="仿宋_GB2312" w:hAnsi="仿宋_GB2312" w:eastAsia="仿宋_GB2312" w:cs="仿宋_GB2312"/>
                <w:sz w:val="24"/>
                <w:szCs w:val="24"/>
              </w:rPr>
            </w:pPr>
            <w:r>
              <w:rPr>
                <w:rFonts w:hint="eastAsia" w:ascii="仿宋_GB2312" w:hAnsi="仿宋_GB2312" w:eastAsia="仿宋_GB2312" w:cs="仿宋_GB2312"/>
                <w:sz w:val="24"/>
                <w:szCs w:val="24"/>
              </w:rPr>
              <w:t>副教授</w:t>
            </w:r>
          </w:p>
        </w:tc>
        <w:tc>
          <w:tcPr>
            <w:tcW w:w="1289" w:type="dxa"/>
            <w:vAlign w:val="center"/>
          </w:tcPr>
          <w:p>
            <w:pPr>
              <w:spacing w:line="400" w:lineRule="exact"/>
              <w:rPr>
                <w:rFonts w:ascii="仿宋_GB2312" w:hAnsi="仿宋_GB2312" w:eastAsia="仿宋_GB2312" w:cs="仿宋_GB2312"/>
                <w:sz w:val="24"/>
                <w:szCs w:val="24"/>
              </w:rPr>
            </w:pPr>
            <w:r>
              <w:rPr>
                <w:rFonts w:hint="eastAsia" w:ascii="仿宋_GB2312" w:hAnsi="仿宋_GB2312" w:eastAsia="仿宋_GB2312" w:cs="仿宋_GB2312"/>
                <w:sz w:val="24"/>
                <w:szCs w:val="24"/>
              </w:rPr>
              <w:t>中国人民解放军空军军医大学</w:t>
            </w:r>
          </w:p>
        </w:tc>
        <w:tc>
          <w:tcPr>
            <w:tcW w:w="1032" w:type="dxa"/>
            <w:vAlign w:val="center"/>
          </w:tcPr>
          <w:p>
            <w:pPr>
              <w:spacing w:line="400" w:lineRule="exact"/>
              <w:rPr>
                <w:rFonts w:ascii="仿宋_GB2312" w:hAnsi="仿宋_GB2312" w:eastAsia="仿宋_GB2312" w:cs="仿宋_GB2312"/>
                <w:sz w:val="24"/>
                <w:szCs w:val="24"/>
              </w:rPr>
            </w:pPr>
            <w:r>
              <w:rPr>
                <w:rFonts w:hint="eastAsia" w:ascii="仿宋_GB2312" w:hAnsi="仿宋_GB2312" w:eastAsia="仿宋_GB2312" w:cs="仿宋_GB2312"/>
                <w:sz w:val="24"/>
                <w:szCs w:val="24"/>
              </w:rPr>
              <w:t>中国人民解放军空军军医大学</w:t>
            </w:r>
          </w:p>
        </w:tc>
        <w:tc>
          <w:tcPr>
            <w:tcW w:w="2856" w:type="dxa"/>
            <w:vAlign w:val="center"/>
          </w:tcPr>
          <w:p>
            <w:pPr>
              <w:spacing w:line="400" w:lineRule="exact"/>
              <w:rPr>
                <w:rFonts w:ascii="仿宋_GB2312" w:hAnsi="仿宋_GB2312" w:eastAsia="仿宋_GB2312" w:cs="仿宋_GB2312"/>
                <w:sz w:val="24"/>
                <w:szCs w:val="24"/>
              </w:rPr>
            </w:pPr>
            <w:r>
              <w:rPr>
                <w:rFonts w:hint="eastAsia" w:ascii="仿宋_GB2312" w:hAnsi="仿宋_GB2312" w:eastAsia="仿宋_GB2312" w:cs="仿宋_GB2312"/>
                <w:sz w:val="24"/>
                <w:szCs w:val="24"/>
              </w:rPr>
              <w:t>揭示糖脂代谢紊乱相关心肌损伤导致线粒体稳态失衡新机制。临床上推广应用课题组建立的糖脂代谢紊乱相关心血管疾病围术期优化管理综合治疗策略。对应本项目第1、3项科技创新。主译《Mayo心脏病学》等专著。（附件 2-5-8；附件 2-5-1；附件 2-7-1）</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44" w:type="dxa"/>
            <w:vAlign w:val="center"/>
          </w:tcPr>
          <w:p>
            <w:pPr>
              <w:spacing w:line="400" w:lineRule="exact"/>
              <w:rPr>
                <w:rFonts w:ascii="仿宋_GB2312" w:hAnsi="仿宋_GB2312" w:eastAsia="仿宋_GB2312" w:cs="仿宋_GB2312"/>
                <w:sz w:val="24"/>
                <w:szCs w:val="24"/>
              </w:rPr>
            </w:pPr>
            <w:r>
              <w:rPr>
                <w:rFonts w:hint="eastAsia" w:ascii="仿宋_GB2312" w:hAnsi="仿宋_GB2312" w:eastAsia="仿宋_GB2312" w:cs="仿宋_GB2312"/>
                <w:sz w:val="24"/>
                <w:szCs w:val="24"/>
              </w:rPr>
              <w:t>赵志敬</w:t>
            </w:r>
          </w:p>
        </w:tc>
        <w:tc>
          <w:tcPr>
            <w:tcW w:w="961" w:type="dxa"/>
            <w:vAlign w:val="center"/>
          </w:tcPr>
          <w:p>
            <w:pPr>
              <w:spacing w:line="400" w:lineRule="exact"/>
              <w:rPr>
                <w:rFonts w:ascii="仿宋_GB2312" w:hAnsi="仿宋_GB2312" w:eastAsia="仿宋_GB2312" w:cs="仿宋_GB2312"/>
                <w:sz w:val="24"/>
                <w:szCs w:val="24"/>
              </w:rPr>
            </w:pPr>
            <w:r>
              <w:rPr>
                <w:rFonts w:hint="eastAsia" w:ascii="仿宋_GB2312" w:hAnsi="仿宋_GB2312" w:eastAsia="仿宋_GB2312" w:cs="仿宋_GB2312"/>
                <w:sz w:val="24"/>
                <w:szCs w:val="24"/>
              </w:rPr>
              <w:t>5</w:t>
            </w:r>
          </w:p>
        </w:tc>
        <w:tc>
          <w:tcPr>
            <w:tcW w:w="969" w:type="dxa"/>
            <w:vAlign w:val="center"/>
          </w:tcPr>
          <w:p>
            <w:pPr>
              <w:spacing w:line="400" w:lineRule="exact"/>
              <w:rPr>
                <w:rFonts w:ascii="仿宋_GB2312" w:hAnsi="仿宋_GB2312" w:eastAsia="仿宋_GB2312" w:cs="仿宋_GB2312"/>
                <w:sz w:val="24"/>
                <w:szCs w:val="24"/>
              </w:rPr>
            </w:pPr>
            <w:r>
              <w:rPr>
                <w:rFonts w:hint="eastAsia" w:ascii="仿宋_GB2312" w:hAnsi="仿宋_GB2312" w:eastAsia="仿宋_GB2312" w:cs="仿宋_GB2312"/>
                <w:sz w:val="24"/>
                <w:szCs w:val="24"/>
              </w:rPr>
              <w:t>无</w:t>
            </w:r>
          </w:p>
        </w:tc>
        <w:tc>
          <w:tcPr>
            <w:tcW w:w="988" w:type="dxa"/>
            <w:vAlign w:val="center"/>
          </w:tcPr>
          <w:p>
            <w:pPr>
              <w:spacing w:line="400" w:lineRule="exact"/>
              <w:rPr>
                <w:rFonts w:ascii="仿宋_GB2312" w:hAnsi="仿宋_GB2312" w:eastAsia="仿宋_GB2312" w:cs="仿宋_GB2312"/>
                <w:sz w:val="24"/>
                <w:szCs w:val="24"/>
              </w:rPr>
            </w:pPr>
            <w:r>
              <w:rPr>
                <w:rFonts w:hint="eastAsia" w:ascii="仿宋_GB2312" w:hAnsi="仿宋_GB2312" w:eastAsia="仿宋_GB2312" w:cs="仿宋_GB2312"/>
                <w:sz w:val="24"/>
                <w:szCs w:val="24"/>
              </w:rPr>
              <w:t>副教授</w:t>
            </w:r>
          </w:p>
        </w:tc>
        <w:tc>
          <w:tcPr>
            <w:tcW w:w="1289" w:type="dxa"/>
            <w:vAlign w:val="center"/>
          </w:tcPr>
          <w:p>
            <w:pPr>
              <w:spacing w:line="400" w:lineRule="exact"/>
              <w:rPr>
                <w:rFonts w:ascii="仿宋_GB2312" w:hAnsi="仿宋_GB2312" w:eastAsia="仿宋_GB2312" w:cs="仿宋_GB2312"/>
                <w:sz w:val="24"/>
                <w:szCs w:val="24"/>
              </w:rPr>
            </w:pPr>
            <w:r>
              <w:rPr>
                <w:rFonts w:hint="eastAsia" w:ascii="仿宋_GB2312" w:hAnsi="仿宋_GB2312" w:eastAsia="仿宋_GB2312" w:cs="仿宋_GB2312"/>
                <w:sz w:val="24"/>
                <w:szCs w:val="24"/>
              </w:rPr>
              <w:t>中国人民解放军空军军医大学</w:t>
            </w:r>
          </w:p>
        </w:tc>
        <w:tc>
          <w:tcPr>
            <w:tcW w:w="1032" w:type="dxa"/>
            <w:vAlign w:val="center"/>
          </w:tcPr>
          <w:p>
            <w:pPr>
              <w:spacing w:line="400" w:lineRule="exact"/>
              <w:rPr>
                <w:rFonts w:ascii="仿宋_GB2312" w:hAnsi="仿宋_GB2312" w:eastAsia="仿宋_GB2312" w:cs="仿宋_GB2312"/>
                <w:sz w:val="24"/>
                <w:szCs w:val="24"/>
              </w:rPr>
            </w:pPr>
            <w:r>
              <w:rPr>
                <w:rFonts w:hint="eastAsia" w:ascii="仿宋_GB2312" w:hAnsi="仿宋_GB2312" w:eastAsia="仿宋_GB2312" w:cs="仿宋_GB2312"/>
                <w:sz w:val="24"/>
                <w:szCs w:val="24"/>
              </w:rPr>
              <w:t>中国人民解放军空军军医大学</w:t>
            </w:r>
          </w:p>
        </w:tc>
        <w:tc>
          <w:tcPr>
            <w:tcW w:w="2856" w:type="dxa"/>
            <w:vAlign w:val="center"/>
          </w:tcPr>
          <w:p>
            <w:pPr>
              <w:spacing w:line="400" w:lineRule="exact"/>
              <w:rPr>
                <w:rFonts w:ascii="仿宋_GB2312" w:hAnsi="仿宋_GB2312" w:eastAsia="仿宋_GB2312" w:cs="仿宋_GB2312"/>
                <w:sz w:val="24"/>
                <w:szCs w:val="24"/>
              </w:rPr>
            </w:pPr>
            <w:r>
              <w:rPr>
                <w:rFonts w:hint="eastAsia" w:ascii="仿宋_GB2312" w:hAnsi="仿宋_GB2312" w:eastAsia="仿宋_GB2312" w:cs="仿宋_GB2312"/>
                <w:sz w:val="24"/>
                <w:szCs w:val="24"/>
              </w:rPr>
              <w:t>揭示了糖脂代谢紊乱相关心血管疾病进展终期-心肌梗死的新机制，探究了减轻心肌梗死后心脏重构的新信号通路。对应本项目第1项科技创新。为第6篇代表性论著作者。主译《Mayo心脏病学》、《奈特心脏病学》等专著。（附件 2-2-5；附件 2-5-3；附件 2-5-5；附件 2-7-5）</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44" w:type="dxa"/>
            <w:vAlign w:val="center"/>
          </w:tcPr>
          <w:p>
            <w:pPr>
              <w:spacing w:line="400" w:lineRule="exact"/>
              <w:rPr>
                <w:rFonts w:ascii="仿宋_GB2312" w:hAnsi="仿宋_GB2312" w:eastAsia="仿宋_GB2312" w:cs="仿宋_GB2312"/>
                <w:sz w:val="24"/>
                <w:szCs w:val="24"/>
              </w:rPr>
            </w:pPr>
            <w:r>
              <w:rPr>
                <w:rFonts w:hint="eastAsia" w:ascii="仿宋_GB2312" w:hAnsi="仿宋_GB2312" w:eastAsia="仿宋_GB2312" w:cs="仿宋_GB2312"/>
                <w:sz w:val="24"/>
                <w:szCs w:val="24"/>
              </w:rPr>
              <w:t>张学斌</w:t>
            </w:r>
          </w:p>
        </w:tc>
        <w:tc>
          <w:tcPr>
            <w:tcW w:w="961" w:type="dxa"/>
            <w:vAlign w:val="center"/>
          </w:tcPr>
          <w:p>
            <w:pPr>
              <w:spacing w:line="400" w:lineRule="exact"/>
              <w:rPr>
                <w:rFonts w:ascii="仿宋_GB2312" w:hAnsi="仿宋_GB2312" w:eastAsia="仿宋_GB2312" w:cs="仿宋_GB2312"/>
                <w:sz w:val="24"/>
                <w:szCs w:val="24"/>
              </w:rPr>
            </w:pPr>
            <w:r>
              <w:rPr>
                <w:rFonts w:hint="eastAsia" w:ascii="仿宋_GB2312" w:hAnsi="仿宋_GB2312" w:eastAsia="仿宋_GB2312" w:cs="仿宋_GB2312"/>
                <w:sz w:val="24"/>
                <w:szCs w:val="24"/>
              </w:rPr>
              <w:t>6</w:t>
            </w:r>
          </w:p>
        </w:tc>
        <w:tc>
          <w:tcPr>
            <w:tcW w:w="969" w:type="dxa"/>
            <w:vAlign w:val="center"/>
          </w:tcPr>
          <w:p>
            <w:pPr>
              <w:spacing w:line="400" w:lineRule="exact"/>
              <w:rPr>
                <w:rFonts w:ascii="仿宋_GB2312" w:hAnsi="仿宋_GB2312" w:eastAsia="仿宋_GB2312" w:cs="仿宋_GB2312"/>
                <w:sz w:val="24"/>
                <w:szCs w:val="24"/>
              </w:rPr>
            </w:pPr>
            <w:r>
              <w:rPr>
                <w:rFonts w:hint="eastAsia" w:ascii="仿宋_GB2312" w:hAnsi="仿宋_GB2312" w:eastAsia="仿宋_GB2312" w:cs="仿宋_GB2312"/>
                <w:sz w:val="24"/>
                <w:szCs w:val="24"/>
              </w:rPr>
              <w:t>无</w:t>
            </w:r>
          </w:p>
        </w:tc>
        <w:tc>
          <w:tcPr>
            <w:tcW w:w="988" w:type="dxa"/>
            <w:vAlign w:val="center"/>
          </w:tcPr>
          <w:p>
            <w:pPr>
              <w:spacing w:line="400" w:lineRule="exact"/>
              <w:rPr>
                <w:rFonts w:ascii="仿宋_GB2312" w:hAnsi="仿宋_GB2312" w:eastAsia="仿宋_GB2312" w:cs="仿宋_GB2312"/>
                <w:sz w:val="24"/>
                <w:szCs w:val="24"/>
              </w:rPr>
            </w:pPr>
            <w:r>
              <w:rPr>
                <w:rFonts w:hint="eastAsia" w:ascii="仿宋_GB2312" w:hAnsi="仿宋_GB2312" w:eastAsia="仿宋_GB2312" w:cs="仿宋_GB2312"/>
                <w:sz w:val="24"/>
                <w:szCs w:val="24"/>
              </w:rPr>
              <w:t>医师</w:t>
            </w:r>
          </w:p>
        </w:tc>
        <w:tc>
          <w:tcPr>
            <w:tcW w:w="1289" w:type="dxa"/>
            <w:vAlign w:val="center"/>
          </w:tcPr>
          <w:p>
            <w:pPr>
              <w:spacing w:line="400" w:lineRule="exact"/>
              <w:rPr>
                <w:rFonts w:ascii="仿宋_GB2312" w:hAnsi="仿宋_GB2312" w:eastAsia="仿宋_GB2312" w:cs="仿宋_GB2312"/>
                <w:sz w:val="24"/>
                <w:szCs w:val="24"/>
              </w:rPr>
            </w:pPr>
            <w:r>
              <w:rPr>
                <w:rFonts w:hint="eastAsia" w:ascii="仿宋_GB2312" w:hAnsi="仿宋_GB2312" w:eastAsia="仿宋_GB2312" w:cs="仿宋_GB2312"/>
                <w:sz w:val="24"/>
                <w:szCs w:val="24"/>
              </w:rPr>
              <w:t>中国人民解放军空军军医大学</w:t>
            </w:r>
          </w:p>
        </w:tc>
        <w:tc>
          <w:tcPr>
            <w:tcW w:w="1032" w:type="dxa"/>
            <w:vAlign w:val="center"/>
          </w:tcPr>
          <w:p>
            <w:pPr>
              <w:spacing w:line="400" w:lineRule="exact"/>
              <w:rPr>
                <w:rFonts w:ascii="仿宋_GB2312" w:hAnsi="仿宋_GB2312" w:eastAsia="仿宋_GB2312" w:cs="仿宋_GB2312"/>
                <w:sz w:val="24"/>
                <w:szCs w:val="24"/>
              </w:rPr>
            </w:pPr>
            <w:r>
              <w:rPr>
                <w:rFonts w:hint="eastAsia" w:ascii="仿宋_GB2312" w:hAnsi="仿宋_GB2312" w:eastAsia="仿宋_GB2312" w:cs="仿宋_GB2312"/>
                <w:sz w:val="24"/>
                <w:szCs w:val="24"/>
              </w:rPr>
              <w:t>中国人民解放军空军军医大学</w:t>
            </w:r>
          </w:p>
        </w:tc>
        <w:tc>
          <w:tcPr>
            <w:tcW w:w="2856" w:type="dxa"/>
            <w:vAlign w:val="center"/>
          </w:tcPr>
          <w:p>
            <w:pPr>
              <w:spacing w:line="400" w:lineRule="exact"/>
              <w:rPr>
                <w:rFonts w:ascii="仿宋_GB2312" w:hAnsi="仿宋_GB2312" w:eastAsia="仿宋_GB2312" w:cs="仿宋_GB2312"/>
                <w:sz w:val="24"/>
                <w:szCs w:val="24"/>
              </w:rPr>
            </w:pPr>
            <w:r>
              <w:rPr>
                <w:rFonts w:hint="eastAsia" w:ascii="仿宋_GB2312" w:hAnsi="仿宋_GB2312" w:eastAsia="仿宋_GB2312" w:cs="仿宋_GB2312"/>
                <w:sz w:val="24"/>
                <w:szCs w:val="24"/>
              </w:rPr>
              <w:t>在国际上首次揭示糖脂代谢紊乱微环境的重要感应因子Adipsin通过Csk（C末端Src激酶）依赖性信号机制缓解糖脂代谢紊乱引起的心肌微血管损伤新机制。明确了以Adipsin为核心的糖脂代谢紊乱所致血管损伤的干预靶点。为第2，3，4，5篇代表性论著作者。（附件2-2-1；附件2-2- 2；附件2-2-3；附件2-2-5）</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44" w:type="dxa"/>
            <w:vAlign w:val="center"/>
          </w:tcPr>
          <w:p>
            <w:pPr>
              <w:spacing w:line="400" w:lineRule="exact"/>
              <w:rPr>
                <w:rFonts w:ascii="仿宋_GB2312" w:hAnsi="仿宋_GB2312" w:eastAsia="仿宋_GB2312" w:cs="仿宋_GB2312"/>
                <w:sz w:val="24"/>
                <w:szCs w:val="24"/>
              </w:rPr>
            </w:pPr>
            <w:r>
              <w:rPr>
                <w:rFonts w:hint="eastAsia" w:ascii="仿宋_GB2312" w:hAnsi="仿宋_GB2312" w:eastAsia="仿宋_GB2312" w:cs="仿宋_GB2312"/>
                <w:sz w:val="24"/>
                <w:szCs w:val="24"/>
              </w:rPr>
              <w:t>姜梦圆</w:t>
            </w:r>
          </w:p>
        </w:tc>
        <w:tc>
          <w:tcPr>
            <w:tcW w:w="961" w:type="dxa"/>
            <w:vAlign w:val="center"/>
          </w:tcPr>
          <w:p>
            <w:pPr>
              <w:spacing w:line="400" w:lineRule="exact"/>
              <w:rPr>
                <w:rFonts w:ascii="仿宋_GB2312" w:hAnsi="仿宋_GB2312" w:eastAsia="仿宋_GB2312" w:cs="仿宋_GB2312"/>
                <w:sz w:val="24"/>
                <w:szCs w:val="24"/>
              </w:rPr>
            </w:pPr>
            <w:r>
              <w:rPr>
                <w:rFonts w:hint="eastAsia" w:ascii="仿宋_GB2312" w:hAnsi="仿宋_GB2312" w:eastAsia="仿宋_GB2312" w:cs="仿宋_GB2312"/>
                <w:sz w:val="24"/>
                <w:szCs w:val="24"/>
              </w:rPr>
              <w:t>7</w:t>
            </w:r>
          </w:p>
        </w:tc>
        <w:tc>
          <w:tcPr>
            <w:tcW w:w="969" w:type="dxa"/>
            <w:vAlign w:val="center"/>
          </w:tcPr>
          <w:p>
            <w:pPr>
              <w:spacing w:line="400" w:lineRule="exact"/>
              <w:rPr>
                <w:rFonts w:ascii="仿宋_GB2312" w:hAnsi="仿宋_GB2312" w:eastAsia="仿宋_GB2312" w:cs="仿宋_GB2312"/>
                <w:sz w:val="24"/>
                <w:szCs w:val="24"/>
              </w:rPr>
            </w:pPr>
            <w:r>
              <w:rPr>
                <w:rFonts w:hint="eastAsia" w:ascii="仿宋_GB2312" w:hAnsi="仿宋_GB2312" w:eastAsia="仿宋_GB2312" w:cs="仿宋_GB2312"/>
                <w:sz w:val="24"/>
                <w:szCs w:val="24"/>
              </w:rPr>
              <w:t>无</w:t>
            </w:r>
          </w:p>
        </w:tc>
        <w:tc>
          <w:tcPr>
            <w:tcW w:w="988" w:type="dxa"/>
            <w:vAlign w:val="center"/>
          </w:tcPr>
          <w:p>
            <w:pPr>
              <w:spacing w:line="400" w:lineRule="exact"/>
              <w:rPr>
                <w:rFonts w:ascii="仿宋_GB2312" w:hAnsi="仿宋_GB2312" w:eastAsia="仿宋_GB2312" w:cs="仿宋_GB2312"/>
                <w:sz w:val="24"/>
                <w:szCs w:val="24"/>
              </w:rPr>
            </w:pPr>
            <w:r>
              <w:rPr>
                <w:rFonts w:hint="eastAsia" w:ascii="仿宋_GB2312" w:hAnsi="仿宋_GB2312" w:eastAsia="仿宋_GB2312" w:cs="仿宋_GB2312"/>
                <w:sz w:val="24"/>
                <w:szCs w:val="24"/>
              </w:rPr>
              <w:t>医师</w:t>
            </w:r>
          </w:p>
        </w:tc>
        <w:tc>
          <w:tcPr>
            <w:tcW w:w="1289" w:type="dxa"/>
            <w:vAlign w:val="center"/>
          </w:tcPr>
          <w:p>
            <w:pPr>
              <w:spacing w:line="400" w:lineRule="exact"/>
              <w:rPr>
                <w:rFonts w:ascii="仿宋_GB2312" w:hAnsi="仿宋_GB2312" w:eastAsia="仿宋_GB2312" w:cs="仿宋_GB2312"/>
                <w:sz w:val="24"/>
                <w:szCs w:val="24"/>
              </w:rPr>
            </w:pPr>
            <w:r>
              <w:rPr>
                <w:rFonts w:hint="eastAsia" w:ascii="仿宋_GB2312" w:hAnsi="仿宋_GB2312" w:eastAsia="仿宋_GB2312" w:cs="仿宋_GB2312"/>
                <w:sz w:val="24"/>
                <w:szCs w:val="24"/>
              </w:rPr>
              <w:t>中国人民解放军空军军医大学</w:t>
            </w:r>
          </w:p>
        </w:tc>
        <w:tc>
          <w:tcPr>
            <w:tcW w:w="1032" w:type="dxa"/>
            <w:vAlign w:val="center"/>
          </w:tcPr>
          <w:p>
            <w:pPr>
              <w:spacing w:line="400" w:lineRule="exact"/>
              <w:rPr>
                <w:rFonts w:ascii="仿宋_GB2312" w:hAnsi="仿宋_GB2312" w:eastAsia="仿宋_GB2312" w:cs="仿宋_GB2312"/>
                <w:sz w:val="24"/>
                <w:szCs w:val="24"/>
              </w:rPr>
            </w:pPr>
            <w:r>
              <w:rPr>
                <w:rFonts w:hint="eastAsia" w:ascii="仿宋_GB2312" w:hAnsi="仿宋_GB2312" w:eastAsia="仿宋_GB2312" w:cs="仿宋_GB2312"/>
                <w:sz w:val="24"/>
                <w:szCs w:val="24"/>
              </w:rPr>
              <w:t>中国人民解放军空军军医大学</w:t>
            </w:r>
          </w:p>
        </w:tc>
        <w:tc>
          <w:tcPr>
            <w:tcW w:w="2856" w:type="dxa"/>
            <w:vAlign w:val="center"/>
          </w:tcPr>
          <w:p>
            <w:pPr>
              <w:spacing w:line="400" w:lineRule="exact"/>
              <w:rPr>
                <w:rFonts w:ascii="仿宋_GB2312" w:hAnsi="仿宋_GB2312" w:eastAsia="仿宋_GB2312" w:cs="仿宋_GB2312"/>
                <w:sz w:val="24"/>
                <w:szCs w:val="24"/>
              </w:rPr>
            </w:pPr>
            <w:r>
              <w:rPr>
                <w:rFonts w:hint="eastAsia" w:ascii="仿宋_GB2312" w:hAnsi="仿宋_GB2312" w:eastAsia="仿宋_GB2312" w:cs="仿宋_GB2312"/>
                <w:sz w:val="24"/>
                <w:szCs w:val="24"/>
              </w:rPr>
              <w:t>揭示了脂毒性在糖脂代谢紊乱心肌损伤中的关键作用，确立了以Adipsin / Irak2 / Phb / Opa1信号通路为核心的线粒体稳态调控新机制，建立了以脂肪酸-β氧化为靶点的糖脂代谢紊乱心肌损伤治疗新策略。为第2，3，4，5篇代表性论著作者。（附件2-2-1，附件2-2- 2，附件2-2-3，附件2-2-5）</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44" w:type="dxa"/>
            <w:vAlign w:val="center"/>
          </w:tcPr>
          <w:p>
            <w:pPr>
              <w:spacing w:line="400" w:lineRule="exact"/>
              <w:rPr>
                <w:rFonts w:ascii="仿宋_GB2312" w:hAnsi="仿宋_GB2312" w:eastAsia="仿宋_GB2312" w:cs="仿宋_GB2312"/>
                <w:sz w:val="24"/>
                <w:szCs w:val="24"/>
              </w:rPr>
            </w:pPr>
            <w:r>
              <w:rPr>
                <w:rFonts w:hint="eastAsia" w:ascii="仿宋_GB2312" w:hAnsi="仿宋_GB2312" w:eastAsia="仿宋_GB2312" w:cs="仿宋_GB2312"/>
                <w:sz w:val="24"/>
                <w:szCs w:val="24"/>
              </w:rPr>
              <w:t>张</w:t>
            </w:r>
            <w:r>
              <w:rPr>
                <w:rFonts w:hint="eastAsia" w:hAnsi="仿宋_GB2312" w:eastAsia="仿宋_GB2312" w:cs="仿宋_GB2312"/>
                <w:szCs w:val="24"/>
              </w:rPr>
              <w:t></w:t>
            </w:r>
          </w:p>
        </w:tc>
        <w:tc>
          <w:tcPr>
            <w:tcW w:w="961" w:type="dxa"/>
            <w:vAlign w:val="center"/>
          </w:tcPr>
          <w:p>
            <w:pPr>
              <w:spacing w:line="400" w:lineRule="exact"/>
              <w:rPr>
                <w:rFonts w:ascii="仿宋_GB2312" w:hAnsi="仿宋_GB2312" w:eastAsia="仿宋_GB2312" w:cs="仿宋_GB2312"/>
                <w:sz w:val="24"/>
                <w:szCs w:val="24"/>
              </w:rPr>
            </w:pPr>
            <w:r>
              <w:rPr>
                <w:rFonts w:hint="eastAsia" w:ascii="仿宋_GB2312" w:hAnsi="仿宋_GB2312" w:eastAsia="仿宋_GB2312" w:cs="仿宋_GB2312"/>
                <w:sz w:val="24"/>
                <w:szCs w:val="24"/>
              </w:rPr>
              <w:t>8</w:t>
            </w:r>
          </w:p>
        </w:tc>
        <w:tc>
          <w:tcPr>
            <w:tcW w:w="969" w:type="dxa"/>
            <w:vAlign w:val="center"/>
          </w:tcPr>
          <w:p>
            <w:pPr>
              <w:spacing w:line="400" w:lineRule="exact"/>
              <w:rPr>
                <w:rFonts w:ascii="仿宋_GB2312" w:hAnsi="仿宋_GB2312" w:eastAsia="仿宋_GB2312" w:cs="仿宋_GB2312"/>
                <w:sz w:val="24"/>
                <w:szCs w:val="24"/>
              </w:rPr>
            </w:pPr>
            <w:r>
              <w:rPr>
                <w:rFonts w:hint="eastAsia" w:ascii="仿宋_GB2312" w:hAnsi="仿宋_GB2312" w:eastAsia="仿宋_GB2312" w:cs="仿宋_GB2312"/>
                <w:sz w:val="24"/>
                <w:szCs w:val="24"/>
              </w:rPr>
              <w:t>无</w:t>
            </w:r>
          </w:p>
        </w:tc>
        <w:tc>
          <w:tcPr>
            <w:tcW w:w="988" w:type="dxa"/>
            <w:vAlign w:val="center"/>
          </w:tcPr>
          <w:p>
            <w:pPr>
              <w:spacing w:line="400" w:lineRule="exact"/>
              <w:rPr>
                <w:rFonts w:ascii="仿宋_GB2312" w:hAnsi="仿宋_GB2312" w:eastAsia="仿宋_GB2312" w:cs="仿宋_GB2312"/>
                <w:sz w:val="24"/>
                <w:szCs w:val="24"/>
              </w:rPr>
            </w:pPr>
            <w:r>
              <w:rPr>
                <w:rFonts w:hint="eastAsia" w:ascii="仿宋_GB2312" w:hAnsi="仿宋_GB2312" w:eastAsia="仿宋_GB2312" w:cs="仿宋_GB2312"/>
                <w:sz w:val="24"/>
                <w:szCs w:val="24"/>
              </w:rPr>
              <w:t>医师</w:t>
            </w:r>
          </w:p>
        </w:tc>
        <w:tc>
          <w:tcPr>
            <w:tcW w:w="1289" w:type="dxa"/>
            <w:vAlign w:val="center"/>
          </w:tcPr>
          <w:p>
            <w:pPr>
              <w:spacing w:line="400" w:lineRule="exact"/>
              <w:rPr>
                <w:rFonts w:ascii="仿宋_GB2312" w:hAnsi="仿宋_GB2312" w:eastAsia="仿宋_GB2312" w:cs="仿宋_GB2312"/>
                <w:sz w:val="24"/>
                <w:szCs w:val="24"/>
              </w:rPr>
            </w:pPr>
            <w:r>
              <w:rPr>
                <w:rFonts w:hint="eastAsia" w:ascii="仿宋_GB2312" w:hAnsi="仿宋_GB2312" w:eastAsia="仿宋_GB2312" w:cs="仿宋_GB2312"/>
                <w:sz w:val="24"/>
                <w:szCs w:val="24"/>
              </w:rPr>
              <w:t>中国人民解放军空军军医大学</w:t>
            </w:r>
          </w:p>
        </w:tc>
        <w:tc>
          <w:tcPr>
            <w:tcW w:w="1032" w:type="dxa"/>
            <w:vAlign w:val="center"/>
          </w:tcPr>
          <w:p>
            <w:pPr>
              <w:spacing w:line="400" w:lineRule="exact"/>
              <w:rPr>
                <w:rFonts w:ascii="仿宋_GB2312" w:hAnsi="仿宋_GB2312" w:eastAsia="仿宋_GB2312" w:cs="仿宋_GB2312"/>
                <w:sz w:val="24"/>
                <w:szCs w:val="24"/>
              </w:rPr>
            </w:pPr>
            <w:r>
              <w:rPr>
                <w:rFonts w:hint="eastAsia" w:ascii="仿宋_GB2312" w:hAnsi="仿宋_GB2312" w:eastAsia="仿宋_GB2312" w:cs="仿宋_GB2312"/>
                <w:sz w:val="24"/>
                <w:szCs w:val="24"/>
              </w:rPr>
              <w:t>中国人民解放军空军军医大学</w:t>
            </w:r>
          </w:p>
        </w:tc>
        <w:tc>
          <w:tcPr>
            <w:tcW w:w="2856" w:type="dxa"/>
            <w:vAlign w:val="center"/>
          </w:tcPr>
          <w:p>
            <w:pPr>
              <w:spacing w:line="400" w:lineRule="exact"/>
              <w:rPr>
                <w:rFonts w:ascii="仿宋_GB2312" w:hAnsi="仿宋_GB2312" w:eastAsia="仿宋_GB2312" w:cs="仿宋_GB2312"/>
                <w:sz w:val="24"/>
                <w:szCs w:val="24"/>
              </w:rPr>
            </w:pPr>
            <w:r>
              <w:rPr>
                <w:rFonts w:hint="eastAsia" w:ascii="仿宋_GB2312" w:hAnsi="仿宋_GB2312" w:eastAsia="仿宋_GB2312" w:cs="仿宋_GB2312"/>
                <w:sz w:val="24"/>
                <w:szCs w:val="24"/>
              </w:rPr>
              <w:t>揭示了脂毒性在动脉粥样硬化中的关键作用，确立了以Rnd3 / TRAF6 / NF-kB / NLRP3信号通路为核心的内皮细胞焦亡调控新机制，建立了以泛素连接酶为靶点的动脉粥样硬化治疗新策略。为第2，3，4，5篇代表性论著作者。（附件2-2-1，附件2-2- 2，附件2-2-3，附件2-2-5）</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44" w:type="dxa"/>
            <w:vAlign w:val="center"/>
          </w:tcPr>
          <w:p>
            <w:pPr>
              <w:spacing w:line="400" w:lineRule="exact"/>
              <w:rPr>
                <w:rFonts w:ascii="仿宋_GB2312" w:hAnsi="仿宋_GB2312" w:eastAsia="仿宋_GB2312" w:cs="仿宋_GB2312"/>
                <w:sz w:val="24"/>
                <w:szCs w:val="24"/>
              </w:rPr>
            </w:pPr>
            <w:r>
              <w:rPr>
                <w:rFonts w:hint="eastAsia" w:ascii="仿宋_GB2312" w:hAnsi="仿宋_GB2312" w:eastAsia="仿宋_GB2312" w:cs="仿宋_GB2312"/>
                <w:sz w:val="24"/>
                <w:szCs w:val="24"/>
              </w:rPr>
              <w:t>蔺杰</w:t>
            </w:r>
          </w:p>
        </w:tc>
        <w:tc>
          <w:tcPr>
            <w:tcW w:w="961" w:type="dxa"/>
            <w:vAlign w:val="center"/>
          </w:tcPr>
          <w:p>
            <w:pPr>
              <w:spacing w:line="400" w:lineRule="exact"/>
              <w:rPr>
                <w:rFonts w:ascii="仿宋_GB2312" w:hAnsi="仿宋_GB2312" w:eastAsia="仿宋_GB2312" w:cs="仿宋_GB2312"/>
                <w:sz w:val="24"/>
                <w:szCs w:val="24"/>
              </w:rPr>
            </w:pPr>
            <w:r>
              <w:rPr>
                <w:rFonts w:hint="eastAsia" w:ascii="仿宋_GB2312" w:hAnsi="仿宋_GB2312" w:eastAsia="仿宋_GB2312" w:cs="仿宋_GB2312"/>
                <w:sz w:val="24"/>
                <w:szCs w:val="24"/>
              </w:rPr>
              <w:t>9</w:t>
            </w:r>
          </w:p>
        </w:tc>
        <w:tc>
          <w:tcPr>
            <w:tcW w:w="969" w:type="dxa"/>
            <w:vAlign w:val="center"/>
          </w:tcPr>
          <w:p>
            <w:pPr>
              <w:spacing w:line="400" w:lineRule="exact"/>
              <w:rPr>
                <w:rFonts w:ascii="仿宋_GB2312" w:hAnsi="仿宋_GB2312" w:eastAsia="仿宋_GB2312" w:cs="仿宋_GB2312"/>
                <w:sz w:val="24"/>
                <w:szCs w:val="24"/>
              </w:rPr>
            </w:pPr>
            <w:r>
              <w:rPr>
                <w:rFonts w:hint="eastAsia" w:ascii="仿宋_GB2312" w:hAnsi="仿宋_GB2312" w:eastAsia="仿宋_GB2312" w:cs="仿宋_GB2312"/>
                <w:sz w:val="24"/>
                <w:szCs w:val="24"/>
              </w:rPr>
              <w:t>无</w:t>
            </w:r>
          </w:p>
        </w:tc>
        <w:tc>
          <w:tcPr>
            <w:tcW w:w="988" w:type="dxa"/>
            <w:vAlign w:val="center"/>
          </w:tcPr>
          <w:p>
            <w:pPr>
              <w:spacing w:line="400" w:lineRule="exact"/>
              <w:rPr>
                <w:rFonts w:ascii="仿宋_GB2312" w:hAnsi="仿宋_GB2312" w:eastAsia="仿宋_GB2312" w:cs="仿宋_GB2312"/>
                <w:sz w:val="24"/>
                <w:szCs w:val="24"/>
              </w:rPr>
            </w:pPr>
            <w:r>
              <w:rPr>
                <w:rFonts w:hint="eastAsia" w:ascii="仿宋_GB2312" w:hAnsi="仿宋_GB2312" w:eastAsia="仿宋_GB2312" w:cs="仿宋_GB2312"/>
                <w:sz w:val="24"/>
                <w:szCs w:val="24"/>
              </w:rPr>
              <w:t>助理研究员</w:t>
            </w:r>
          </w:p>
        </w:tc>
        <w:tc>
          <w:tcPr>
            <w:tcW w:w="1289" w:type="dxa"/>
            <w:vAlign w:val="center"/>
          </w:tcPr>
          <w:p>
            <w:pPr>
              <w:spacing w:line="400" w:lineRule="exact"/>
              <w:rPr>
                <w:rFonts w:ascii="仿宋_GB2312" w:hAnsi="仿宋_GB2312" w:eastAsia="仿宋_GB2312" w:cs="仿宋_GB2312"/>
                <w:sz w:val="24"/>
                <w:szCs w:val="24"/>
              </w:rPr>
            </w:pPr>
            <w:r>
              <w:rPr>
                <w:rFonts w:hint="eastAsia" w:ascii="仿宋_GB2312" w:hAnsi="仿宋_GB2312" w:eastAsia="仿宋_GB2312" w:cs="仿宋_GB2312"/>
                <w:sz w:val="24"/>
                <w:szCs w:val="24"/>
              </w:rPr>
              <w:t>中国人民解放军空军军医大学</w:t>
            </w:r>
          </w:p>
        </w:tc>
        <w:tc>
          <w:tcPr>
            <w:tcW w:w="1032" w:type="dxa"/>
            <w:vAlign w:val="center"/>
          </w:tcPr>
          <w:p>
            <w:pPr>
              <w:spacing w:line="400" w:lineRule="exact"/>
              <w:rPr>
                <w:rFonts w:ascii="仿宋_GB2312" w:hAnsi="仿宋_GB2312" w:eastAsia="仿宋_GB2312" w:cs="仿宋_GB2312"/>
                <w:sz w:val="24"/>
                <w:szCs w:val="24"/>
              </w:rPr>
            </w:pPr>
            <w:r>
              <w:rPr>
                <w:rFonts w:hint="eastAsia" w:ascii="仿宋_GB2312" w:hAnsi="仿宋_GB2312" w:eastAsia="仿宋_GB2312" w:cs="仿宋_GB2312"/>
                <w:sz w:val="24"/>
                <w:szCs w:val="24"/>
              </w:rPr>
              <w:t>中国人民解放军空军军医大学</w:t>
            </w:r>
          </w:p>
        </w:tc>
        <w:tc>
          <w:tcPr>
            <w:tcW w:w="2856" w:type="dxa"/>
            <w:vAlign w:val="center"/>
          </w:tcPr>
          <w:p>
            <w:pPr>
              <w:spacing w:line="400" w:lineRule="exact"/>
              <w:rPr>
                <w:rFonts w:ascii="仿宋_GB2312" w:hAnsi="仿宋_GB2312" w:eastAsia="仿宋_GB2312" w:cs="仿宋_GB2312"/>
                <w:sz w:val="24"/>
                <w:szCs w:val="24"/>
              </w:rPr>
            </w:pPr>
            <w:r>
              <w:rPr>
                <w:rFonts w:hint="eastAsia" w:ascii="仿宋_GB2312" w:hAnsi="仿宋_GB2312" w:eastAsia="仿宋_GB2312" w:cs="仿宋_GB2312"/>
                <w:sz w:val="24"/>
                <w:szCs w:val="24"/>
              </w:rPr>
              <w:t>揭示了细胞外基质重构在糖脂代谢紊乱心肌损伤中的关键作用，确立了以Rnd3 / Notch / TGF-β信号通路为核心的成纤维细胞活化新机制，建立了以GTP酶为靶点的糖脂代谢紊乱心脏重构治疗新策略。为第2，3，4，5，7，8篇代表性论著作者。（附件2-2-1；附件2-2- 2；附件2-2-3；附件2-2-4；附件2-2-6；附件2-2-7）</w:t>
            </w:r>
          </w:p>
        </w:tc>
      </w:tr>
    </w:tbl>
    <w:p>
      <w:pPr>
        <w:spacing w:before="156" w:beforeLines="50" w:line="340" w:lineRule="exact"/>
        <w:ind w:firstLine="640" w:firstLineChars="200"/>
        <w:rPr>
          <w:rFonts w:hint="eastAsia" w:ascii="黑体" w:hAnsi="黑体" w:eastAsia="黑体" w:cs="黑体"/>
          <w:sz w:val="32"/>
        </w:rPr>
      </w:pPr>
      <w:bookmarkStart w:id="1" w:name="_GoBack"/>
      <w:r>
        <w:rPr>
          <w:rFonts w:hint="eastAsia" w:ascii="黑体" w:hAnsi="黑体" w:eastAsia="黑体" w:cs="黑体"/>
          <w:sz w:val="32"/>
        </w:rPr>
        <w:t>三、主要完成单位及创新推广贡献</w:t>
      </w:r>
    </w:p>
    <w:bookmarkEnd w:id="1"/>
    <w:tbl>
      <w:tblPr>
        <w:tblStyle w:val="6"/>
        <w:tblW w:w="9039" w:type="dxa"/>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1951"/>
        <w:gridCol w:w="1843"/>
        <w:gridCol w:w="5245"/>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89" w:hRule="atLeast"/>
        </w:trPr>
        <w:tc>
          <w:tcPr>
            <w:tcW w:w="1951" w:type="dxa"/>
          </w:tcPr>
          <w:p>
            <w:pPr>
              <w:spacing w:line="480" w:lineRule="auto"/>
              <w:jc w:val="center"/>
              <w:rPr>
                <w:rFonts w:ascii="仿宋_GB2312" w:hAnsi="仿宋_GB2312" w:eastAsia="仿宋_GB2312" w:cs="仿宋_GB2312"/>
                <w:b/>
                <w:bCs/>
                <w:sz w:val="24"/>
                <w:szCs w:val="24"/>
              </w:rPr>
            </w:pPr>
            <w:r>
              <w:rPr>
                <w:rFonts w:hint="eastAsia" w:ascii="仿宋_GB2312" w:hAnsi="仿宋_GB2312" w:eastAsia="仿宋_GB2312" w:cs="仿宋_GB2312"/>
                <w:b/>
                <w:bCs/>
                <w:sz w:val="24"/>
                <w:szCs w:val="24"/>
              </w:rPr>
              <w:t>完成单位</w:t>
            </w:r>
          </w:p>
        </w:tc>
        <w:tc>
          <w:tcPr>
            <w:tcW w:w="1843" w:type="dxa"/>
          </w:tcPr>
          <w:p>
            <w:pPr>
              <w:spacing w:line="480" w:lineRule="auto"/>
              <w:jc w:val="center"/>
              <w:rPr>
                <w:rFonts w:ascii="仿宋_GB2312" w:hAnsi="仿宋_GB2312" w:eastAsia="仿宋_GB2312" w:cs="仿宋_GB2312"/>
                <w:b/>
                <w:bCs/>
                <w:sz w:val="24"/>
                <w:szCs w:val="24"/>
              </w:rPr>
            </w:pPr>
            <w:r>
              <w:rPr>
                <w:rFonts w:hint="eastAsia" w:ascii="仿宋_GB2312" w:hAnsi="仿宋_GB2312" w:eastAsia="仿宋_GB2312" w:cs="仿宋_GB2312"/>
                <w:b/>
                <w:bCs/>
                <w:sz w:val="24"/>
                <w:szCs w:val="24"/>
              </w:rPr>
              <w:t>排名</w:t>
            </w:r>
          </w:p>
        </w:tc>
        <w:tc>
          <w:tcPr>
            <w:tcW w:w="5245" w:type="dxa"/>
          </w:tcPr>
          <w:p>
            <w:pPr>
              <w:spacing w:line="480" w:lineRule="auto"/>
              <w:jc w:val="center"/>
              <w:rPr>
                <w:rFonts w:ascii="仿宋_GB2312" w:hAnsi="仿宋_GB2312" w:eastAsia="仿宋_GB2312" w:cs="仿宋_GB2312"/>
                <w:b/>
                <w:bCs/>
                <w:sz w:val="24"/>
                <w:szCs w:val="24"/>
              </w:rPr>
            </w:pPr>
            <w:r>
              <w:rPr>
                <w:rFonts w:hint="eastAsia" w:ascii="仿宋_GB2312" w:hAnsi="仿宋_GB2312" w:eastAsia="仿宋_GB2312" w:cs="仿宋_GB2312"/>
                <w:b/>
                <w:bCs/>
                <w:sz w:val="24"/>
                <w:szCs w:val="24"/>
              </w:rPr>
              <w:t>创新推广贡献</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951" w:type="dxa"/>
            <w:vAlign w:val="center"/>
          </w:tcPr>
          <w:p>
            <w:pPr>
              <w:spacing w:line="400" w:lineRule="exact"/>
              <w:rPr>
                <w:rFonts w:ascii="仿宋_GB2312" w:hAnsi="仿宋_GB2312" w:eastAsia="仿宋_GB2312" w:cs="仿宋_GB2312"/>
                <w:sz w:val="24"/>
                <w:szCs w:val="24"/>
              </w:rPr>
            </w:pPr>
            <w:r>
              <w:rPr>
                <w:rFonts w:hint="eastAsia" w:ascii="仿宋_GB2312" w:hAnsi="仿宋_GB2312" w:eastAsia="仿宋_GB2312" w:cs="仿宋_GB2312"/>
                <w:sz w:val="24"/>
                <w:szCs w:val="24"/>
              </w:rPr>
              <w:t>中国人民解放军空军军医大学</w:t>
            </w:r>
          </w:p>
        </w:tc>
        <w:tc>
          <w:tcPr>
            <w:tcW w:w="1843" w:type="dxa"/>
            <w:vAlign w:val="center"/>
          </w:tcPr>
          <w:p>
            <w:pPr>
              <w:spacing w:line="400" w:lineRule="exact"/>
              <w:rPr>
                <w:rFonts w:ascii="仿宋_GB2312" w:hAnsi="仿宋_GB2312" w:eastAsia="仿宋_GB2312" w:cs="仿宋_GB2312"/>
                <w:sz w:val="24"/>
                <w:szCs w:val="24"/>
              </w:rPr>
            </w:pPr>
            <w:r>
              <w:rPr>
                <w:rFonts w:hint="eastAsia" w:ascii="仿宋_GB2312" w:hAnsi="仿宋_GB2312" w:eastAsia="仿宋_GB2312" w:cs="仿宋_GB2312"/>
                <w:sz w:val="24"/>
                <w:szCs w:val="24"/>
              </w:rPr>
              <w:t>1</w:t>
            </w:r>
          </w:p>
        </w:tc>
        <w:tc>
          <w:tcPr>
            <w:tcW w:w="5245" w:type="dxa"/>
            <w:vAlign w:val="center"/>
          </w:tcPr>
          <w:p>
            <w:pPr>
              <w:spacing w:line="400" w:lineRule="exact"/>
              <w:rPr>
                <w:rFonts w:ascii="仿宋_GB2312" w:hAnsi="仿宋_GB2312" w:eastAsia="仿宋_GB2312" w:cs="仿宋_GB2312"/>
                <w:sz w:val="24"/>
                <w:szCs w:val="24"/>
              </w:rPr>
            </w:pPr>
            <w:r>
              <w:rPr>
                <w:rFonts w:hint="eastAsia" w:ascii="仿宋_GB2312" w:hAnsi="仿宋_GB2312" w:eastAsia="仿宋_GB2312" w:cs="仿宋_GB2312"/>
                <w:sz w:val="24"/>
                <w:szCs w:val="24"/>
              </w:rPr>
              <w:t>针对糖脂代谢紊乱相关心脏及血管损伤的发病机制，开展深入性的机制研究，揭示了心脏损伤，微血管损伤及大血管损伤的不同发病机制，并给与针对性的治疗。从代谢异常心脏及血管损伤的临床特点出发，从术前评估，术中介入治疗术式及围术期管理层面，取得了系列创新，并在临床上推广应用。主编《心脏疾病诊疗学》等6部、主译2部专著。发表论文 66 篇，其中 SCI 论文 39 篇，中文论文 27 篇，其中发表于影响因子（IF）&gt;20 的杂志 1 篇，影响因子（IF）&gt;10 的杂志 5 篇。在临床上推广糖脂代谢紊乱相关心血管疾病治疗新策略，显著改善了糖脂代谢紊乱相关方心血管疾病的治疗成功率，显著改善患者预后。</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951" w:type="dxa"/>
            <w:vAlign w:val="center"/>
          </w:tcPr>
          <w:p>
            <w:pPr>
              <w:spacing w:line="400" w:lineRule="exact"/>
              <w:rPr>
                <w:rFonts w:ascii="仿宋_GB2312" w:hAnsi="仿宋_GB2312" w:eastAsia="仿宋_GB2312" w:cs="仿宋_GB2312"/>
                <w:sz w:val="24"/>
                <w:szCs w:val="24"/>
              </w:rPr>
            </w:pPr>
            <w:r>
              <w:rPr>
                <w:rFonts w:hint="eastAsia" w:ascii="仿宋_GB2312" w:hAnsi="仿宋_GB2312" w:eastAsia="仿宋_GB2312" w:cs="仿宋_GB2312"/>
                <w:sz w:val="24"/>
                <w:szCs w:val="24"/>
              </w:rPr>
              <w:t>西安国际医学中心医院</w:t>
            </w:r>
          </w:p>
        </w:tc>
        <w:tc>
          <w:tcPr>
            <w:tcW w:w="1843" w:type="dxa"/>
            <w:vAlign w:val="center"/>
          </w:tcPr>
          <w:p>
            <w:pPr>
              <w:spacing w:line="400" w:lineRule="exact"/>
              <w:rPr>
                <w:rFonts w:ascii="仿宋_GB2312" w:hAnsi="仿宋_GB2312" w:eastAsia="仿宋_GB2312" w:cs="仿宋_GB2312"/>
                <w:sz w:val="24"/>
                <w:szCs w:val="24"/>
              </w:rPr>
            </w:pPr>
            <w:r>
              <w:rPr>
                <w:rFonts w:hint="eastAsia" w:ascii="仿宋_GB2312" w:hAnsi="仿宋_GB2312" w:eastAsia="仿宋_GB2312" w:cs="仿宋_GB2312"/>
                <w:sz w:val="24"/>
                <w:szCs w:val="24"/>
              </w:rPr>
              <w:t>2</w:t>
            </w:r>
          </w:p>
        </w:tc>
        <w:tc>
          <w:tcPr>
            <w:tcW w:w="5245" w:type="dxa"/>
            <w:vAlign w:val="center"/>
          </w:tcPr>
          <w:p>
            <w:pPr>
              <w:spacing w:line="400" w:lineRule="exact"/>
              <w:rPr>
                <w:rFonts w:ascii="仿宋_GB2312" w:hAnsi="仿宋_GB2312" w:eastAsia="仿宋_GB2312" w:cs="仿宋_GB2312"/>
                <w:sz w:val="24"/>
                <w:szCs w:val="24"/>
              </w:rPr>
            </w:pPr>
            <w:r>
              <w:rPr>
                <w:rFonts w:hint="eastAsia" w:ascii="仿宋_GB2312" w:hAnsi="仿宋_GB2312" w:eastAsia="仿宋_GB2312" w:cs="仿宋_GB2312"/>
                <w:sz w:val="24"/>
                <w:szCs w:val="24"/>
              </w:rPr>
              <w:t>主编国内唯一复杂冠脉介入多媒体系列教材 3 部，建立了对外开放的全球最大规模介入并发症病例学习库。举办各类学习和培训班 56 次，培训临床心血管医师 5000 余人次，宣讲项目组的系列创新性研究和成果，显著提高了糖脂代谢紊乱相关心血管疾病患者的救治水平，具有显著社会效益。针对糖脂代谢紊乱患者的疾病发生发展特点和取得的系列创新性成果，参与《中国经皮冠状动脉介入治疗指南（2016）》等10余项共识和指南的编写，对于心血管疾病的治疗具有重要的指导作用。</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951" w:type="dxa"/>
            <w:vAlign w:val="center"/>
          </w:tcPr>
          <w:p>
            <w:pPr>
              <w:spacing w:line="400" w:lineRule="exact"/>
              <w:rPr>
                <w:rFonts w:ascii="仿宋_GB2312" w:hAnsi="仿宋_GB2312" w:eastAsia="仿宋_GB2312" w:cs="仿宋_GB2312"/>
                <w:sz w:val="24"/>
                <w:szCs w:val="24"/>
              </w:rPr>
            </w:pPr>
            <w:r>
              <w:rPr>
                <w:rFonts w:hint="eastAsia" w:ascii="仿宋_GB2312" w:hAnsi="仿宋_GB2312" w:eastAsia="仿宋_GB2312" w:cs="仿宋_GB2312"/>
                <w:sz w:val="24"/>
                <w:szCs w:val="24"/>
              </w:rPr>
              <w:t>中国人民解放军总医院医学创新研究部医院管理研究所</w:t>
            </w:r>
          </w:p>
        </w:tc>
        <w:tc>
          <w:tcPr>
            <w:tcW w:w="1843" w:type="dxa"/>
            <w:vAlign w:val="center"/>
          </w:tcPr>
          <w:p>
            <w:pPr>
              <w:spacing w:line="400" w:lineRule="exact"/>
              <w:rPr>
                <w:rFonts w:ascii="仿宋_GB2312" w:hAnsi="仿宋_GB2312" w:eastAsia="仿宋_GB2312" w:cs="仿宋_GB2312"/>
                <w:sz w:val="24"/>
                <w:szCs w:val="24"/>
              </w:rPr>
            </w:pPr>
            <w:r>
              <w:rPr>
                <w:rFonts w:hint="eastAsia" w:ascii="仿宋_GB2312" w:hAnsi="仿宋_GB2312" w:eastAsia="仿宋_GB2312" w:cs="仿宋_GB2312"/>
                <w:sz w:val="24"/>
                <w:szCs w:val="24"/>
              </w:rPr>
              <w:t>3</w:t>
            </w:r>
          </w:p>
        </w:tc>
        <w:tc>
          <w:tcPr>
            <w:tcW w:w="5245" w:type="dxa"/>
            <w:vAlign w:val="center"/>
          </w:tcPr>
          <w:p>
            <w:pPr>
              <w:spacing w:line="400" w:lineRule="exact"/>
              <w:rPr>
                <w:rFonts w:ascii="仿宋_GB2312" w:hAnsi="仿宋_GB2312" w:eastAsia="仿宋_GB2312" w:cs="仿宋_GB2312"/>
                <w:sz w:val="24"/>
                <w:szCs w:val="24"/>
              </w:rPr>
            </w:pPr>
            <w:r>
              <w:rPr>
                <w:rFonts w:hint="eastAsia" w:ascii="仿宋_GB2312" w:hAnsi="仿宋_GB2312" w:eastAsia="仿宋_GB2312" w:cs="仿宋_GB2312"/>
                <w:sz w:val="24"/>
                <w:szCs w:val="24"/>
              </w:rPr>
              <w:t>针对糖脂代谢紊乱导致心肌损伤的特点，揭示了脂毒性导致心肌细胞内脂质聚集，线粒体形态及功能障碍，心肌细胞不良命运转归的特殊性。创新性发现Adipsin过表达促进脂肪酸β氧化、缩小脂滴尺寸、抑制脂质过氧化，减轻心肌脂毒性，延缓糖脂代谢紊乱心肌损伤进程的具体分子机制。开展系列临床转化研究，参与临床心血管医师培训工作，显著提高了糖脂代谢紊乱相关心血管疾病患者的救治水平，受到了国内外专家学者的高度评价具有显著社会效益。</w:t>
            </w:r>
          </w:p>
        </w:tc>
      </w:tr>
    </w:tbl>
    <w:p>
      <w:pPr>
        <w:ind w:firstLine="640" w:firstLineChars="200"/>
        <w:rPr>
          <w:rFonts w:hint="eastAsia" w:ascii="黑体" w:hAnsi="黑体" w:eastAsia="黑体" w:cs="黑体"/>
          <w:sz w:val="32"/>
        </w:rPr>
      </w:pPr>
      <w:r>
        <w:rPr>
          <w:rFonts w:hint="eastAsia" w:ascii="黑体" w:hAnsi="黑体" w:eastAsia="黑体" w:cs="黑体"/>
          <w:sz w:val="32"/>
        </w:rPr>
        <w:t>四、提名者</w:t>
      </w:r>
    </w:p>
    <w:p>
      <w:pPr>
        <w:spacing w:line="400" w:lineRule="exact"/>
        <w:ind w:firstLine="480" w:firstLineChars="200"/>
        <w:rPr>
          <w:rFonts w:ascii="仿宋_GB2312" w:eastAsia="仿宋_GB2312"/>
          <w:sz w:val="24"/>
        </w:rPr>
      </w:pPr>
      <w:r>
        <w:rPr>
          <w:rFonts w:hint="eastAsia" w:ascii="仿宋_GB2312" w:eastAsia="仿宋_GB2312"/>
          <w:sz w:val="24"/>
        </w:rPr>
        <w:t>陕西省卫生健康委员会</w:t>
      </w:r>
    </w:p>
    <w:p>
      <w:pPr>
        <w:spacing w:line="400" w:lineRule="exact"/>
        <w:ind w:firstLine="640" w:firstLineChars="200"/>
        <w:rPr>
          <w:rFonts w:hint="eastAsia" w:ascii="黑体" w:hAnsi="黑体" w:eastAsia="黑体" w:cs="黑体"/>
          <w:sz w:val="32"/>
        </w:rPr>
      </w:pPr>
      <w:r>
        <w:rPr>
          <w:rFonts w:hint="eastAsia" w:ascii="黑体" w:hAnsi="黑体" w:eastAsia="黑体" w:cs="黑体"/>
          <w:sz w:val="32"/>
        </w:rPr>
        <w:t>五、提名意见</w:t>
      </w:r>
    </w:p>
    <w:p>
      <w:pPr>
        <w:pStyle w:val="2"/>
        <w:spacing w:line="400" w:lineRule="exact"/>
        <w:jc w:val="left"/>
        <w:rPr>
          <w:rFonts w:eastAsia="仿宋_GB2312" w:hAnsiTheme="minorHAnsi"/>
        </w:rPr>
      </w:pPr>
      <w:r>
        <w:rPr>
          <w:rFonts w:hint="eastAsia" w:eastAsia="仿宋_GB2312" w:hAnsiTheme="minorHAnsi"/>
          <w:lang w:val="en-US" w:eastAsia="zh-CN"/>
        </w:rPr>
        <w:t>拟</w:t>
      </w:r>
      <w:r>
        <w:rPr>
          <w:rFonts w:hint="eastAsia" w:eastAsia="仿宋_GB2312" w:hAnsiTheme="minorHAnsi"/>
        </w:rPr>
        <w:t>提名该项目为陕西省科学技术进步奖。</w:t>
      </w:r>
    </w:p>
    <w:p>
      <w:pPr>
        <w:spacing w:line="400" w:lineRule="exact"/>
        <w:ind w:firstLine="640" w:firstLineChars="200"/>
        <w:rPr>
          <w:rFonts w:hint="eastAsia" w:ascii="黑体" w:hAnsi="黑体" w:eastAsia="黑体" w:cs="黑体"/>
          <w:sz w:val="32"/>
        </w:rPr>
      </w:pPr>
      <w:r>
        <w:rPr>
          <w:rFonts w:hint="eastAsia" w:ascii="黑体" w:hAnsi="黑体" w:eastAsia="黑体" w:cs="黑体"/>
          <w:sz w:val="32"/>
        </w:rPr>
        <w:t>六、项目简介</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980" w:hRule="atLeast"/>
        </w:trPr>
        <w:tc>
          <w:tcPr>
            <w:tcW w:w="8897" w:type="dxa"/>
          </w:tcPr>
          <w:p>
            <w:pPr>
              <w:pStyle w:val="2"/>
              <w:spacing w:line="400" w:lineRule="exact"/>
              <w:rPr>
                <w:rFonts w:hAnsi="仿宋_GB2312" w:eastAsia="仿宋_GB2312" w:cs="仿宋_GB2312"/>
                <w:szCs w:val="24"/>
              </w:rPr>
            </w:pPr>
            <w:r>
              <w:rPr>
                <w:rFonts w:hint="eastAsia" w:hAnsi="仿宋_GB2312" w:eastAsia="仿宋_GB2312" w:cs="仿宋_GB2312"/>
                <w:szCs w:val="24"/>
              </w:rPr>
              <w:t>在世界范围内，糖脂代谢紊乱性疾病已成为继癌症、心血管疾病后的第三大类威胁人类健康的非传染性疾病。糖脂代谢紊乱性疾病常导致弥漫且严重的血管及心肌损伤，显著增加心脏主要不良事件风险，给患者、家庭和社会造成沉重负担。目前，糖脂代谢紊乱导致心脏损伤包括血管损伤、心肌损伤等，具体分子机制不明，导致治疗缺乏系统性和针对性。本项目组经过十余年的不懈努力，在20余项国家级、军队级及省部级基金资助下，以“糖脂代谢紊乱导致心脏血管损伤和心肌损伤核心机制”为中心，对糖脂代谢紊乱所致心肌微血管损伤、大血管损伤和心肌损伤的发病机制，评估及救治技术，围术期优化管理综合治疗策略方面开展深入研究，取得如下创新性成果：</w:t>
            </w:r>
          </w:p>
          <w:p>
            <w:pPr>
              <w:pStyle w:val="2"/>
              <w:spacing w:line="400" w:lineRule="exact"/>
              <w:rPr>
                <w:rFonts w:hAnsi="仿宋_GB2312" w:eastAsia="仿宋_GB2312" w:cs="仿宋_GB2312"/>
                <w:szCs w:val="24"/>
              </w:rPr>
            </w:pPr>
            <w:r>
              <w:rPr>
                <w:rFonts w:hint="eastAsia" w:hAnsi="仿宋_GB2312" w:eastAsia="仿宋_GB2312" w:cs="仿宋_GB2312"/>
                <w:szCs w:val="24"/>
              </w:rPr>
              <w:t>1. 揭示糖脂代谢紊乱导致的心肌微血管损伤及大血管损伤的差异分子机制，确立了以Adipsin为核心的糖脂代谢紊乱性血管损伤的治疗新靶点。</w:t>
            </w:r>
          </w:p>
          <w:p>
            <w:pPr>
              <w:pStyle w:val="2"/>
              <w:spacing w:line="400" w:lineRule="exact"/>
              <w:rPr>
                <w:rFonts w:hAnsi="仿宋_GB2312" w:eastAsia="仿宋_GB2312" w:cs="仿宋_GB2312"/>
                <w:szCs w:val="24"/>
              </w:rPr>
            </w:pPr>
            <w:r>
              <w:rPr>
                <w:rFonts w:hint="eastAsia" w:hAnsi="仿宋_GB2312" w:eastAsia="仿宋_GB2312" w:cs="仿宋_GB2312"/>
                <w:szCs w:val="24"/>
              </w:rPr>
              <w:t>2. 从转录调控、细胞器损伤和心肌微环境损伤等多个层面，阐明糖脂代谢紊乱导致心肌损伤的新机制。</w:t>
            </w:r>
          </w:p>
          <w:p>
            <w:pPr>
              <w:pStyle w:val="2"/>
              <w:spacing w:line="400" w:lineRule="exact"/>
              <w:rPr>
                <w:rFonts w:hAnsi="仿宋_GB2312" w:eastAsia="仿宋_GB2312" w:cs="仿宋_GB2312"/>
                <w:szCs w:val="24"/>
              </w:rPr>
            </w:pPr>
            <w:r>
              <w:rPr>
                <w:rFonts w:hint="eastAsia" w:hAnsi="仿宋_GB2312" w:eastAsia="仿宋_GB2312" w:cs="仿宋_GB2312"/>
                <w:szCs w:val="24"/>
              </w:rPr>
              <w:t>3.建立糖脂代谢紊乱相关心血管疾病围术期优化管理综合治疗策略。针对糖脂代谢紊乱相关心血管疾病的发病机制及临床特点，从术前评估，术中介入治疗术式及围术期管理层面，取得了系列创新，并在临床上推广应用。</w:t>
            </w:r>
          </w:p>
          <w:p>
            <w:pPr>
              <w:pStyle w:val="2"/>
              <w:spacing w:line="400" w:lineRule="exact"/>
              <w:rPr>
                <w:rFonts w:hAnsi="仿宋_GB2312" w:eastAsia="仿宋_GB2312" w:cs="仿宋_GB2312"/>
                <w:sz w:val="28"/>
              </w:rPr>
            </w:pPr>
            <w:r>
              <w:rPr>
                <w:rFonts w:hint="eastAsia" w:hAnsi="仿宋_GB2312" w:eastAsia="仿宋_GB2312" w:cs="仿宋_GB2312"/>
                <w:szCs w:val="24"/>
              </w:rPr>
              <w:t>综上所述，项目组围绕糖脂代谢紊乱心脏血管损伤和心肌损伤的发病及进展机制，开展系列创新性研究和临床转化，为糖脂代谢紊乱相关心血管疾病提供了多维度、多层次的治疗策略，并提出了多项具有创新性和针对性的治疗方案，显著提升了糖脂代谢紊乱相关心血管疾病的治疗效果和长期预后。研究成果写入《中国经皮冠状动脉介入治疗指南（2016）》等10余项共识和指南，主编《心脏疾病诊疗学》等6部、主译2部专著。发表论文 66 篇，其中 SCI 论文 39 篇，中文论文 27 篇，其中发表于影响因子（IF）&gt;20 的杂志 1 篇，影响因子（IF）&gt;10 的杂志 5 篇。培养国家自然科学基金-优秀青年科学基金获得者1名。研究成果受邀在第61届诺贝尔奖获得者大会做专题发言。研究成果被国内20余家单位推广应用5年，累及服务患者2万余人。项目组编写了国内唯一复杂冠脉介入多媒体系列教材 3 部，建立了对外开放的全球最大规模介入并发症病例学习库。举办各类学习和培训班 56 次，培训临床心血管医师 5000 余人次。项目组的系列创新性研究和成果，显著提高了糖脂代谢紊乱相关心血管疾病患者的救治水平，受到了国内外专家学者的高度评价，具有显著社会效益。</w:t>
            </w:r>
          </w:p>
        </w:tc>
      </w:tr>
    </w:tbl>
    <w:p>
      <w:pPr>
        <w:pStyle w:val="8"/>
        <w:ind w:left="420" w:firstLine="0" w:firstLineChars="0"/>
        <w:rPr>
          <w:rFonts w:ascii="仿宋_GB2312" w:eastAsia="仿宋_GB2312"/>
          <w:sz w:val="32"/>
        </w:rPr>
      </w:pPr>
    </w:p>
    <w:p>
      <w:pPr>
        <w:ind w:firstLine="640" w:firstLineChars="200"/>
        <w:rPr>
          <w:rFonts w:hint="eastAsia" w:ascii="黑体" w:hAnsi="黑体" w:eastAsia="黑体" w:cs="黑体"/>
          <w:sz w:val="32"/>
        </w:rPr>
      </w:pPr>
      <w:r>
        <w:rPr>
          <w:rFonts w:hint="eastAsia" w:ascii="黑体" w:hAnsi="黑体" w:eastAsia="黑体" w:cs="黑体"/>
          <w:sz w:val="32"/>
        </w:rPr>
        <w:t>七、客观评价</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2983" w:hRule="atLeast"/>
        </w:trPr>
        <w:tc>
          <w:tcPr>
            <w:tcW w:w="8897" w:type="dxa"/>
          </w:tcPr>
          <w:p>
            <w:pPr>
              <w:pStyle w:val="2"/>
              <w:spacing w:line="400" w:lineRule="exact"/>
              <w:rPr>
                <w:rFonts w:hAnsi="仿宋_GB2312" w:eastAsia="仿宋_GB2312" w:cs="仿宋_GB2312"/>
              </w:rPr>
            </w:pPr>
            <w:r>
              <w:rPr>
                <w:rFonts w:hint="eastAsia" w:hAnsi="仿宋_GB2312" w:eastAsia="仿宋_GB2312" w:cs="仿宋_GB2312"/>
                <w:b/>
                <w:bCs/>
              </w:rPr>
              <w:t>1. 项目查新报告</w:t>
            </w:r>
            <w:r>
              <w:rPr>
                <w:rFonts w:hint="eastAsia" w:hAnsi="仿宋_GB2312" w:eastAsia="仿宋_GB2312" w:cs="仿宋_GB2312"/>
              </w:rPr>
              <w:t>（见附件 2-3）</w:t>
            </w:r>
          </w:p>
          <w:p>
            <w:pPr>
              <w:pStyle w:val="2"/>
              <w:spacing w:line="400" w:lineRule="exact"/>
              <w:rPr>
                <w:rFonts w:hAnsi="仿宋_GB2312" w:eastAsia="仿宋_GB2312" w:cs="仿宋_GB2312"/>
              </w:rPr>
            </w:pPr>
            <w:r>
              <w:rPr>
                <w:rFonts w:hint="eastAsia" w:hAnsi="仿宋_GB2312" w:eastAsia="仿宋_GB2312" w:cs="仿宋_GB2312"/>
              </w:rPr>
              <w:t>综合国内外相关文献并委托西安近代化学研究所进行对比分析，得出以下结论：国内外未见与本项目创新点内容相同的文献报道。</w:t>
            </w:r>
          </w:p>
          <w:p>
            <w:pPr>
              <w:pStyle w:val="2"/>
              <w:spacing w:line="400" w:lineRule="exact"/>
              <w:rPr>
                <w:rFonts w:hAnsi="仿宋_GB2312" w:eastAsia="仿宋_GB2312" w:cs="仿宋_GB2312"/>
              </w:rPr>
            </w:pPr>
            <w:r>
              <w:rPr>
                <w:rFonts w:hint="eastAsia" w:hAnsi="仿宋_GB2312" w:eastAsia="仿宋_GB2312" w:cs="仿宋_GB2312"/>
                <w:b/>
                <w:bCs/>
              </w:rPr>
              <w:t>2. 研究成果的学术性客观评价</w:t>
            </w:r>
            <w:r>
              <w:rPr>
                <w:rFonts w:hint="eastAsia" w:hAnsi="仿宋_GB2312" w:eastAsia="仿宋_GB2312" w:cs="仿宋_GB2312"/>
              </w:rPr>
              <w:t>（见附件2-4）</w:t>
            </w:r>
          </w:p>
          <w:p>
            <w:pPr>
              <w:pStyle w:val="2"/>
              <w:spacing w:line="400" w:lineRule="exact"/>
              <w:rPr>
                <w:rFonts w:hAnsi="仿宋_GB2312" w:eastAsia="仿宋_GB2312" w:cs="仿宋_GB2312"/>
              </w:rPr>
            </w:pPr>
            <w:r>
              <w:rPr>
                <w:rFonts w:hint="eastAsia" w:hAnsi="仿宋_GB2312" w:eastAsia="仿宋_GB2312" w:cs="仿宋_GB2312"/>
              </w:rPr>
              <w:t>2.1 国际权威心血管和内分泌研究专家Gaetano Santulli教授及其团队在《Military Medical Research》(IF=21.1)杂志撰写评述性文章，指出我们的工作（Jiang et al., Mil Med Res，2023）阐明了DCM病理生理改变过程中的新机制，揭示了一种改善线粒体功能障碍的潜在方法，验证了靶向脂质蓄积以缓解心肌功能障碍和恢复线粒体结构方面具有潜在的治疗前景。</w:t>
            </w:r>
          </w:p>
          <w:p>
            <w:pPr>
              <w:pStyle w:val="2"/>
              <w:spacing w:line="400" w:lineRule="exact"/>
              <w:rPr>
                <w:rFonts w:hAnsi="仿宋_GB2312" w:eastAsia="仿宋_GB2312" w:cs="仿宋_GB2312"/>
              </w:rPr>
            </w:pPr>
            <w:r>
              <w:rPr>
                <w:rFonts w:hint="eastAsia" w:hAnsi="仿宋_GB2312" w:eastAsia="仿宋_GB2312" w:cs="仿宋_GB2312"/>
              </w:rPr>
              <w:t>2.2 美国田纳西州纳什维尔范德比尔特大学医学中心Joseph J. Schlesinger教授在《Military Medical Research》(IF=21.1) 杂志撰写评述性文章，评价我们的工作（Jiang et al., Mil Med Res，2023）首次揭示了在DCM中Adipsin减少了心肌线粒体嵴损伤并改善了线粒体适应性，有望成为减轻糖尿病心肌病中心肌脂肪酸代谢受损的新靶点。</w:t>
            </w:r>
          </w:p>
          <w:p>
            <w:pPr>
              <w:pStyle w:val="2"/>
              <w:spacing w:line="400" w:lineRule="exact"/>
              <w:rPr>
                <w:rFonts w:hAnsi="仿宋_GB2312" w:eastAsia="仿宋_GB2312" w:cs="仿宋_GB2312"/>
              </w:rPr>
            </w:pPr>
            <w:r>
              <w:rPr>
                <w:rFonts w:hint="eastAsia" w:hAnsi="仿宋_GB2312" w:eastAsia="仿宋_GB2312" w:cs="仿宋_GB2312"/>
                <w:b/>
                <w:bCs/>
              </w:rPr>
              <w:t>3. 本项目获科技学术奖励及国际主流学术会议受邀报告</w:t>
            </w:r>
            <w:r>
              <w:rPr>
                <w:rFonts w:hint="eastAsia" w:hAnsi="仿宋_GB2312" w:eastAsia="仿宋_GB2312" w:cs="仿宋_GB2312"/>
              </w:rPr>
              <w:t xml:space="preserve">（见附件2-5） </w:t>
            </w:r>
          </w:p>
          <w:p>
            <w:pPr>
              <w:pStyle w:val="2"/>
              <w:spacing w:line="400" w:lineRule="exact"/>
              <w:rPr>
                <w:rFonts w:hAnsi="仿宋_GB2312" w:eastAsia="仿宋_GB2312" w:cs="仿宋_GB2312"/>
              </w:rPr>
            </w:pPr>
            <w:r>
              <w:rPr>
                <w:rFonts w:hint="eastAsia" w:hAnsi="仿宋_GB2312" w:eastAsia="仿宋_GB2312" w:cs="仿宋_GB2312"/>
              </w:rPr>
              <w:t>本项目研究成果获陕西省特支计划-青年拔尖人才（2020），陕西省青年科技新星（2017），CIT青年医师研究奖（2013）、第五届西安青年科技人才奖（2016）、国家优秀青年科学基金（2020）等奖励和荣誉。受邀</w:t>
            </w:r>
            <w:r>
              <w:rPr>
                <w:rFonts w:hint="eastAsia" w:hAnsi="仿宋_GB2312" w:eastAsia="仿宋_GB2312" w:cs="仿宋_GB2312"/>
                <w:color w:val="000000"/>
              </w:rPr>
              <w:t>在国际、国内共发言交流</w:t>
            </w:r>
            <w:r>
              <w:rPr>
                <w:rFonts w:hint="eastAsia" w:hAnsi="仿宋_GB2312" w:eastAsia="仿宋_GB2312" w:cs="仿宋_GB2312"/>
              </w:rPr>
              <w:t xml:space="preserve">86次，其中在第61届诺贝尔奖获得者大会、西安国际心血管病论坛、Mayo Clinic心血管病学新进展研讨会、西京国际复杂冠脉病变介入治疗演示及研讨会、CCIT青年医师论坛发言26次，获得国内外同行高度认可。 </w:t>
            </w:r>
          </w:p>
          <w:p>
            <w:pPr>
              <w:pStyle w:val="2"/>
              <w:spacing w:line="400" w:lineRule="exact"/>
              <w:rPr>
                <w:rFonts w:hAnsi="仿宋_GB2312" w:eastAsia="仿宋_GB2312" w:cs="仿宋_GB2312"/>
              </w:rPr>
            </w:pPr>
            <w:r>
              <w:rPr>
                <w:rFonts w:hint="eastAsia" w:hAnsi="仿宋_GB2312" w:eastAsia="仿宋_GB2312" w:cs="仿宋_GB2312"/>
                <w:b/>
                <w:bCs/>
              </w:rPr>
              <w:t>4. 应用单位评价</w:t>
            </w:r>
            <w:r>
              <w:rPr>
                <w:rFonts w:hint="eastAsia" w:hAnsi="仿宋_GB2312" w:eastAsia="仿宋_GB2312" w:cs="仿宋_GB2312"/>
              </w:rPr>
              <w:t xml:space="preserve">（见附件1-2；附件2-1） </w:t>
            </w:r>
          </w:p>
          <w:p>
            <w:pPr>
              <w:pStyle w:val="2"/>
              <w:spacing w:line="400" w:lineRule="exact"/>
              <w:rPr>
                <w:rFonts w:hAnsi="仿宋_GB2312" w:eastAsia="仿宋_GB2312" w:cs="仿宋_GB2312"/>
                <w:sz w:val="21"/>
              </w:rPr>
            </w:pPr>
            <w:r>
              <w:rPr>
                <w:rFonts w:hint="eastAsia" w:hAnsi="仿宋_GB2312" w:eastAsia="仿宋_GB2312" w:cs="仿宋_GB2312"/>
              </w:rPr>
              <w:t>本项目研究和临床治疗成果已通过教学系列丛书、专家共识、学术会议、各类学习班/培训班、基层大讲堂等多种形式进行广泛推广，</w:t>
            </w:r>
            <w:r>
              <w:rPr>
                <w:rFonts w:hint="eastAsia" w:hAnsi="仿宋_GB2312" w:eastAsia="仿宋_GB2312" w:cs="仿宋_GB2312"/>
                <w:color w:val="000000"/>
              </w:rPr>
              <w:t>提高了全国心血管内科医生对糖脂代谢紊乱相关心血管疾病的认识和临床治疗水平；并且所研发的新技术已在全国</w:t>
            </w:r>
            <w:r>
              <w:rPr>
                <w:rFonts w:hint="eastAsia" w:hAnsi="仿宋_GB2312" w:eastAsia="仿宋_GB2312" w:cs="仿宋_GB2312"/>
              </w:rPr>
              <w:t>20余家</w:t>
            </w:r>
            <w:r>
              <w:rPr>
                <w:rFonts w:hint="eastAsia" w:hAnsi="仿宋_GB2312" w:eastAsia="仿宋_GB2312" w:cs="仿宋_GB2312"/>
                <w:color w:val="000000"/>
              </w:rPr>
              <w:t>医院成功应用，显著提高了患者的治疗效果，同时也提高了治疗效率，降低医院、患者医疗成本。</w:t>
            </w:r>
          </w:p>
        </w:tc>
      </w:tr>
    </w:tbl>
    <w:p>
      <w:pPr>
        <w:ind w:firstLine="640" w:firstLineChars="200"/>
        <w:rPr>
          <w:rFonts w:hint="eastAsia" w:ascii="黑体" w:hAnsi="黑体" w:eastAsia="黑体" w:cs="黑体"/>
          <w:sz w:val="32"/>
        </w:rPr>
      </w:pPr>
      <w:r>
        <w:rPr>
          <w:rFonts w:hint="eastAsia" w:ascii="黑体" w:hAnsi="黑体" w:eastAsia="黑体" w:cs="黑体"/>
          <w:sz w:val="32"/>
        </w:rPr>
        <w:t>八、应用情况</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88" w:hRule="atLeast"/>
        </w:trPr>
        <w:tc>
          <w:tcPr>
            <w:tcW w:w="8897" w:type="dxa"/>
          </w:tcPr>
          <w:p>
            <w:pPr>
              <w:pStyle w:val="2"/>
              <w:spacing w:line="400" w:lineRule="exact"/>
              <w:ind w:firstLine="0" w:firstLineChars="0"/>
              <w:outlineLvl w:val="2"/>
              <w:rPr>
                <w:rFonts w:hAnsi="仿宋_GB2312" w:eastAsia="仿宋_GB2312" w:cs="仿宋_GB2312"/>
              </w:rPr>
            </w:pPr>
            <w:r>
              <w:rPr>
                <w:rFonts w:hint="eastAsia" w:hAnsi="仿宋_GB2312" w:eastAsia="仿宋_GB2312" w:cs="仿宋_GB2312"/>
                <w:b/>
                <w:bCs/>
              </w:rPr>
              <w:t>1．应用情况</w:t>
            </w:r>
            <w:r>
              <w:rPr>
                <w:rFonts w:hint="eastAsia" w:hAnsi="仿宋_GB2312" w:eastAsia="仿宋_GB2312" w:cs="仿宋_GB2312"/>
              </w:rPr>
              <w:t>（限2页）</w:t>
            </w:r>
          </w:p>
          <w:p>
            <w:pPr>
              <w:pStyle w:val="2"/>
              <w:spacing w:line="400" w:lineRule="exact"/>
              <w:outlineLvl w:val="2"/>
              <w:rPr>
                <w:rFonts w:hAnsi="仿宋_GB2312" w:eastAsia="仿宋_GB2312" w:cs="仿宋_GB2312"/>
              </w:rPr>
            </w:pPr>
            <w:r>
              <w:rPr>
                <w:rFonts w:hint="eastAsia" w:hAnsi="仿宋_GB2312" w:eastAsia="仿宋_GB2312" w:cs="仿宋_GB2312"/>
              </w:rPr>
              <w:t>该项目聚焦于糖脂代谢紊乱对心血管系统健康影响的深度解析，以及创新性治疗策略的开发。通过投建模式动物模型、详实的疾病队列数据与尖端的手术技术创新，全面揭示了心血管系统内部各细胞类型及疾病进程中的损伤机制。阐明了代谢微环境失衡如何加剧心血管级联式损伤，进而发现糖脂代谢紊乱诱发的心血管损伤治疗新靶点与作用机制，为后续的临床转化奠定了坚实的理论基石。（见附件 2-1）</w:t>
            </w:r>
          </w:p>
          <w:p>
            <w:pPr>
              <w:pStyle w:val="2"/>
              <w:spacing w:line="400" w:lineRule="exact"/>
              <w:outlineLvl w:val="2"/>
              <w:rPr>
                <w:rFonts w:hAnsi="仿宋_GB2312" w:eastAsia="仿宋_GB2312" w:cs="仿宋_GB2312"/>
                <w:bCs/>
                <w:color w:val="FF0000"/>
              </w:rPr>
            </w:pPr>
            <w:r>
              <w:rPr>
                <w:rFonts w:hint="eastAsia" w:hAnsi="仿宋_GB2312" w:eastAsia="仿宋_GB2312" w:cs="仿宋_GB2312"/>
              </w:rPr>
              <w:t>基于上述基础研究成果，项目团队致力于探索并优化糖脂代谢紊乱相关心血管疾病的临床治疗方案，以期提升患者治疗效果与长期生活质量。团队发现Nicorandil作为一种潜在的治疗利器，能够显著缩小梗死面积，提升左心室功能，增强患者体力活动能力与心绞痛稳定性。此外，项目组还开发了一种针对冠状动脉分叉病变的新型支架技术，该技术结合精准定位与药物球囊辅助，有效降低再狭窄风险，优化血流动力学状态。（见附件 1-2；附件 2-1）</w:t>
            </w:r>
          </w:p>
          <w:p>
            <w:pPr>
              <w:pStyle w:val="2"/>
              <w:spacing w:line="400" w:lineRule="exact"/>
              <w:outlineLvl w:val="2"/>
              <w:rPr>
                <w:rFonts w:hAnsi="仿宋_GB2312" w:eastAsia="仿宋_GB2312" w:cs="仿宋_GB2312"/>
              </w:rPr>
            </w:pPr>
            <w:r>
              <w:rPr>
                <w:rFonts w:hint="eastAsia" w:hAnsi="仿宋_GB2312" w:eastAsia="仿宋_GB2312" w:cs="仿宋_GB2312"/>
              </w:rPr>
              <w:t>综上所述，本项目通过深入的基础研究与创新的临床转化，为糖脂代谢紊乱相关心血管疾病提供了多维度、多层次的治疗策略，有力推动了心血管医学领域的发展与进步。</w:t>
            </w:r>
          </w:p>
          <w:p>
            <w:pPr>
              <w:pStyle w:val="2"/>
              <w:spacing w:line="400" w:lineRule="exact"/>
              <w:ind w:firstLine="0" w:firstLineChars="0"/>
              <w:outlineLvl w:val="2"/>
              <w:rPr>
                <w:rFonts w:hAnsi="仿宋_GB2312" w:eastAsia="仿宋_GB2312" w:cs="仿宋_GB2312"/>
                <w:b/>
                <w:bCs/>
              </w:rPr>
            </w:pPr>
          </w:p>
          <w:p>
            <w:pPr>
              <w:pStyle w:val="2"/>
              <w:spacing w:line="400" w:lineRule="exact"/>
              <w:ind w:firstLine="0" w:firstLineChars="0"/>
              <w:outlineLvl w:val="2"/>
              <w:rPr>
                <w:rFonts w:hAnsi="仿宋_GB2312" w:eastAsia="仿宋_GB2312" w:cs="仿宋_GB2312"/>
                <w:b/>
                <w:bCs/>
              </w:rPr>
            </w:pPr>
          </w:p>
          <w:p>
            <w:pPr>
              <w:pStyle w:val="2"/>
              <w:spacing w:line="400" w:lineRule="exact"/>
              <w:ind w:firstLine="0" w:firstLineChars="0"/>
              <w:outlineLvl w:val="2"/>
              <w:rPr>
                <w:rFonts w:hAnsi="仿宋_GB2312" w:eastAsia="仿宋_GB2312" w:cs="仿宋_GB2312"/>
                <w:b/>
                <w:bCs/>
              </w:rPr>
            </w:pPr>
          </w:p>
          <w:p>
            <w:pPr>
              <w:pStyle w:val="2"/>
              <w:spacing w:line="400" w:lineRule="exact"/>
              <w:jc w:val="center"/>
              <w:outlineLvl w:val="2"/>
              <w:rPr>
                <w:rFonts w:hAnsi="仿宋_GB2312" w:eastAsia="仿宋_GB2312" w:cs="仿宋_GB2312"/>
                <w:b/>
                <w:bCs/>
              </w:rPr>
            </w:pPr>
            <w:r>
              <w:rPr>
                <w:rFonts w:hint="eastAsia" w:hAnsi="仿宋_GB2312" w:eastAsia="仿宋_GB2312" w:cs="仿宋_GB2312"/>
                <w:b/>
                <w:bCs/>
              </w:rPr>
              <w:t>主要应用单位情况</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6"/>
              <w:gridCol w:w="2166"/>
              <w:gridCol w:w="2167"/>
              <w:gridCol w:w="21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6" w:type="dxa"/>
                </w:tcPr>
                <w:p>
                  <w:pPr>
                    <w:pStyle w:val="2"/>
                    <w:spacing w:before="240" w:line="400" w:lineRule="exact"/>
                    <w:ind w:firstLine="0" w:firstLineChars="0"/>
                    <w:jc w:val="center"/>
                    <w:outlineLvl w:val="2"/>
                    <w:rPr>
                      <w:rFonts w:hAnsi="仿宋_GB2312" w:eastAsia="仿宋_GB2312" w:cs="仿宋_GB2312"/>
                      <w:b/>
                      <w:sz w:val="22"/>
                      <w:szCs w:val="21"/>
                    </w:rPr>
                  </w:pPr>
                  <w:r>
                    <w:rPr>
                      <w:rFonts w:hint="eastAsia" w:hAnsi="仿宋_GB2312" w:eastAsia="仿宋_GB2312" w:cs="仿宋_GB2312"/>
                      <w:b/>
                      <w:sz w:val="22"/>
                      <w:szCs w:val="21"/>
                    </w:rPr>
                    <w:t>应用单位</w:t>
                  </w:r>
                </w:p>
              </w:tc>
              <w:tc>
                <w:tcPr>
                  <w:tcW w:w="2166" w:type="dxa"/>
                </w:tcPr>
                <w:p>
                  <w:pPr>
                    <w:pStyle w:val="2"/>
                    <w:spacing w:before="240" w:line="400" w:lineRule="exact"/>
                    <w:ind w:firstLine="0" w:firstLineChars="0"/>
                    <w:jc w:val="center"/>
                    <w:outlineLvl w:val="2"/>
                    <w:rPr>
                      <w:rFonts w:hAnsi="仿宋_GB2312" w:eastAsia="仿宋_GB2312" w:cs="仿宋_GB2312"/>
                      <w:b/>
                      <w:sz w:val="22"/>
                      <w:szCs w:val="21"/>
                    </w:rPr>
                  </w:pPr>
                  <w:r>
                    <w:rPr>
                      <w:rFonts w:hint="eastAsia" w:hAnsi="仿宋_GB2312" w:eastAsia="仿宋_GB2312" w:cs="仿宋_GB2312"/>
                      <w:b/>
                      <w:sz w:val="22"/>
                      <w:szCs w:val="21"/>
                    </w:rPr>
                    <w:t>应用技术</w:t>
                  </w:r>
                </w:p>
              </w:tc>
              <w:tc>
                <w:tcPr>
                  <w:tcW w:w="2167" w:type="dxa"/>
                </w:tcPr>
                <w:p>
                  <w:pPr>
                    <w:pStyle w:val="2"/>
                    <w:spacing w:before="240" w:line="400" w:lineRule="exact"/>
                    <w:ind w:firstLine="0" w:firstLineChars="0"/>
                    <w:jc w:val="center"/>
                    <w:outlineLvl w:val="2"/>
                    <w:rPr>
                      <w:rFonts w:hAnsi="仿宋_GB2312" w:eastAsia="仿宋_GB2312" w:cs="仿宋_GB2312"/>
                      <w:b/>
                      <w:sz w:val="22"/>
                      <w:szCs w:val="21"/>
                    </w:rPr>
                  </w:pPr>
                  <w:r>
                    <w:rPr>
                      <w:rFonts w:hint="eastAsia" w:hAnsi="仿宋_GB2312" w:eastAsia="仿宋_GB2312" w:cs="仿宋_GB2312"/>
                      <w:b/>
                      <w:sz w:val="22"/>
                      <w:szCs w:val="21"/>
                    </w:rPr>
                    <w:t>应用起止时间</w:t>
                  </w:r>
                </w:p>
              </w:tc>
              <w:tc>
                <w:tcPr>
                  <w:tcW w:w="2167" w:type="dxa"/>
                </w:tcPr>
                <w:p>
                  <w:pPr>
                    <w:pStyle w:val="2"/>
                    <w:spacing w:line="400" w:lineRule="exact"/>
                    <w:ind w:firstLine="0" w:firstLineChars="0"/>
                    <w:jc w:val="center"/>
                    <w:outlineLvl w:val="2"/>
                    <w:rPr>
                      <w:rFonts w:hAnsi="仿宋_GB2312" w:eastAsia="仿宋_GB2312" w:cs="仿宋_GB2312"/>
                      <w:b/>
                      <w:sz w:val="22"/>
                      <w:szCs w:val="21"/>
                    </w:rPr>
                  </w:pPr>
                  <w:r>
                    <w:rPr>
                      <w:rFonts w:hint="eastAsia" w:hAnsi="仿宋_GB2312" w:eastAsia="仿宋_GB2312" w:cs="仿宋_GB2312"/>
                      <w:b/>
                      <w:sz w:val="22"/>
                      <w:szCs w:val="21"/>
                    </w:rPr>
                    <w:t>应用单位</w:t>
                  </w:r>
                </w:p>
                <w:p>
                  <w:pPr>
                    <w:pStyle w:val="2"/>
                    <w:spacing w:line="400" w:lineRule="exact"/>
                    <w:ind w:firstLine="0" w:firstLineChars="0"/>
                    <w:jc w:val="center"/>
                    <w:outlineLvl w:val="2"/>
                    <w:rPr>
                      <w:rFonts w:hAnsi="仿宋_GB2312" w:eastAsia="仿宋_GB2312" w:cs="仿宋_GB2312"/>
                      <w:b/>
                      <w:sz w:val="22"/>
                      <w:szCs w:val="21"/>
                    </w:rPr>
                  </w:pPr>
                  <w:r>
                    <w:rPr>
                      <w:rFonts w:hint="eastAsia" w:hAnsi="仿宋_GB2312" w:eastAsia="仿宋_GB2312" w:cs="仿宋_GB2312"/>
                      <w:b/>
                      <w:sz w:val="22"/>
                      <w:szCs w:val="21"/>
                    </w:rPr>
                    <w:t>联系人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65" w:hRule="atLeast"/>
              </w:trPr>
              <w:tc>
                <w:tcPr>
                  <w:tcW w:w="2166" w:type="dxa"/>
                  <w:vAlign w:val="center"/>
                </w:tcPr>
                <w:p>
                  <w:pPr>
                    <w:pStyle w:val="2"/>
                    <w:spacing w:line="400" w:lineRule="exact"/>
                    <w:ind w:firstLine="0" w:firstLineChars="0"/>
                    <w:outlineLvl w:val="2"/>
                    <w:rPr>
                      <w:rFonts w:hAnsi="仿宋_GB2312" w:eastAsia="仿宋_GB2312" w:cs="仿宋_GB2312"/>
                      <w:bCs/>
                    </w:rPr>
                  </w:pPr>
                  <w:r>
                    <w:rPr>
                      <w:rFonts w:hint="eastAsia" w:hAnsi="仿宋_GB2312" w:eastAsia="仿宋_GB2312" w:cs="仿宋_GB2312"/>
                      <w:bCs/>
                    </w:rPr>
                    <w:t>中国人民解放军空军军医大学</w:t>
                  </w:r>
                </w:p>
              </w:tc>
              <w:tc>
                <w:tcPr>
                  <w:tcW w:w="2166" w:type="dxa"/>
                  <w:vAlign w:val="center"/>
                </w:tcPr>
                <w:p>
                  <w:pPr>
                    <w:pStyle w:val="2"/>
                    <w:spacing w:line="400" w:lineRule="exact"/>
                    <w:ind w:firstLine="0" w:firstLineChars="0"/>
                    <w:outlineLvl w:val="2"/>
                    <w:rPr>
                      <w:rFonts w:hAnsi="仿宋_GB2312" w:eastAsia="仿宋_GB2312" w:cs="仿宋_GB2312"/>
                      <w:bCs/>
                    </w:rPr>
                  </w:pPr>
                  <w:r>
                    <w:rPr>
                      <w:rFonts w:hint="eastAsia" w:hAnsi="仿宋_GB2312" w:eastAsia="仿宋_GB2312" w:cs="仿宋_GB2312"/>
                      <w:bCs/>
                    </w:rPr>
                    <w:t>糖脂代谢紊乱相关心血管疾病关键分子机制与靶向治疗策略</w:t>
                  </w:r>
                </w:p>
              </w:tc>
              <w:tc>
                <w:tcPr>
                  <w:tcW w:w="2167" w:type="dxa"/>
                  <w:vAlign w:val="center"/>
                </w:tcPr>
                <w:p>
                  <w:pPr>
                    <w:pStyle w:val="2"/>
                    <w:spacing w:line="400" w:lineRule="exact"/>
                    <w:ind w:firstLine="0" w:firstLineChars="0"/>
                    <w:outlineLvl w:val="2"/>
                    <w:rPr>
                      <w:rFonts w:hAnsi="仿宋_GB2312" w:eastAsia="仿宋_GB2312" w:cs="仿宋_GB2312"/>
                      <w:bCs/>
                    </w:rPr>
                  </w:pPr>
                  <w:r>
                    <w:rPr>
                      <w:rFonts w:hint="eastAsia" w:hAnsi="仿宋_GB2312" w:eastAsia="仿宋_GB2312" w:cs="仿宋_GB2312"/>
                      <w:bCs/>
                    </w:rPr>
                    <w:t>2011年1月至2024年</w:t>
                  </w:r>
                </w:p>
              </w:tc>
              <w:tc>
                <w:tcPr>
                  <w:tcW w:w="2167" w:type="dxa"/>
                  <w:vAlign w:val="center"/>
                </w:tcPr>
                <w:p>
                  <w:pPr>
                    <w:pStyle w:val="2"/>
                    <w:spacing w:line="400" w:lineRule="exact"/>
                    <w:ind w:firstLine="0" w:firstLineChars="0"/>
                    <w:outlineLvl w:val="2"/>
                    <w:rPr>
                      <w:rFonts w:hAnsi="仿宋_GB2312" w:eastAsia="仿宋_GB2312" w:cs="仿宋_GB2312"/>
                      <w:bCs/>
                    </w:rPr>
                  </w:pPr>
                  <w:r>
                    <w:rPr>
                      <w:rFonts w:hint="eastAsia" w:hAnsi="仿宋_GB2312" w:eastAsia="仿宋_GB2312" w:cs="仿宋_GB2312"/>
                      <w:bCs/>
                    </w:rPr>
                    <w:t>孙冬冬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6" w:type="dxa"/>
                  <w:vAlign w:val="center"/>
                </w:tcPr>
                <w:p>
                  <w:pPr>
                    <w:pStyle w:val="2"/>
                    <w:spacing w:line="400" w:lineRule="exact"/>
                    <w:ind w:firstLine="0" w:firstLineChars="0"/>
                    <w:outlineLvl w:val="2"/>
                    <w:rPr>
                      <w:rFonts w:hAnsi="仿宋_GB2312" w:eastAsia="仿宋_GB2312" w:cs="仿宋_GB2312"/>
                      <w:bCs/>
                    </w:rPr>
                  </w:pPr>
                  <w:r>
                    <w:rPr>
                      <w:rFonts w:hint="eastAsia" w:hAnsi="仿宋_GB2312" w:eastAsia="仿宋_GB2312" w:cs="仿宋_GB2312"/>
                      <w:bCs/>
                    </w:rPr>
                    <w:t>西安国际医学中心</w:t>
                  </w:r>
                </w:p>
              </w:tc>
              <w:tc>
                <w:tcPr>
                  <w:tcW w:w="2166" w:type="dxa"/>
                  <w:vAlign w:val="center"/>
                </w:tcPr>
                <w:p>
                  <w:pPr>
                    <w:pStyle w:val="2"/>
                    <w:spacing w:line="400" w:lineRule="exact"/>
                    <w:ind w:firstLine="0" w:firstLineChars="0"/>
                    <w:outlineLvl w:val="2"/>
                    <w:rPr>
                      <w:rFonts w:hAnsi="仿宋_GB2312" w:eastAsia="仿宋_GB2312" w:cs="仿宋_GB2312"/>
                      <w:bCs/>
                    </w:rPr>
                  </w:pPr>
                  <w:r>
                    <w:rPr>
                      <w:rFonts w:hint="eastAsia" w:hAnsi="仿宋_GB2312" w:eastAsia="仿宋_GB2312" w:cs="仿宋_GB2312"/>
                      <w:bCs/>
                    </w:rPr>
                    <w:t>糖脂代谢紊乱相关心血管疾病关键分子机制与靶向治疗策略</w:t>
                  </w:r>
                </w:p>
              </w:tc>
              <w:tc>
                <w:tcPr>
                  <w:tcW w:w="2167" w:type="dxa"/>
                  <w:vAlign w:val="center"/>
                </w:tcPr>
                <w:p>
                  <w:pPr>
                    <w:pStyle w:val="2"/>
                    <w:spacing w:line="400" w:lineRule="exact"/>
                    <w:ind w:firstLine="0" w:firstLineChars="0"/>
                    <w:outlineLvl w:val="2"/>
                    <w:rPr>
                      <w:rFonts w:hAnsi="仿宋_GB2312" w:eastAsia="仿宋_GB2312" w:cs="仿宋_GB2312"/>
                      <w:bCs/>
                    </w:rPr>
                  </w:pPr>
                  <w:r>
                    <w:rPr>
                      <w:rFonts w:hint="eastAsia" w:hAnsi="仿宋_GB2312" w:eastAsia="仿宋_GB2312" w:cs="仿宋_GB2312"/>
                      <w:bCs/>
                    </w:rPr>
                    <w:t>2018年1月至2024年</w:t>
                  </w:r>
                </w:p>
              </w:tc>
              <w:tc>
                <w:tcPr>
                  <w:tcW w:w="2167" w:type="dxa"/>
                  <w:vAlign w:val="center"/>
                </w:tcPr>
                <w:p>
                  <w:pPr>
                    <w:pStyle w:val="2"/>
                    <w:spacing w:line="400" w:lineRule="exact"/>
                    <w:ind w:firstLine="0" w:firstLineChars="0"/>
                    <w:outlineLvl w:val="2"/>
                    <w:rPr>
                      <w:rFonts w:hAnsi="仿宋_GB2312" w:eastAsia="仿宋_GB2312" w:cs="仿宋_GB2312"/>
                      <w:bCs/>
                    </w:rPr>
                  </w:pPr>
                  <w:r>
                    <w:rPr>
                      <w:rFonts w:hint="eastAsia" w:hAnsi="仿宋_GB2312" w:eastAsia="仿宋_GB2312" w:cs="仿宋_GB2312"/>
                      <w:bCs/>
                    </w:rPr>
                    <w:t>王海昌</w:t>
                  </w:r>
                </w:p>
              </w:tc>
            </w:tr>
          </w:tbl>
          <w:p>
            <w:pPr>
              <w:pStyle w:val="2"/>
              <w:spacing w:line="400" w:lineRule="exact"/>
              <w:outlineLvl w:val="2"/>
              <w:rPr>
                <w:rFonts w:hAnsi="仿宋_GB2312" w:eastAsia="仿宋_GB2312" w:cs="仿宋_GB2312"/>
                <w:b/>
              </w:rPr>
            </w:pPr>
          </w:p>
        </w:tc>
      </w:tr>
    </w:tbl>
    <w:p>
      <w:pPr>
        <w:spacing w:line="400" w:lineRule="exact"/>
        <w:ind w:firstLine="640" w:firstLineChars="200"/>
        <w:rPr>
          <w:rFonts w:hint="eastAsia" w:ascii="黑体" w:hAnsi="黑体" w:eastAsia="黑体" w:cs="黑体"/>
          <w:sz w:val="32"/>
          <w:highlight w:val="green"/>
        </w:rPr>
      </w:pPr>
      <w:r>
        <w:rPr>
          <w:rFonts w:hint="eastAsia" w:ascii="黑体" w:hAnsi="黑体" w:eastAsia="黑体" w:cs="黑体"/>
          <w:sz w:val="32"/>
        </w:rPr>
        <w:t>九、主要知识产权和标准规范等目录</w:t>
      </w:r>
    </w:p>
    <w:tbl>
      <w:tblPr>
        <w:tblStyle w:val="5"/>
        <w:tblW w:w="5362" w:type="pct"/>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565"/>
        <w:gridCol w:w="561"/>
        <w:gridCol w:w="1992"/>
        <w:gridCol w:w="838"/>
        <w:gridCol w:w="981"/>
        <w:gridCol w:w="912"/>
        <w:gridCol w:w="773"/>
        <w:gridCol w:w="1101"/>
        <w:gridCol w:w="1416"/>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67" w:hRule="atLeast"/>
          <w:jc w:val="center"/>
        </w:trPr>
        <w:tc>
          <w:tcPr>
            <w:tcW w:w="309" w:type="pct"/>
            <w:tcBorders>
              <w:top w:val="single" w:color="auto" w:sz="8" w:space="0"/>
              <w:left w:val="single" w:color="auto" w:sz="8" w:space="0"/>
              <w:bottom w:val="single" w:color="auto" w:sz="8" w:space="0"/>
              <w:right w:val="single" w:color="auto" w:sz="8" w:space="0"/>
            </w:tcBorders>
            <w:vAlign w:val="center"/>
          </w:tcPr>
          <w:p>
            <w:pPr>
              <w:pStyle w:val="2"/>
              <w:spacing w:line="400" w:lineRule="exact"/>
              <w:ind w:firstLine="0" w:firstLineChars="0"/>
              <w:jc w:val="center"/>
              <w:rPr>
                <w:rFonts w:hAnsi="仿宋_GB2312" w:eastAsia="仿宋_GB2312" w:cs="仿宋_GB2312"/>
                <w:b/>
                <w:bCs/>
                <w:szCs w:val="24"/>
              </w:rPr>
            </w:pPr>
            <w:r>
              <w:rPr>
                <w:rFonts w:hint="eastAsia" w:hAnsi="仿宋_GB2312" w:eastAsia="仿宋_GB2312" w:cs="仿宋_GB2312"/>
                <w:b/>
                <w:bCs/>
                <w:szCs w:val="24"/>
              </w:rPr>
              <w:t>序号</w:t>
            </w:r>
          </w:p>
        </w:tc>
        <w:tc>
          <w:tcPr>
            <w:tcW w:w="306" w:type="pct"/>
            <w:tcBorders>
              <w:top w:val="single" w:color="auto" w:sz="8" w:space="0"/>
              <w:left w:val="single" w:color="auto" w:sz="8" w:space="0"/>
              <w:bottom w:val="single" w:color="auto" w:sz="8" w:space="0"/>
              <w:right w:val="single" w:color="auto" w:sz="8" w:space="0"/>
            </w:tcBorders>
            <w:vAlign w:val="center"/>
          </w:tcPr>
          <w:p>
            <w:pPr>
              <w:pStyle w:val="2"/>
              <w:spacing w:line="400" w:lineRule="exact"/>
              <w:ind w:firstLine="0" w:firstLineChars="0"/>
              <w:jc w:val="center"/>
              <w:rPr>
                <w:rFonts w:hAnsi="仿宋_GB2312" w:eastAsia="仿宋_GB2312" w:cs="仿宋_GB2312"/>
                <w:b/>
                <w:bCs/>
                <w:szCs w:val="24"/>
              </w:rPr>
            </w:pPr>
            <w:r>
              <w:rPr>
                <w:rFonts w:hint="eastAsia" w:hAnsi="仿宋_GB2312" w:eastAsia="仿宋_GB2312" w:cs="仿宋_GB2312"/>
                <w:b/>
                <w:bCs/>
                <w:szCs w:val="24"/>
              </w:rPr>
              <w:t>知识产权类别</w:t>
            </w:r>
          </w:p>
        </w:tc>
        <w:tc>
          <w:tcPr>
            <w:tcW w:w="1089" w:type="pct"/>
            <w:tcBorders>
              <w:top w:val="single" w:color="auto" w:sz="8" w:space="0"/>
              <w:left w:val="single" w:color="auto" w:sz="8" w:space="0"/>
              <w:bottom w:val="single" w:color="auto" w:sz="8" w:space="0"/>
              <w:right w:val="single" w:color="auto" w:sz="8" w:space="0"/>
            </w:tcBorders>
            <w:vAlign w:val="center"/>
          </w:tcPr>
          <w:p>
            <w:pPr>
              <w:pStyle w:val="2"/>
              <w:spacing w:line="400" w:lineRule="exact"/>
              <w:ind w:firstLine="0" w:firstLineChars="0"/>
              <w:jc w:val="center"/>
              <w:rPr>
                <w:rFonts w:hAnsi="仿宋_GB2312" w:eastAsia="仿宋_GB2312" w:cs="仿宋_GB2312"/>
                <w:b/>
                <w:bCs/>
                <w:szCs w:val="24"/>
              </w:rPr>
            </w:pPr>
            <w:r>
              <w:rPr>
                <w:rFonts w:hint="eastAsia" w:hAnsi="仿宋_GB2312" w:eastAsia="仿宋_GB2312" w:cs="仿宋_GB2312"/>
                <w:b/>
                <w:bCs/>
                <w:szCs w:val="24"/>
              </w:rPr>
              <w:t>知识产权</w:t>
            </w:r>
          </w:p>
          <w:p>
            <w:pPr>
              <w:pStyle w:val="2"/>
              <w:spacing w:line="400" w:lineRule="exact"/>
              <w:ind w:firstLine="0" w:firstLineChars="0"/>
              <w:jc w:val="center"/>
              <w:rPr>
                <w:rFonts w:hAnsi="仿宋_GB2312" w:eastAsia="仿宋_GB2312" w:cs="仿宋_GB2312"/>
                <w:b/>
                <w:bCs/>
                <w:szCs w:val="24"/>
              </w:rPr>
            </w:pPr>
            <w:r>
              <w:rPr>
                <w:rFonts w:hint="eastAsia" w:hAnsi="仿宋_GB2312" w:eastAsia="仿宋_GB2312" w:cs="仿宋_GB2312"/>
                <w:b/>
                <w:bCs/>
                <w:szCs w:val="24"/>
              </w:rPr>
              <w:t>具体名称</w:t>
            </w:r>
          </w:p>
        </w:tc>
        <w:tc>
          <w:tcPr>
            <w:tcW w:w="458" w:type="pct"/>
            <w:tcBorders>
              <w:top w:val="single" w:color="auto" w:sz="8" w:space="0"/>
              <w:left w:val="single" w:color="auto" w:sz="8" w:space="0"/>
              <w:bottom w:val="single" w:color="auto" w:sz="8" w:space="0"/>
              <w:right w:val="single" w:color="auto" w:sz="8" w:space="0"/>
            </w:tcBorders>
            <w:vAlign w:val="center"/>
          </w:tcPr>
          <w:p>
            <w:pPr>
              <w:pStyle w:val="2"/>
              <w:spacing w:line="400" w:lineRule="exact"/>
              <w:ind w:firstLine="0" w:firstLineChars="0"/>
              <w:jc w:val="center"/>
              <w:rPr>
                <w:rFonts w:hAnsi="仿宋_GB2312" w:eastAsia="仿宋_GB2312" w:cs="仿宋_GB2312"/>
                <w:b/>
                <w:bCs/>
                <w:szCs w:val="24"/>
              </w:rPr>
            </w:pPr>
            <w:r>
              <w:rPr>
                <w:rFonts w:hint="eastAsia" w:hAnsi="仿宋_GB2312" w:eastAsia="仿宋_GB2312" w:cs="仿宋_GB2312"/>
                <w:b/>
                <w:bCs/>
                <w:szCs w:val="24"/>
              </w:rPr>
              <w:t>国家</w:t>
            </w:r>
          </w:p>
          <w:p>
            <w:pPr>
              <w:pStyle w:val="2"/>
              <w:spacing w:line="400" w:lineRule="exact"/>
              <w:ind w:firstLine="0" w:firstLineChars="0"/>
              <w:jc w:val="center"/>
              <w:rPr>
                <w:rFonts w:hAnsi="仿宋_GB2312" w:eastAsia="仿宋_GB2312" w:cs="仿宋_GB2312"/>
                <w:b/>
                <w:bCs/>
                <w:szCs w:val="24"/>
              </w:rPr>
            </w:pPr>
            <w:r>
              <w:rPr>
                <w:rFonts w:hint="eastAsia" w:hAnsi="仿宋_GB2312" w:eastAsia="仿宋_GB2312" w:cs="仿宋_GB2312"/>
                <w:b/>
                <w:bCs/>
                <w:szCs w:val="24"/>
              </w:rPr>
              <w:t>（地区）</w:t>
            </w:r>
          </w:p>
        </w:tc>
        <w:tc>
          <w:tcPr>
            <w:tcW w:w="536" w:type="pct"/>
            <w:tcBorders>
              <w:top w:val="single" w:color="auto" w:sz="8" w:space="0"/>
              <w:left w:val="single" w:color="auto" w:sz="8" w:space="0"/>
              <w:bottom w:val="single" w:color="auto" w:sz="8" w:space="0"/>
              <w:right w:val="single" w:color="auto" w:sz="8" w:space="0"/>
            </w:tcBorders>
            <w:vAlign w:val="center"/>
          </w:tcPr>
          <w:p>
            <w:pPr>
              <w:pStyle w:val="2"/>
              <w:spacing w:line="400" w:lineRule="exact"/>
              <w:ind w:firstLine="0" w:firstLineChars="0"/>
              <w:jc w:val="center"/>
              <w:rPr>
                <w:rFonts w:hAnsi="仿宋_GB2312" w:eastAsia="仿宋_GB2312" w:cs="仿宋_GB2312"/>
                <w:b/>
                <w:bCs/>
                <w:szCs w:val="24"/>
              </w:rPr>
            </w:pPr>
            <w:r>
              <w:rPr>
                <w:rFonts w:hint="eastAsia" w:hAnsi="仿宋_GB2312" w:eastAsia="仿宋_GB2312" w:cs="仿宋_GB2312"/>
                <w:b/>
                <w:bCs/>
                <w:szCs w:val="24"/>
              </w:rPr>
              <w:t>授权号</w:t>
            </w:r>
          </w:p>
        </w:tc>
        <w:tc>
          <w:tcPr>
            <w:tcW w:w="498" w:type="pct"/>
            <w:tcBorders>
              <w:top w:val="single" w:color="auto" w:sz="8" w:space="0"/>
              <w:left w:val="single" w:color="auto" w:sz="8" w:space="0"/>
              <w:bottom w:val="single" w:color="auto" w:sz="8" w:space="0"/>
              <w:right w:val="single" w:color="auto" w:sz="8" w:space="0"/>
            </w:tcBorders>
            <w:vAlign w:val="center"/>
          </w:tcPr>
          <w:p>
            <w:pPr>
              <w:pStyle w:val="2"/>
              <w:spacing w:line="400" w:lineRule="exact"/>
              <w:ind w:firstLine="0" w:firstLineChars="0"/>
              <w:jc w:val="center"/>
              <w:rPr>
                <w:rFonts w:hAnsi="仿宋_GB2312" w:eastAsia="仿宋_GB2312" w:cs="仿宋_GB2312"/>
                <w:b/>
                <w:bCs/>
                <w:szCs w:val="24"/>
              </w:rPr>
            </w:pPr>
            <w:r>
              <w:rPr>
                <w:rFonts w:hint="eastAsia" w:hAnsi="仿宋_GB2312" w:eastAsia="仿宋_GB2312" w:cs="仿宋_GB2312"/>
                <w:b/>
                <w:bCs/>
                <w:szCs w:val="24"/>
              </w:rPr>
              <w:t>授权日期</w:t>
            </w:r>
          </w:p>
        </w:tc>
        <w:tc>
          <w:tcPr>
            <w:tcW w:w="422" w:type="pct"/>
            <w:tcBorders>
              <w:top w:val="single" w:color="auto" w:sz="8" w:space="0"/>
              <w:left w:val="single" w:color="auto" w:sz="8" w:space="0"/>
              <w:bottom w:val="single" w:color="auto" w:sz="8" w:space="0"/>
              <w:right w:val="single" w:color="auto" w:sz="8" w:space="0"/>
            </w:tcBorders>
            <w:vAlign w:val="center"/>
          </w:tcPr>
          <w:p>
            <w:pPr>
              <w:pStyle w:val="2"/>
              <w:spacing w:line="400" w:lineRule="exact"/>
              <w:ind w:firstLine="0" w:firstLineChars="0"/>
              <w:jc w:val="center"/>
              <w:rPr>
                <w:rFonts w:hAnsi="仿宋_GB2312" w:eastAsia="仿宋_GB2312" w:cs="仿宋_GB2312"/>
                <w:b/>
                <w:bCs/>
                <w:szCs w:val="24"/>
              </w:rPr>
            </w:pPr>
            <w:r>
              <w:rPr>
                <w:rFonts w:hint="eastAsia" w:hAnsi="仿宋_GB2312" w:eastAsia="仿宋_GB2312" w:cs="仿宋_GB2312"/>
                <w:b/>
                <w:bCs/>
                <w:szCs w:val="24"/>
              </w:rPr>
              <w:t>证书编号</w:t>
            </w:r>
          </w:p>
        </w:tc>
        <w:tc>
          <w:tcPr>
            <w:tcW w:w="602" w:type="pct"/>
            <w:tcBorders>
              <w:top w:val="single" w:color="auto" w:sz="8" w:space="0"/>
              <w:left w:val="single" w:color="auto" w:sz="8" w:space="0"/>
              <w:bottom w:val="single" w:color="auto" w:sz="8" w:space="0"/>
              <w:right w:val="single" w:color="auto" w:sz="8" w:space="0"/>
            </w:tcBorders>
            <w:vAlign w:val="center"/>
          </w:tcPr>
          <w:p>
            <w:pPr>
              <w:pStyle w:val="2"/>
              <w:spacing w:line="400" w:lineRule="exact"/>
              <w:ind w:firstLine="0" w:firstLineChars="0"/>
              <w:jc w:val="center"/>
              <w:rPr>
                <w:rFonts w:hAnsi="仿宋_GB2312" w:eastAsia="仿宋_GB2312" w:cs="仿宋_GB2312"/>
                <w:b/>
                <w:bCs/>
                <w:szCs w:val="24"/>
              </w:rPr>
            </w:pPr>
            <w:r>
              <w:rPr>
                <w:rFonts w:hint="eastAsia" w:hAnsi="仿宋_GB2312" w:eastAsia="仿宋_GB2312" w:cs="仿宋_GB2312"/>
                <w:b/>
                <w:bCs/>
                <w:szCs w:val="24"/>
              </w:rPr>
              <w:t>权利人</w:t>
            </w:r>
          </w:p>
        </w:tc>
        <w:tc>
          <w:tcPr>
            <w:tcW w:w="774" w:type="pct"/>
            <w:tcBorders>
              <w:top w:val="single" w:color="auto" w:sz="8" w:space="0"/>
              <w:left w:val="single" w:color="auto" w:sz="8" w:space="0"/>
              <w:bottom w:val="single" w:color="auto" w:sz="8" w:space="0"/>
              <w:right w:val="single" w:color="auto" w:sz="8" w:space="0"/>
            </w:tcBorders>
            <w:vAlign w:val="center"/>
          </w:tcPr>
          <w:p>
            <w:pPr>
              <w:pStyle w:val="2"/>
              <w:spacing w:line="400" w:lineRule="exact"/>
              <w:ind w:firstLine="0" w:firstLineChars="0"/>
              <w:jc w:val="center"/>
              <w:rPr>
                <w:rFonts w:hAnsi="仿宋_GB2312" w:eastAsia="仿宋_GB2312" w:cs="仿宋_GB2312"/>
                <w:b/>
                <w:bCs/>
                <w:szCs w:val="24"/>
              </w:rPr>
            </w:pPr>
            <w:r>
              <w:rPr>
                <w:rFonts w:hint="eastAsia" w:hAnsi="仿宋_GB2312" w:eastAsia="仿宋_GB2312" w:cs="仿宋_GB2312"/>
                <w:b/>
                <w:bCs/>
                <w:szCs w:val="24"/>
              </w:rPr>
              <w:t>发明人</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528" w:hRule="atLeast"/>
          <w:jc w:val="center"/>
        </w:trPr>
        <w:tc>
          <w:tcPr>
            <w:tcW w:w="309" w:type="pct"/>
            <w:tcBorders>
              <w:top w:val="single" w:color="auto" w:sz="8" w:space="0"/>
              <w:left w:val="single" w:color="auto" w:sz="8" w:space="0"/>
              <w:bottom w:val="single" w:color="auto" w:sz="8" w:space="0"/>
              <w:right w:val="single" w:color="auto" w:sz="8" w:space="0"/>
            </w:tcBorders>
            <w:vAlign w:val="center"/>
          </w:tcPr>
          <w:p>
            <w:pPr>
              <w:pStyle w:val="2"/>
              <w:spacing w:line="400" w:lineRule="exact"/>
              <w:ind w:firstLine="0" w:firstLineChars="0"/>
              <w:jc w:val="center"/>
              <w:rPr>
                <w:rFonts w:hAnsi="仿宋_GB2312" w:eastAsia="仿宋_GB2312" w:cs="仿宋_GB2312"/>
                <w:szCs w:val="24"/>
              </w:rPr>
            </w:pPr>
            <w:r>
              <w:rPr>
                <w:rFonts w:hint="eastAsia" w:hAnsi="仿宋_GB2312" w:eastAsia="仿宋_GB2312" w:cs="仿宋_GB2312"/>
                <w:szCs w:val="24"/>
              </w:rPr>
              <w:t>1</w:t>
            </w:r>
          </w:p>
        </w:tc>
        <w:tc>
          <w:tcPr>
            <w:tcW w:w="306" w:type="pct"/>
            <w:tcBorders>
              <w:top w:val="single" w:color="auto" w:sz="8" w:space="0"/>
              <w:left w:val="single" w:color="auto" w:sz="8" w:space="0"/>
              <w:bottom w:val="single" w:color="auto" w:sz="8" w:space="0"/>
              <w:right w:val="single" w:color="auto" w:sz="8" w:space="0"/>
            </w:tcBorders>
            <w:vAlign w:val="center"/>
          </w:tcPr>
          <w:p>
            <w:pPr>
              <w:pStyle w:val="2"/>
              <w:spacing w:line="400" w:lineRule="exact"/>
              <w:ind w:firstLine="0" w:firstLineChars="0"/>
              <w:jc w:val="left"/>
              <w:rPr>
                <w:rFonts w:hAnsi="仿宋_GB2312" w:eastAsia="仿宋_GB2312" w:cs="仿宋_GB2312"/>
                <w:szCs w:val="24"/>
              </w:rPr>
            </w:pPr>
            <w:r>
              <w:rPr>
                <w:rFonts w:hint="eastAsia" w:hAnsi="仿宋_GB2312" w:eastAsia="仿宋_GB2312" w:cs="仿宋_GB2312"/>
                <w:szCs w:val="24"/>
              </w:rPr>
              <w:t>实用新型专利</w:t>
            </w:r>
          </w:p>
        </w:tc>
        <w:tc>
          <w:tcPr>
            <w:tcW w:w="1089" w:type="pct"/>
            <w:tcBorders>
              <w:top w:val="single" w:color="auto" w:sz="8" w:space="0"/>
              <w:left w:val="single" w:color="auto" w:sz="8" w:space="0"/>
              <w:bottom w:val="single" w:color="auto" w:sz="8" w:space="0"/>
              <w:right w:val="single" w:color="auto" w:sz="8" w:space="0"/>
            </w:tcBorders>
            <w:vAlign w:val="center"/>
          </w:tcPr>
          <w:p>
            <w:pPr>
              <w:pStyle w:val="2"/>
              <w:spacing w:line="400" w:lineRule="exact"/>
              <w:ind w:firstLine="0" w:firstLineChars="0"/>
              <w:jc w:val="center"/>
              <w:rPr>
                <w:rFonts w:hAnsi="仿宋_GB2312" w:eastAsia="仿宋_GB2312" w:cs="仿宋_GB2312"/>
                <w:szCs w:val="24"/>
              </w:rPr>
            </w:pPr>
            <w:r>
              <w:rPr>
                <w:rFonts w:hint="eastAsia" w:hAnsi="仿宋_GB2312" w:eastAsia="仿宋_GB2312" w:cs="仿宋_GB2312"/>
                <w:szCs w:val="24"/>
              </w:rPr>
              <w:t>一种冠状动脉分叉病变支架后扩张阶段专用球囊</w:t>
            </w:r>
          </w:p>
        </w:tc>
        <w:tc>
          <w:tcPr>
            <w:tcW w:w="458" w:type="pct"/>
            <w:tcBorders>
              <w:top w:val="single" w:color="auto" w:sz="8" w:space="0"/>
              <w:left w:val="single" w:color="auto" w:sz="8" w:space="0"/>
              <w:bottom w:val="single" w:color="auto" w:sz="8" w:space="0"/>
              <w:right w:val="single" w:color="auto" w:sz="8" w:space="0"/>
            </w:tcBorders>
            <w:vAlign w:val="center"/>
          </w:tcPr>
          <w:p>
            <w:pPr>
              <w:pStyle w:val="2"/>
              <w:spacing w:line="400" w:lineRule="exact"/>
              <w:ind w:firstLine="0" w:firstLineChars="0"/>
              <w:jc w:val="left"/>
              <w:rPr>
                <w:rFonts w:hAnsi="仿宋_GB2312" w:eastAsia="仿宋_GB2312" w:cs="仿宋_GB2312"/>
                <w:szCs w:val="24"/>
              </w:rPr>
            </w:pPr>
            <w:r>
              <w:rPr>
                <w:rFonts w:hint="eastAsia" w:hAnsi="仿宋_GB2312" w:eastAsia="仿宋_GB2312" w:cs="仿宋_GB2312"/>
                <w:szCs w:val="24"/>
              </w:rPr>
              <w:t>中国</w:t>
            </w:r>
          </w:p>
        </w:tc>
        <w:tc>
          <w:tcPr>
            <w:tcW w:w="536" w:type="pct"/>
            <w:tcBorders>
              <w:top w:val="single" w:color="auto" w:sz="8" w:space="0"/>
              <w:left w:val="single" w:color="auto" w:sz="8" w:space="0"/>
              <w:bottom w:val="single" w:color="auto" w:sz="8" w:space="0"/>
              <w:right w:val="single" w:color="auto" w:sz="8" w:space="0"/>
            </w:tcBorders>
            <w:vAlign w:val="center"/>
          </w:tcPr>
          <w:p>
            <w:pPr>
              <w:pStyle w:val="2"/>
              <w:spacing w:line="400" w:lineRule="exact"/>
              <w:ind w:firstLine="0" w:firstLineChars="0"/>
              <w:jc w:val="left"/>
              <w:rPr>
                <w:rFonts w:hAnsi="仿宋_GB2312" w:eastAsia="仿宋_GB2312" w:cs="仿宋_GB2312"/>
                <w:szCs w:val="24"/>
              </w:rPr>
            </w:pPr>
            <w:r>
              <w:rPr>
                <w:rFonts w:hint="eastAsia" w:hAnsi="仿宋_GB2312" w:eastAsia="仿宋_GB2312" w:cs="仿宋_GB2312"/>
                <w:szCs w:val="24"/>
              </w:rPr>
              <w:t>ZL201920423672.1</w:t>
            </w:r>
          </w:p>
        </w:tc>
        <w:tc>
          <w:tcPr>
            <w:tcW w:w="498" w:type="pct"/>
            <w:tcBorders>
              <w:top w:val="single" w:color="auto" w:sz="8" w:space="0"/>
              <w:left w:val="single" w:color="auto" w:sz="8" w:space="0"/>
              <w:bottom w:val="single" w:color="auto" w:sz="8" w:space="0"/>
              <w:right w:val="single" w:color="auto" w:sz="8" w:space="0"/>
            </w:tcBorders>
            <w:vAlign w:val="center"/>
          </w:tcPr>
          <w:p>
            <w:pPr>
              <w:pStyle w:val="2"/>
              <w:spacing w:line="400" w:lineRule="exact"/>
              <w:ind w:firstLine="0" w:firstLineChars="0"/>
              <w:jc w:val="left"/>
              <w:rPr>
                <w:rFonts w:hAnsi="仿宋_GB2312" w:eastAsia="仿宋_GB2312" w:cs="仿宋_GB2312"/>
                <w:szCs w:val="24"/>
              </w:rPr>
            </w:pPr>
            <w:r>
              <w:rPr>
                <w:rFonts w:hint="eastAsia" w:hAnsi="仿宋_GB2312" w:eastAsia="仿宋_GB2312" w:cs="仿宋_GB2312"/>
                <w:szCs w:val="24"/>
              </w:rPr>
              <w:t>2019年03月29日</w:t>
            </w:r>
          </w:p>
        </w:tc>
        <w:tc>
          <w:tcPr>
            <w:tcW w:w="422" w:type="pct"/>
            <w:tcBorders>
              <w:top w:val="single" w:color="auto" w:sz="8" w:space="0"/>
              <w:left w:val="single" w:color="auto" w:sz="8" w:space="0"/>
              <w:bottom w:val="single" w:color="auto" w:sz="8" w:space="0"/>
              <w:right w:val="single" w:color="auto" w:sz="8" w:space="0"/>
            </w:tcBorders>
            <w:vAlign w:val="center"/>
          </w:tcPr>
          <w:p>
            <w:pPr>
              <w:pStyle w:val="2"/>
              <w:spacing w:line="400" w:lineRule="exact"/>
              <w:ind w:firstLine="0" w:firstLineChars="0"/>
              <w:jc w:val="left"/>
              <w:rPr>
                <w:rFonts w:hAnsi="仿宋_GB2312" w:eastAsia="仿宋_GB2312" w:cs="仿宋_GB2312"/>
                <w:szCs w:val="24"/>
              </w:rPr>
            </w:pPr>
            <w:r>
              <w:rPr>
                <w:rFonts w:hint="eastAsia" w:hAnsi="仿宋_GB2312" w:eastAsia="仿宋_GB2312" w:cs="仿宋_GB2312"/>
                <w:szCs w:val="24"/>
              </w:rPr>
              <w:t>10118669</w:t>
            </w:r>
          </w:p>
        </w:tc>
        <w:tc>
          <w:tcPr>
            <w:tcW w:w="602" w:type="pct"/>
            <w:tcBorders>
              <w:top w:val="single" w:color="auto" w:sz="8" w:space="0"/>
              <w:left w:val="single" w:color="auto" w:sz="8" w:space="0"/>
              <w:bottom w:val="single" w:color="auto" w:sz="8" w:space="0"/>
              <w:right w:val="single" w:color="auto" w:sz="8" w:space="0"/>
            </w:tcBorders>
            <w:vAlign w:val="center"/>
          </w:tcPr>
          <w:p>
            <w:pPr>
              <w:pStyle w:val="2"/>
              <w:spacing w:line="400" w:lineRule="exact"/>
              <w:ind w:firstLine="0" w:firstLineChars="0"/>
              <w:jc w:val="left"/>
              <w:rPr>
                <w:rFonts w:hAnsi="仿宋_GB2312" w:eastAsia="仿宋_GB2312" w:cs="仿宋_GB2312"/>
                <w:szCs w:val="24"/>
              </w:rPr>
            </w:pPr>
            <w:r>
              <w:rPr>
                <w:rFonts w:hint="eastAsia" w:hAnsi="仿宋_GB2312" w:eastAsia="仿宋_GB2312" w:cs="仿宋_GB2312"/>
                <w:szCs w:val="24"/>
              </w:rPr>
              <w:t>中国人民解放军第四军医大学</w:t>
            </w:r>
          </w:p>
        </w:tc>
        <w:tc>
          <w:tcPr>
            <w:tcW w:w="774" w:type="pct"/>
            <w:tcBorders>
              <w:top w:val="single" w:color="auto" w:sz="8" w:space="0"/>
              <w:left w:val="single" w:color="auto" w:sz="8" w:space="0"/>
              <w:bottom w:val="single" w:color="auto" w:sz="8" w:space="0"/>
              <w:right w:val="single" w:color="auto" w:sz="8" w:space="0"/>
            </w:tcBorders>
            <w:vAlign w:val="center"/>
          </w:tcPr>
          <w:p>
            <w:pPr>
              <w:pStyle w:val="2"/>
              <w:spacing w:line="400" w:lineRule="exact"/>
              <w:ind w:firstLine="0" w:firstLineChars="0"/>
              <w:jc w:val="left"/>
              <w:rPr>
                <w:rFonts w:hAnsi="仿宋_GB2312" w:eastAsia="仿宋_GB2312" w:cs="仿宋_GB2312"/>
                <w:szCs w:val="24"/>
              </w:rPr>
            </w:pPr>
            <w:r>
              <w:rPr>
                <w:rFonts w:hint="eastAsia" w:hAnsi="仿宋_GB2312" w:eastAsia="仿宋_GB2312" w:cs="仿宋_GB2312"/>
                <w:szCs w:val="24"/>
              </w:rPr>
              <w:t>孙冬冬</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67" w:hRule="atLeast"/>
          <w:jc w:val="center"/>
        </w:trPr>
        <w:tc>
          <w:tcPr>
            <w:tcW w:w="309" w:type="pct"/>
            <w:tcBorders>
              <w:top w:val="single" w:color="auto" w:sz="8" w:space="0"/>
              <w:left w:val="single" w:color="auto" w:sz="8" w:space="0"/>
              <w:bottom w:val="single" w:color="auto" w:sz="8" w:space="0"/>
              <w:right w:val="single" w:color="auto" w:sz="8" w:space="0"/>
            </w:tcBorders>
            <w:vAlign w:val="center"/>
          </w:tcPr>
          <w:p>
            <w:pPr>
              <w:pStyle w:val="2"/>
              <w:spacing w:line="400" w:lineRule="exact"/>
              <w:ind w:firstLine="0" w:firstLineChars="0"/>
              <w:jc w:val="center"/>
              <w:rPr>
                <w:rFonts w:hAnsi="仿宋_GB2312" w:eastAsia="仿宋_GB2312" w:cs="仿宋_GB2312"/>
                <w:szCs w:val="24"/>
              </w:rPr>
            </w:pPr>
            <w:r>
              <w:rPr>
                <w:rFonts w:hint="eastAsia" w:hAnsi="仿宋_GB2312" w:eastAsia="仿宋_GB2312" w:cs="仿宋_GB2312"/>
                <w:szCs w:val="24"/>
              </w:rPr>
              <w:t>2</w:t>
            </w:r>
          </w:p>
        </w:tc>
        <w:tc>
          <w:tcPr>
            <w:tcW w:w="306" w:type="pct"/>
            <w:tcBorders>
              <w:top w:val="single" w:color="auto" w:sz="8" w:space="0"/>
              <w:left w:val="single" w:color="auto" w:sz="8" w:space="0"/>
              <w:bottom w:val="single" w:color="auto" w:sz="8" w:space="0"/>
              <w:right w:val="single" w:color="auto" w:sz="8" w:space="0"/>
            </w:tcBorders>
            <w:vAlign w:val="center"/>
          </w:tcPr>
          <w:p>
            <w:pPr>
              <w:pStyle w:val="2"/>
              <w:spacing w:line="400" w:lineRule="exact"/>
              <w:ind w:firstLine="0" w:firstLineChars="0"/>
              <w:jc w:val="left"/>
              <w:rPr>
                <w:rFonts w:hAnsi="仿宋_GB2312" w:eastAsia="仿宋_GB2312" w:cs="仿宋_GB2312"/>
                <w:szCs w:val="24"/>
              </w:rPr>
            </w:pPr>
            <w:r>
              <w:rPr>
                <w:rFonts w:hint="eastAsia" w:hAnsi="仿宋_GB2312" w:eastAsia="仿宋_GB2312" w:cs="仿宋_GB2312"/>
                <w:szCs w:val="24"/>
              </w:rPr>
              <w:t>实用新型专利</w:t>
            </w:r>
          </w:p>
        </w:tc>
        <w:tc>
          <w:tcPr>
            <w:tcW w:w="1089" w:type="pct"/>
            <w:tcBorders>
              <w:top w:val="single" w:color="auto" w:sz="8" w:space="0"/>
              <w:left w:val="single" w:color="auto" w:sz="8" w:space="0"/>
              <w:bottom w:val="single" w:color="auto" w:sz="8" w:space="0"/>
              <w:right w:val="single" w:color="auto" w:sz="8" w:space="0"/>
            </w:tcBorders>
            <w:vAlign w:val="center"/>
          </w:tcPr>
          <w:p>
            <w:pPr>
              <w:pStyle w:val="2"/>
              <w:spacing w:line="400" w:lineRule="exact"/>
              <w:ind w:firstLine="0" w:firstLineChars="0"/>
              <w:jc w:val="center"/>
              <w:rPr>
                <w:rFonts w:hAnsi="仿宋_GB2312" w:eastAsia="仿宋_GB2312" w:cs="仿宋_GB2312"/>
                <w:szCs w:val="24"/>
              </w:rPr>
            </w:pPr>
            <w:r>
              <w:rPr>
                <w:rFonts w:hint="eastAsia" w:hAnsi="仿宋_GB2312" w:eastAsia="仿宋_GB2312" w:cs="仿宋_GB2312"/>
                <w:szCs w:val="24"/>
              </w:rPr>
              <w:t>用于冠状动脉严重钙化病变的带有超滑护套的支架球囊</w:t>
            </w:r>
          </w:p>
        </w:tc>
        <w:tc>
          <w:tcPr>
            <w:tcW w:w="458" w:type="pct"/>
            <w:tcBorders>
              <w:top w:val="single" w:color="auto" w:sz="8" w:space="0"/>
              <w:left w:val="single" w:color="auto" w:sz="8" w:space="0"/>
              <w:bottom w:val="single" w:color="auto" w:sz="8" w:space="0"/>
              <w:right w:val="single" w:color="auto" w:sz="8" w:space="0"/>
            </w:tcBorders>
            <w:vAlign w:val="center"/>
          </w:tcPr>
          <w:p>
            <w:pPr>
              <w:pStyle w:val="2"/>
              <w:spacing w:line="400" w:lineRule="exact"/>
              <w:ind w:firstLine="0" w:firstLineChars="0"/>
              <w:jc w:val="left"/>
              <w:rPr>
                <w:rFonts w:hAnsi="仿宋_GB2312" w:eastAsia="仿宋_GB2312" w:cs="仿宋_GB2312"/>
                <w:szCs w:val="24"/>
              </w:rPr>
            </w:pPr>
            <w:r>
              <w:rPr>
                <w:rFonts w:hint="eastAsia" w:hAnsi="仿宋_GB2312" w:eastAsia="仿宋_GB2312" w:cs="仿宋_GB2312"/>
                <w:szCs w:val="24"/>
              </w:rPr>
              <w:t>中国</w:t>
            </w:r>
          </w:p>
        </w:tc>
        <w:tc>
          <w:tcPr>
            <w:tcW w:w="536" w:type="pct"/>
            <w:tcBorders>
              <w:top w:val="single" w:color="auto" w:sz="8" w:space="0"/>
              <w:left w:val="single" w:color="auto" w:sz="8" w:space="0"/>
              <w:bottom w:val="single" w:color="auto" w:sz="8" w:space="0"/>
              <w:right w:val="single" w:color="auto" w:sz="8" w:space="0"/>
            </w:tcBorders>
            <w:vAlign w:val="center"/>
          </w:tcPr>
          <w:p>
            <w:pPr>
              <w:pStyle w:val="2"/>
              <w:spacing w:line="400" w:lineRule="exact"/>
              <w:ind w:firstLine="0" w:firstLineChars="0"/>
              <w:jc w:val="left"/>
              <w:rPr>
                <w:rFonts w:hAnsi="仿宋_GB2312" w:eastAsia="仿宋_GB2312" w:cs="仿宋_GB2312"/>
                <w:szCs w:val="24"/>
              </w:rPr>
            </w:pPr>
            <w:r>
              <w:rPr>
                <w:rFonts w:hint="eastAsia" w:hAnsi="仿宋_GB2312" w:eastAsia="仿宋_GB2312" w:cs="仿宋_GB2312"/>
                <w:szCs w:val="24"/>
              </w:rPr>
              <w:t>ZL201920416092.X</w:t>
            </w:r>
          </w:p>
        </w:tc>
        <w:tc>
          <w:tcPr>
            <w:tcW w:w="498" w:type="pct"/>
            <w:tcBorders>
              <w:top w:val="single" w:color="auto" w:sz="8" w:space="0"/>
              <w:left w:val="single" w:color="auto" w:sz="8" w:space="0"/>
              <w:bottom w:val="single" w:color="auto" w:sz="8" w:space="0"/>
              <w:right w:val="single" w:color="auto" w:sz="8" w:space="0"/>
            </w:tcBorders>
            <w:vAlign w:val="center"/>
          </w:tcPr>
          <w:p>
            <w:pPr>
              <w:pStyle w:val="2"/>
              <w:spacing w:line="400" w:lineRule="exact"/>
              <w:ind w:firstLine="0" w:firstLineChars="0"/>
              <w:jc w:val="left"/>
              <w:rPr>
                <w:rFonts w:hAnsi="仿宋_GB2312" w:eastAsia="仿宋_GB2312" w:cs="仿宋_GB2312"/>
                <w:szCs w:val="24"/>
              </w:rPr>
            </w:pPr>
            <w:r>
              <w:rPr>
                <w:rFonts w:hint="eastAsia" w:hAnsi="仿宋_GB2312" w:eastAsia="仿宋_GB2312" w:cs="仿宋_GB2312"/>
                <w:szCs w:val="24"/>
              </w:rPr>
              <w:t>2019年03月29日</w:t>
            </w:r>
          </w:p>
        </w:tc>
        <w:tc>
          <w:tcPr>
            <w:tcW w:w="422" w:type="pct"/>
            <w:tcBorders>
              <w:top w:val="single" w:color="auto" w:sz="8" w:space="0"/>
              <w:left w:val="single" w:color="auto" w:sz="8" w:space="0"/>
              <w:bottom w:val="single" w:color="auto" w:sz="8" w:space="0"/>
              <w:right w:val="single" w:color="auto" w:sz="8" w:space="0"/>
            </w:tcBorders>
            <w:vAlign w:val="center"/>
          </w:tcPr>
          <w:p>
            <w:pPr>
              <w:pStyle w:val="2"/>
              <w:spacing w:line="400" w:lineRule="exact"/>
              <w:ind w:firstLine="0" w:firstLineChars="0"/>
              <w:jc w:val="left"/>
              <w:rPr>
                <w:rFonts w:hAnsi="仿宋_GB2312" w:eastAsia="仿宋_GB2312" w:cs="仿宋_GB2312"/>
                <w:szCs w:val="24"/>
              </w:rPr>
            </w:pPr>
            <w:r>
              <w:rPr>
                <w:rFonts w:hint="eastAsia" w:hAnsi="仿宋_GB2312" w:eastAsia="仿宋_GB2312" w:cs="仿宋_GB2312"/>
                <w:szCs w:val="24"/>
              </w:rPr>
              <w:t>10117452</w:t>
            </w:r>
          </w:p>
        </w:tc>
        <w:tc>
          <w:tcPr>
            <w:tcW w:w="602" w:type="pct"/>
            <w:tcBorders>
              <w:top w:val="single" w:color="auto" w:sz="8" w:space="0"/>
              <w:left w:val="single" w:color="auto" w:sz="8" w:space="0"/>
              <w:bottom w:val="single" w:color="auto" w:sz="8" w:space="0"/>
              <w:right w:val="single" w:color="auto" w:sz="8" w:space="0"/>
            </w:tcBorders>
            <w:vAlign w:val="center"/>
          </w:tcPr>
          <w:p>
            <w:pPr>
              <w:pStyle w:val="2"/>
              <w:spacing w:line="400" w:lineRule="exact"/>
              <w:ind w:firstLine="0" w:firstLineChars="0"/>
              <w:jc w:val="left"/>
              <w:rPr>
                <w:rFonts w:hAnsi="仿宋_GB2312" w:eastAsia="仿宋_GB2312" w:cs="仿宋_GB2312"/>
                <w:szCs w:val="24"/>
              </w:rPr>
            </w:pPr>
            <w:r>
              <w:rPr>
                <w:rFonts w:hint="eastAsia" w:hAnsi="仿宋_GB2312" w:eastAsia="仿宋_GB2312" w:cs="仿宋_GB2312"/>
                <w:szCs w:val="24"/>
              </w:rPr>
              <w:t>中国人民解放军第四军医大学</w:t>
            </w:r>
          </w:p>
        </w:tc>
        <w:tc>
          <w:tcPr>
            <w:tcW w:w="774" w:type="pct"/>
            <w:tcBorders>
              <w:top w:val="single" w:color="auto" w:sz="8" w:space="0"/>
              <w:left w:val="single" w:color="auto" w:sz="8" w:space="0"/>
              <w:bottom w:val="single" w:color="auto" w:sz="8" w:space="0"/>
              <w:right w:val="single" w:color="auto" w:sz="8" w:space="0"/>
            </w:tcBorders>
            <w:vAlign w:val="center"/>
          </w:tcPr>
          <w:p>
            <w:pPr>
              <w:pStyle w:val="2"/>
              <w:spacing w:line="400" w:lineRule="exact"/>
              <w:ind w:firstLine="0" w:firstLineChars="0"/>
              <w:jc w:val="left"/>
              <w:rPr>
                <w:rFonts w:hAnsi="仿宋_GB2312" w:eastAsia="仿宋_GB2312" w:cs="仿宋_GB2312"/>
                <w:szCs w:val="24"/>
              </w:rPr>
            </w:pPr>
            <w:r>
              <w:rPr>
                <w:rFonts w:hint="eastAsia" w:hAnsi="仿宋_GB2312" w:eastAsia="仿宋_GB2312" w:cs="仿宋_GB2312"/>
                <w:szCs w:val="24"/>
              </w:rPr>
              <w:t>孙冬冬</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909" w:hRule="atLeast"/>
          <w:jc w:val="center"/>
        </w:trPr>
        <w:tc>
          <w:tcPr>
            <w:tcW w:w="309" w:type="pct"/>
            <w:tcBorders>
              <w:top w:val="single" w:color="auto" w:sz="8" w:space="0"/>
              <w:left w:val="single" w:color="auto" w:sz="8" w:space="0"/>
              <w:bottom w:val="single" w:color="auto" w:sz="8" w:space="0"/>
              <w:right w:val="single" w:color="auto" w:sz="8" w:space="0"/>
            </w:tcBorders>
            <w:vAlign w:val="center"/>
          </w:tcPr>
          <w:p>
            <w:pPr>
              <w:pStyle w:val="2"/>
              <w:spacing w:line="400" w:lineRule="exact"/>
              <w:ind w:firstLine="0" w:firstLineChars="0"/>
              <w:jc w:val="center"/>
              <w:rPr>
                <w:rFonts w:hAnsi="仿宋_GB2312" w:eastAsia="仿宋_GB2312" w:cs="仿宋_GB2312"/>
                <w:szCs w:val="24"/>
              </w:rPr>
            </w:pPr>
            <w:r>
              <w:rPr>
                <w:rFonts w:hint="eastAsia" w:hAnsi="仿宋_GB2312" w:eastAsia="仿宋_GB2312" w:cs="仿宋_GB2312"/>
                <w:szCs w:val="24"/>
              </w:rPr>
              <w:t>3</w:t>
            </w:r>
          </w:p>
        </w:tc>
        <w:tc>
          <w:tcPr>
            <w:tcW w:w="306" w:type="pct"/>
            <w:tcBorders>
              <w:top w:val="single" w:color="auto" w:sz="8" w:space="0"/>
              <w:left w:val="single" w:color="auto" w:sz="8" w:space="0"/>
              <w:bottom w:val="single" w:color="auto" w:sz="8" w:space="0"/>
              <w:right w:val="single" w:color="auto" w:sz="8" w:space="0"/>
            </w:tcBorders>
            <w:vAlign w:val="center"/>
          </w:tcPr>
          <w:p>
            <w:pPr>
              <w:pStyle w:val="2"/>
              <w:spacing w:line="400" w:lineRule="exact"/>
              <w:ind w:firstLine="0" w:firstLineChars="0"/>
              <w:jc w:val="left"/>
              <w:rPr>
                <w:rFonts w:hAnsi="仿宋_GB2312" w:eastAsia="仿宋_GB2312" w:cs="仿宋_GB2312"/>
                <w:szCs w:val="24"/>
              </w:rPr>
            </w:pPr>
            <w:r>
              <w:rPr>
                <w:rFonts w:hint="eastAsia" w:hAnsi="仿宋_GB2312" w:eastAsia="仿宋_GB2312" w:cs="仿宋_GB2312"/>
                <w:szCs w:val="24"/>
              </w:rPr>
              <w:t>规范</w:t>
            </w:r>
          </w:p>
        </w:tc>
        <w:tc>
          <w:tcPr>
            <w:tcW w:w="1089" w:type="pct"/>
            <w:tcBorders>
              <w:top w:val="single" w:color="auto" w:sz="8" w:space="0"/>
              <w:left w:val="single" w:color="auto" w:sz="8" w:space="0"/>
              <w:bottom w:val="single" w:color="auto" w:sz="8" w:space="0"/>
              <w:right w:val="single" w:color="auto" w:sz="8" w:space="0"/>
            </w:tcBorders>
            <w:vAlign w:val="center"/>
          </w:tcPr>
          <w:p>
            <w:pPr>
              <w:pStyle w:val="2"/>
              <w:spacing w:line="400" w:lineRule="exact"/>
              <w:ind w:firstLine="0" w:firstLineChars="0"/>
              <w:jc w:val="center"/>
              <w:rPr>
                <w:rFonts w:hAnsi="仿宋_GB2312" w:eastAsia="仿宋_GB2312" w:cs="仿宋_GB2312"/>
                <w:szCs w:val="24"/>
              </w:rPr>
            </w:pPr>
            <w:r>
              <w:rPr>
                <w:rFonts w:hint="eastAsia" w:hAnsi="仿宋_GB2312" w:eastAsia="仿宋_GB2312" w:cs="仿宋_GB2312"/>
                <w:szCs w:val="24"/>
              </w:rPr>
              <w:t>ST段抬高型心肌梗死患者急诊PCI微循环保护策略中国专家共识</w:t>
            </w:r>
          </w:p>
        </w:tc>
        <w:tc>
          <w:tcPr>
            <w:tcW w:w="458" w:type="pct"/>
            <w:tcBorders>
              <w:top w:val="single" w:color="auto" w:sz="8" w:space="0"/>
              <w:left w:val="single" w:color="auto" w:sz="8" w:space="0"/>
              <w:bottom w:val="single" w:color="auto" w:sz="8" w:space="0"/>
              <w:right w:val="single" w:color="auto" w:sz="8" w:space="0"/>
            </w:tcBorders>
            <w:vAlign w:val="center"/>
          </w:tcPr>
          <w:p>
            <w:pPr>
              <w:pStyle w:val="2"/>
              <w:spacing w:line="400" w:lineRule="exact"/>
              <w:ind w:firstLine="0" w:firstLineChars="0"/>
              <w:jc w:val="left"/>
              <w:rPr>
                <w:rFonts w:hAnsi="仿宋_GB2312" w:eastAsia="仿宋_GB2312" w:cs="仿宋_GB2312"/>
                <w:szCs w:val="24"/>
              </w:rPr>
            </w:pPr>
            <w:r>
              <w:rPr>
                <w:rFonts w:hint="eastAsia" w:hAnsi="仿宋_GB2312" w:eastAsia="仿宋_GB2312" w:cs="仿宋_GB2312"/>
                <w:szCs w:val="24"/>
              </w:rPr>
              <w:t>中国</w:t>
            </w:r>
          </w:p>
        </w:tc>
        <w:tc>
          <w:tcPr>
            <w:tcW w:w="536" w:type="pct"/>
            <w:tcBorders>
              <w:top w:val="single" w:color="auto" w:sz="8" w:space="0"/>
              <w:left w:val="single" w:color="auto" w:sz="8" w:space="0"/>
              <w:bottom w:val="single" w:color="auto" w:sz="8" w:space="0"/>
              <w:right w:val="single" w:color="auto" w:sz="8" w:space="0"/>
            </w:tcBorders>
            <w:vAlign w:val="center"/>
          </w:tcPr>
          <w:p>
            <w:pPr>
              <w:pStyle w:val="2"/>
              <w:spacing w:line="400" w:lineRule="exact"/>
              <w:ind w:firstLine="0" w:firstLineChars="0"/>
              <w:jc w:val="left"/>
              <w:rPr>
                <w:rFonts w:hAnsi="仿宋_GB2312" w:eastAsia="仿宋_GB2312" w:cs="仿宋_GB2312"/>
                <w:szCs w:val="24"/>
              </w:rPr>
            </w:pPr>
            <w:r>
              <w:rPr>
                <w:rFonts w:hint="eastAsia" w:hAnsi="仿宋_GB2312" w:eastAsia="仿宋_GB2312" w:cs="仿宋_GB2312"/>
                <w:szCs w:val="24"/>
              </w:rPr>
              <w:t>2022，10 ( 221-230 )</w:t>
            </w:r>
          </w:p>
        </w:tc>
        <w:tc>
          <w:tcPr>
            <w:tcW w:w="498" w:type="pct"/>
            <w:tcBorders>
              <w:top w:val="single" w:color="auto" w:sz="8" w:space="0"/>
              <w:left w:val="single" w:color="auto" w:sz="8" w:space="0"/>
              <w:bottom w:val="single" w:color="auto" w:sz="8" w:space="0"/>
              <w:right w:val="single" w:color="auto" w:sz="8" w:space="0"/>
            </w:tcBorders>
            <w:vAlign w:val="center"/>
          </w:tcPr>
          <w:p>
            <w:pPr>
              <w:pStyle w:val="2"/>
              <w:spacing w:line="400" w:lineRule="exact"/>
              <w:ind w:firstLine="0" w:firstLineChars="0"/>
              <w:jc w:val="left"/>
              <w:rPr>
                <w:rFonts w:hAnsi="仿宋_GB2312" w:eastAsia="仿宋_GB2312" w:cs="仿宋_GB2312"/>
                <w:szCs w:val="24"/>
              </w:rPr>
            </w:pPr>
          </w:p>
        </w:tc>
        <w:tc>
          <w:tcPr>
            <w:tcW w:w="422" w:type="pct"/>
            <w:tcBorders>
              <w:top w:val="single" w:color="auto" w:sz="8" w:space="0"/>
              <w:left w:val="single" w:color="auto" w:sz="8" w:space="0"/>
              <w:bottom w:val="single" w:color="auto" w:sz="8" w:space="0"/>
              <w:right w:val="single" w:color="auto" w:sz="8" w:space="0"/>
            </w:tcBorders>
            <w:vAlign w:val="center"/>
          </w:tcPr>
          <w:p>
            <w:pPr>
              <w:pStyle w:val="2"/>
              <w:spacing w:line="400" w:lineRule="exact"/>
              <w:ind w:firstLine="0" w:firstLineChars="0"/>
              <w:jc w:val="left"/>
              <w:rPr>
                <w:rFonts w:hAnsi="仿宋_GB2312" w:eastAsia="仿宋_GB2312" w:cs="仿宋_GB2312"/>
                <w:szCs w:val="24"/>
              </w:rPr>
            </w:pPr>
            <w:r>
              <w:rPr>
                <w:rFonts w:hint="eastAsia" w:hAnsi="仿宋_GB2312" w:eastAsia="仿宋_GB2312" w:cs="仿宋_GB2312"/>
                <w:szCs w:val="24"/>
              </w:rPr>
              <w:t>中华心血管病</w:t>
            </w:r>
          </w:p>
        </w:tc>
        <w:tc>
          <w:tcPr>
            <w:tcW w:w="602" w:type="pct"/>
            <w:tcBorders>
              <w:top w:val="single" w:color="auto" w:sz="8" w:space="0"/>
              <w:left w:val="single" w:color="auto" w:sz="8" w:space="0"/>
              <w:bottom w:val="single" w:color="auto" w:sz="8" w:space="0"/>
              <w:right w:val="single" w:color="auto" w:sz="8" w:space="0"/>
            </w:tcBorders>
            <w:vAlign w:val="center"/>
          </w:tcPr>
          <w:p>
            <w:pPr>
              <w:pStyle w:val="2"/>
              <w:spacing w:line="400" w:lineRule="exact"/>
              <w:ind w:firstLine="0" w:firstLineChars="0"/>
              <w:jc w:val="left"/>
              <w:rPr>
                <w:rFonts w:hAnsi="仿宋_GB2312" w:eastAsia="仿宋_GB2312" w:cs="仿宋_GB2312"/>
                <w:szCs w:val="24"/>
              </w:rPr>
            </w:pPr>
            <w:r>
              <w:rPr>
                <w:rFonts w:hint="eastAsia" w:hAnsi="仿宋_GB2312" w:eastAsia="仿宋_GB2312" w:cs="仿宋_GB2312"/>
                <w:szCs w:val="24"/>
              </w:rPr>
              <w:t>中国人民解放军第四军医大学</w:t>
            </w:r>
          </w:p>
        </w:tc>
        <w:tc>
          <w:tcPr>
            <w:tcW w:w="774" w:type="pct"/>
            <w:tcBorders>
              <w:top w:val="single" w:color="auto" w:sz="8" w:space="0"/>
              <w:left w:val="single" w:color="auto" w:sz="8" w:space="0"/>
              <w:bottom w:val="single" w:color="auto" w:sz="8" w:space="0"/>
              <w:right w:val="single" w:color="auto" w:sz="8" w:space="0"/>
            </w:tcBorders>
            <w:vAlign w:val="center"/>
          </w:tcPr>
          <w:p>
            <w:pPr>
              <w:pStyle w:val="2"/>
              <w:spacing w:line="400" w:lineRule="exact"/>
              <w:ind w:firstLine="0" w:firstLineChars="0"/>
              <w:jc w:val="left"/>
              <w:rPr>
                <w:rFonts w:hAnsi="仿宋_GB2312" w:eastAsia="仿宋_GB2312" w:cs="仿宋_GB2312"/>
                <w:szCs w:val="24"/>
              </w:rPr>
            </w:pPr>
            <w:r>
              <w:rPr>
                <w:rFonts w:hint="eastAsia" w:hAnsi="仿宋_GB2312" w:eastAsia="仿宋_GB2312" w:cs="仿宋_GB2312"/>
                <w:szCs w:val="24"/>
              </w:rPr>
              <w:t>王海昌（按首字母顺序排名）</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67" w:hRule="atLeast"/>
          <w:jc w:val="center"/>
        </w:trPr>
        <w:tc>
          <w:tcPr>
            <w:tcW w:w="309" w:type="pct"/>
            <w:tcBorders>
              <w:top w:val="single" w:color="auto" w:sz="8" w:space="0"/>
              <w:left w:val="single" w:color="auto" w:sz="8" w:space="0"/>
              <w:bottom w:val="single" w:color="auto" w:sz="8" w:space="0"/>
              <w:right w:val="single" w:color="auto" w:sz="8" w:space="0"/>
            </w:tcBorders>
            <w:vAlign w:val="center"/>
          </w:tcPr>
          <w:p>
            <w:pPr>
              <w:pStyle w:val="2"/>
              <w:spacing w:line="400" w:lineRule="exact"/>
              <w:ind w:firstLine="0" w:firstLineChars="0"/>
              <w:jc w:val="center"/>
              <w:rPr>
                <w:rFonts w:hAnsi="仿宋_GB2312" w:eastAsia="仿宋_GB2312" w:cs="仿宋_GB2312"/>
                <w:szCs w:val="24"/>
              </w:rPr>
            </w:pPr>
            <w:r>
              <w:rPr>
                <w:rFonts w:hint="eastAsia" w:hAnsi="仿宋_GB2312" w:eastAsia="仿宋_GB2312" w:cs="仿宋_GB2312"/>
                <w:szCs w:val="24"/>
              </w:rPr>
              <w:t>4</w:t>
            </w:r>
          </w:p>
        </w:tc>
        <w:tc>
          <w:tcPr>
            <w:tcW w:w="306" w:type="pct"/>
            <w:tcBorders>
              <w:top w:val="single" w:color="auto" w:sz="8" w:space="0"/>
              <w:left w:val="single" w:color="auto" w:sz="8" w:space="0"/>
              <w:bottom w:val="single" w:color="auto" w:sz="8" w:space="0"/>
              <w:right w:val="single" w:color="auto" w:sz="8" w:space="0"/>
            </w:tcBorders>
            <w:vAlign w:val="center"/>
          </w:tcPr>
          <w:p>
            <w:pPr>
              <w:pStyle w:val="2"/>
              <w:spacing w:line="400" w:lineRule="exact"/>
              <w:ind w:firstLine="0" w:firstLineChars="0"/>
              <w:jc w:val="left"/>
              <w:rPr>
                <w:rFonts w:hAnsi="仿宋_GB2312" w:eastAsia="仿宋_GB2312" w:cs="仿宋_GB2312"/>
                <w:szCs w:val="24"/>
              </w:rPr>
            </w:pPr>
            <w:r>
              <w:rPr>
                <w:rFonts w:hint="eastAsia" w:hAnsi="仿宋_GB2312" w:eastAsia="仿宋_GB2312" w:cs="仿宋_GB2312"/>
                <w:szCs w:val="24"/>
              </w:rPr>
              <w:t>论文</w:t>
            </w:r>
          </w:p>
        </w:tc>
        <w:tc>
          <w:tcPr>
            <w:tcW w:w="1089" w:type="pct"/>
            <w:tcBorders>
              <w:top w:val="single" w:color="auto" w:sz="8" w:space="0"/>
              <w:left w:val="single" w:color="auto" w:sz="8" w:space="0"/>
              <w:bottom w:val="single" w:color="auto" w:sz="8" w:space="0"/>
              <w:right w:val="single" w:color="auto" w:sz="8" w:space="0"/>
            </w:tcBorders>
            <w:vAlign w:val="center"/>
          </w:tcPr>
          <w:p>
            <w:pPr>
              <w:pStyle w:val="2"/>
              <w:spacing w:line="400" w:lineRule="exact"/>
              <w:ind w:firstLine="0" w:firstLineChars="0"/>
              <w:jc w:val="center"/>
              <w:rPr>
                <w:rFonts w:hAnsi="仿宋_GB2312" w:eastAsia="仿宋_GB2312" w:cs="仿宋_GB2312"/>
                <w:szCs w:val="24"/>
              </w:rPr>
            </w:pPr>
            <w:r>
              <w:rPr>
                <w:rFonts w:hint="eastAsia" w:hAnsi="仿宋_GB2312" w:eastAsia="仿宋_GB2312" w:cs="仿宋_GB2312"/>
                <w:szCs w:val="24"/>
              </w:rPr>
              <w:t>Adipsin inhibits Irak2 mitochondrial translocation and improves fatty acid β-oxidation to alleviate diabetic cardiomyopathy</w:t>
            </w:r>
          </w:p>
        </w:tc>
        <w:tc>
          <w:tcPr>
            <w:tcW w:w="458" w:type="pct"/>
            <w:tcBorders>
              <w:top w:val="single" w:color="auto" w:sz="8" w:space="0"/>
              <w:left w:val="single" w:color="auto" w:sz="8" w:space="0"/>
              <w:bottom w:val="single" w:color="auto" w:sz="8" w:space="0"/>
              <w:right w:val="single" w:color="auto" w:sz="8" w:space="0"/>
            </w:tcBorders>
            <w:vAlign w:val="center"/>
          </w:tcPr>
          <w:p>
            <w:pPr>
              <w:pStyle w:val="2"/>
              <w:spacing w:line="400" w:lineRule="exact"/>
              <w:ind w:firstLine="0" w:firstLineChars="0"/>
              <w:jc w:val="left"/>
              <w:rPr>
                <w:rFonts w:hAnsi="仿宋_GB2312" w:eastAsia="仿宋_GB2312" w:cs="仿宋_GB2312"/>
                <w:szCs w:val="24"/>
              </w:rPr>
            </w:pPr>
            <w:r>
              <w:rPr>
                <w:rFonts w:hint="eastAsia" w:hAnsi="仿宋_GB2312" w:eastAsia="仿宋_GB2312" w:cs="仿宋_GB2312"/>
                <w:szCs w:val="24"/>
              </w:rPr>
              <w:t>中国</w:t>
            </w:r>
          </w:p>
        </w:tc>
        <w:tc>
          <w:tcPr>
            <w:tcW w:w="536" w:type="pct"/>
            <w:tcBorders>
              <w:top w:val="single" w:color="auto" w:sz="8" w:space="0"/>
              <w:left w:val="single" w:color="auto" w:sz="8" w:space="0"/>
              <w:bottom w:val="single" w:color="auto" w:sz="8" w:space="0"/>
              <w:right w:val="single" w:color="auto" w:sz="8" w:space="0"/>
            </w:tcBorders>
            <w:vAlign w:val="center"/>
          </w:tcPr>
          <w:p>
            <w:pPr>
              <w:pStyle w:val="2"/>
              <w:spacing w:line="400" w:lineRule="exact"/>
              <w:ind w:firstLine="0" w:firstLineChars="0"/>
              <w:jc w:val="left"/>
              <w:rPr>
                <w:rFonts w:hAnsi="仿宋_GB2312" w:eastAsia="仿宋_GB2312" w:cs="仿宋_GB2312"/>
                <w:szCs w:val="24"/>
              </w:rPr>
            </w:pPr>
            <w:r>
              <w:rPr>
                <w:rFonts w:hint="eastAsia" w:hAnsi="仿宋_GB2312" w:eastAsia="仿宋_GB2312" w:cs="仿宋_GB2312"/>
                <w:szCs w:val="24"/>
              </w:rPr>
              <w:t>2023,10(1):63</w:t>
            </w:r>
          </w:p>
        </w:tc>
        <w:tc>
          <w:tcPr>
            <w:tcW w:w="498" w:type="pct"/>
            <w:tcBorders>
              <w:top w:val="single" w:color="auto" w:sz="8" w:space="0"/>
              <w:left w:val="single" w:color="auto" w:sz="8" w:space="0"/>
              <w:bottom w:val="single" w:color="auto" w:sz="8" w:space="0"/>
              <w:right w:val="single" w:color="auto" w:sz="8" w:space="0"/>
            </w:tcBorders>
            <w:vAlign w:val="center"/>
          </w:tcPr>
          <w:p>
            <w:pPr>
              <w:pStyle w:val="2"/>
              <w:spacing w:line="400" w:lineRule="exact"/>
              <w:ind w:firstLine="0" w:firstLineChars="0"/>
              <w:jc w:val="left"/>
              <w:rPr>
                <w:rFonts w:hAnsi="仿宋_GB2312" w:eastAsia="仿宋_GB2312" w:cs="仿宋_GB2312"/>
                <w:szCs w:val="24"/>
              </w:rPr>
            </w:pPr>
            <w:r>
              <w:rPr>
                <w:rFonts w:hint="eastAsia" w:hAnsi="仿宋_GB2312" w:eastAsia="仿宋_GB2312" w:cs="仿宋_GB2312"/>
                <w:szCs w:val="24"/>
              </w:rPr>
              <w:t>2023年12月11</w:t>
            </w:r>
          </w:p>
        </w:tc>
        <w:tc>
          <w:tcPr>
            <w:tcW w:w="422" w:type="pct"/>
            <w:tcBorders>
              <w:top w:val="single" w:color="auto" w:sz="8" w:space="0"/>
              <w:left w:val="single" w:color="auto" w:sz="8" w:space="0"/>
              <w:bottom w:val="single" w:color="auto" w:sz="8" w:space="0"/>
              <w:right w:val="single" w:color="auto" w:sz="8" w:space="0"/>
            </w:tcBorders>
            <w:vAlign w:val="center"/>
          </w:tcPr>
          <w:p>
            <w:pPr>
              <w:pStyle w:val="2"/>
              <w:spacing w:line="400" w:lineRule="exact"/>
              <w:ind w:firstLine="0" w:firstLineChars="0"/>
              <w:jc w:val="left"/>
              <w:rPr>
                <w:rFonts w:hAnsi="仿宋_GB2312" w:eastAsia="仿宋_GB2312" w:cs="仿宋_GB2312"/>
                <w:szCs w:val="24"/>
              </w:rPr>
            </w:pPr>
            <w:r>
              <w:rPr>
                <w:rFonts w:hint="eastAsia" w:hAnsi="仿宋_GB2312" w:eastAsia="仿宋_GB2312" w:cs="仿宋_GB2312"/>
                <w:szCs w:val="24"/>
              </w:rPr>
              <w:t>Military Medical Research</w:t>
            </w:r>
          </w:p>
        </w:tc>
        <w:tc>
          <w:tcPr>
            <w:tcW w:w="602" w:type="pct"/>
            <w:tcBorders>
              <w:top w:val="single" w:color="auto" w:sz="8" w:space="0"/>
              <w:left w:val="single" w:color="auto" w:sz="8" w:space="0"/>
              <w:bottom w:val="single" w:color="auto" w:sz="8" w:space="0"/>
              <w:right w:val="single" w:color="auto" w:sz="8" w:space="0"/>
            </w:tcBorders>
            <w:vAlign w:val="center"/>
          </w:tcPr>
          <w:p>
            <w:pPr>
              <w:pStyle w:val="2"/>
              <w:spacing w:line="400" w:lineRule="exact"/>
              <w:ind w:firstLine="0" w:firstLineChars="0"/>
              <w:jc w:val="left"/>
              <w:rPr>
                <w:rFonts w:hAnsi="仿宋_GB2312" w:eastAsia="仿宋_GB2312" w:cs="仿宋_GB2312"/>
                <w:szCs w:val="24"/>
              </w:rPr>
            </w:pPr>
            <w:r>
              <w:rPr>
                <w:rFonts w:hint="eastAsia" w:hAnsi="仿宋_GB2312" w:eastAsia="仿宋_GB2312" w:cs="仿宋_GB2312"/>
                <w:szCs w:val="24"/>
              </w:rPr>
              <w:t>中国人民解放军第四军医大学；中国人民解放军总医院</w:t>
            </w:r>
          </w:p>
        </w:tc>
        <w:tc>
          <w:tcPr>
            <w:tcW w:w="774" w:type="pct"/>
            <w:tcBorders>
              <w:top w:val="single" w:color="auto" w:sz="8" w:space="0"/>
              <w:left w:val="single" w:color="auto" w:sz="8" w:space="0"/>
              <w:bottom w:val="single" w:color="auto" w:sz="8" w:space="0"/>
              <w:right w:val="single" w:color="auto" w:sz="8" w:space="0"/>
            </w:tcBorders>
            <w:vAlign w:val="center"/>
          </w:tcPr>
          <w:p>
            <w:pPr>
              <w:pStyle w:val="2"/>
              <w:spacing w:line="400" w:lineRule="exact"/>
              <w:ind w:firstLine="0" w:firstLineChars="0"/>
              <w:jc w:val="left"/>
              <w:rPr>
                <w:rFonts w:hAnsi="仿宋_GB2312" w:eastAsia="仿宋_GB2312" w:cs="仿宋_GB2312"/>
                <w:szCs w:val="24"/>
              </w:rPr>
            </w:pPr>
            <w:r>
              <w:rPr>
                <w:rFonts w:hint="eastAsia" w:hAnsi="仿宋_GB2312" w:eastAsia="仿宋_GB2312" w:cs="仿宋_GB2312"/>
                <w:szCs w:val="24"/>
              </w:rPr>
              <w:t>姜梦圆；满万荣；张学斌；张孝华；段宇；蔺杰；张龑；曹杨；吴德喜；舒晓飞；辛蕾；王皓；张霄；李聪叶；顾晓明；张璇；孙冬冬</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67" w:hRule="atLeast"/>
          <w:jc w:val="center"/>
        </w:trPr>
        <w:tc>
          <w:tcPr>
            <w:tcW w:w="309" w:type="pct"/>
            <w:tcBorders>
              <w:top w:val="single" w:color="auto" w:sz="8" w:space="0"/>
              <w:left w:val="single" w:color="auto" w:sz="8" w:space="0"/>
              <w:bottom w:val="single" w:color="auto" w:sz="8" w:space="0"/>
              <w:right w:val="single" w:color="auto" w:sz="8" w:space="0"/>
            </w:tcBorders>
            <w:vAlign w:val="center"/>
          </w:tcPr>
          <w:p>
            <w:pPr>
              <w:pStyle w:val="2"/>
              <w:spacing w:line="400" w:lineRule="exact"/>
              <w:ind w:firstLine="0" w:firstLineChars="0"/>
              <w:jc w:val="center"/>
              <w:rPr>
                <w:rFonts w:hAnsi="仿宋_GB2312" w:eastAsia="仿宋_GB2312" w:cs="仿宋_GB2312"/>
                <w:szCs w:val="24"/>
              </w:rPr>
            </w:pPr>
            <w:r>
              <w:rPr>
                <w:rFonts w:hint="eastAsia" w:hAnsi="仿宋_GB2312" w:eastAsia="仿宋_GB2312" w:cs="仿宋_GB2312"/>
                <w:szCs w:val="24"/>
              </w:rPr>
              <w:t>5</w:t>
            </w:r>
          </w:p>
        </w:tc>
        <w:tc>
          <w:tcPr>
            <w:tcW w:w="306" w:type="pct"/>
            <w:tcBorders>
              <w:top w:val="single" w:color="auto" w:sz="8" w:space="0"/>
              <w:left w:val="single" w:color="auto" w:sz="8" w:space="0"/>
              <w:bottom w:val="single" w:color="auto" w:sz="8" w:space="0"/>
              <w:right w:val="single" w:color="auto" w:sz="8" w:space="0"/>
            </w:tcBorders>
            <w:vAlign w:val="center"/>
          </w:tcPr>
          <w:p>
            <w:pPr>
              <w:pStyle w:val="2"/>
              <w:spacing w:line="400" w:lineRule="exact"/>
              <w:ind w:firstLine="0" w:firstLineChars="0"/>
              <w:jc w:val="left"/>
              <w:rPr>
                <w:rFonts w:hAnsi="仿宋_GB2312" w:eastAsia="仿宋_GB2312" w:cs="仿宋_GB2312"/>
                <w:szCs w:val="24"/>
              </w:rPr>
            </w:pPr>
            <w:r>
              <w:rPr>
                <w:rFonts w:hint="eastAsia" w:hAnsi="仿宋_GB2312" w:eastAsia="仿宋_GB2312" w:cs="仿宋_GB2312"/>
                <w:szCs w:val="24"/>
              </w:rPr>
              <w:t>论文</w:t>
            </w:r>
          </w:p>
        </w:tc>
        <w:tc>
          <w:tcPr>
            <w:tcW w:w="1089" w:type="pct"/>
            <w:tcBorders>
              <w:top w:val="single" w:color="auto" w:sz="8" w:space="0"/>
              <w:left w:val="single" w:color="auto" w:sz="8" w:space="0"/>
              <w:bottom w:val="single" w:color="auto" w:sz="8" w:space="0"/>
              <w:right w:val="single" w:color="auto" w:sz="8" w:space="0"/>
            </w:tcBorders>
            <w:vAlign w:val="center"/>
          </w:tcPr>
          <w:p>
            <w:pPr>
              <w:pStyle w:val="2"/>
              <w:spacing w:line="400" w:lineRule="exact"/>
              <w:ind w:firstLine="0" w:firstLineChars="0"/>
              <w:jc w:val="center"/>
              <w:rPr>
                <w:rFonts w:hAnsi="仿宋_GB2312" w:eastAsia="仿宋_GB2312" w:cs="仿宋_GB2312"/>
                <w:szCs w:val="24"/>
              </w:rPr>
            </w:pPr>
            <w:r>
              <w:rPr>
                <w:rFonts w:hint="eastAsia" w:hAnsi="仿宋_GB2312" w:eastAsia="仿宋_GB2312" w:cs="仿宋_GB2312"/>
                <w:szCs w:val="24"/>
              </w:rPr>
              <w:t>Rnd3 suppresses endothelial cell pyroptosis in atherosclerosis through regulation of ubiquitination of TRAF6</w:t>
            </w:r>
          </w:p>
        </w:tc>
        <w:tc>
          <w:tcPr>
            <w:tcW w:w="458" w:type="pct"/>
            <w:tcBorders>
              <w:top w:val="single" w:color="auto" w:sz="8" w:space="0"/>
              <w:left w:val="single" w:color="auto" w:sz="8" w:space="0"/>
              <w:bottom w:val="single" w:color="auto" w:sz="8" w:space="0"/>
              <w:right w:val="single" w:color="auto" w:sz="8" w:space="0"/>
            </w:tcBorders>
            <w:vAlign w:val="center"/>
          </w:tcPr>
          <w:p>
            <w:pPr>
              <w:pStyle w:val="2"/>
              <w:spacing w:line="400" w:lineRule="exact"/>
              <w:ind w:firstLine="0" w:firstLineChars="0"/>
              <w:jc w:val="left"/>
              <w:rPr>
                <w:rFonts w:hAnsi="仿宋_GB2312" w:eastAsia="仿宋_GB2312" w:cs="仿宋_GB2312"/>
                <w:szCs w:val="24"/>
              </w:rPr>
            </w:pPr>
            <w:r>
              <w:rPr>
                <w:rFonts w:hint="eastAsia" w:hAnsi="仿宋_GB2312" w:eastAsia="仿宋_GB2312" w:cs="仿宋_GB2312"/>
                <w:szCs w:val="24"/>
              </w:rPr>
              <w:t>中国</w:t>
            </w:r>
          </w:p>
        </w:tc>
        <w:tc>
          <w:tcPr>
            <w:tcW w:w="536" w:type="pct"/>
            <w:tcBorders>
              <w:top w:val="single" w:color="auto" w:sz="8" w:space="0"/>
              <w:left w:val="single" w:color="auto" w:sz="8" w:space="0"/>
              <w:bottom w:val="single" w:color="auto" w:sz="8" w:space="0"/>
              <w:right w:val="single" w:color="auto" w:sz="8" w:space="0"/>
            </w:tcBorders>
            <w:vAlign w:val="center"/>
          </w:tcPr>
          <w:p>
            <w:pPr>
              <w:pStyle w:val="2"/>
              <w:spacing w:line="400" w:lineRule="exact"/>
              <w:ind w:firstLine="0" w:firstLineChars="0"/>
              <w:jc w:val="left"/>
              <w:rPr>
                <w:rFonts w:hAnsi="仿宋_GB2312" w:eastAsia="仿宋_GB2312" w:cs="仿宋_GB2312"/>
                <w:szCs w:val="24"/>
              </w:rPr>
            </w:pPr>
            <w:r>
              <w:rPr>
                <w:rFonts w:hint="eastAsia" w:hAnsi="仿宋_GB2312" w:eastAsia="仿宋_GB2312" w:cs="仿宋_GB2312"/>
                <w:szCs w:val="24"/>
              </w:rPr>
              <w:t>2023,13(9):e1406</w:t>
            </w:r>
          </w:p>
        </w:tc>
        <w:tc>
          <w:tcPr>
            <w:tcW w:w="498" w:type="pct"/>
            <w:tcBorders>
              <w:top w:val="single" w:color="auto" w:sz="8" w:space="0"/>
              <w:left w:val="single" w:color="auto" w:sz="8" w:space="0"/>
              <w:bottom w:val="single" w:color="auto" w:sz="8" w:space="0"/>
              <w:right w:val="single" w:color="auto" w:sz="8" w:space="0"/>
            </w:tcBorders>
            <w:vAlign w:val="center"/>
          </w:tcPr>
          <w:p>
            <w:pPr>
              <w:pStyle w:val="2"/>
              <w:spacing w:line="400" w:lineRule="exact"/>
              <w:ind w:firstLine="0" w:firstLineChars="0"/>
              <w:jc w:val="left"/>
              <w:rPr>
                <w:rFonts w:hAnsi="仿宋_GB2312" w:eastAsia="仿宋_GB2312" w:cs="仿宋_GB2312"/>
                <w:szCs w:val="24"/>
              </w:rPr>
            </w:pPr>
            <w:r>
              <w:rPr>
                <w:rFonts w:hint="eastAsia" w:hAnsi="仿宋_GB2312" w:eastAsia="仿宋_GB2312" w:cs="仿宋_GB2312"/>
                <w:szCs w:val="24"/>
              </w:rPr>
              <w:t>2023年9月24日</w:t>
            </w:r>
          </w:p>
        </w:tc>
        <w:tc>
          <w:tcPr>
            <w:tcW w:w="422" w:type="pct"/>
            <w:tcBorders>
              <w:top w:val="single" w:color="auto" w:sz="8" w:space="0"/>
              <w:left w:val="single" w:color="auto" w:sz="8" w:space="0"/>
              <w:bottom w:val="single" w:color="auto" w:sz="8" w:space="0"/>
              <w:right w:val="single" w:color="auto" w:sz="8" w:space="0"/>
            </w:tcBorders>
            <w:vAlign w:val="center"/>
          </w:tcPr>
          <w:p>
            <w:pPr>
              <w:pStyle w:val="2"/>
              <w:spacing w:line="400" w:lineRule="exact"/>
              <w:ind w:firstLine="0" w:firstLineChars="0"/>
              <w:jc w:val="left"/>
              <w:rPr>
                <w:rFonts w:hAnsi="仿宋_GB2312" w:eastAsia="仿宋_GB2312" w:cs="仿宋_GB2312"/>
                <w:szCs w:val="24"/>
              </w:rPr>
            </w:pPr>
            <w:r>
              <w:rPr>
                <w:rFonts w:hint="eastAsia" w:hAnsi="仿宋_GB2312" w:eastAsia="仿宋_GB2312" w:cs="仿宋_GB2312"/>
                <w:szCs w:val="24"/>
              </w:rPr>
              <w:t xml:space="preserve">Clinical and Translational Medicine </w:t>
            </w:r>
          </w:p>
        </w:tc>
        <w:tc>
          <w:tcPr>
            <w:tcW w:w="602" w:type="pct"/>
            <w:tcBorders>
              <w:top w:val="single" w:color="auto" w:sz="8" w:space="0"/>
              <w:left w:val="single" w:color="auto" w:sz="8" w:space="0"/>
              <w:bottom w:val="single" w:color="auto" w:sz="8" w:space="0"/>
              <w:right w:val="single" w:color="auto" w:sz="8" w:space="0"/>
            </w:tcBorders>
            <w:vAlign w:val="center"/>
          </w:tcPr>
          <w:p>
            <w:pPr>
              <w:pStyle w:val="2"/>
              <w:spacing w:line="400" w:lineRule="exact"/>
              <w:ind w:firstLine="0" w:firstLineChars="0"/>
              <w:jc w:val="left"/>
              <w:rPr>
                <w:rFonts w:hAnsi="仿宋_GB2312" w:eastAsia="仿宋_GB2312" w:cs="仿宋_GB2312"/>
                <w:szCs w:val="24"/>
              </w:rPr>
            </w:pPr>
            <w:r>
              <w:rPr>
                <w:rFonts w:hint="eastAsia" w:hAnsi="仿宋_GB2312" w:eastAsia="仿宋_GB2312" w:cs="仿宋_GB2312"/>
                <w:szCs w:val="24"/>
              </w:rPr>
              <w:t>中国人民解放军第四军医大学</w:t>
            </w:r>
          </w:p>
        </w:tc>
        <w:tc>
          <w:tcPr>
            <w:tcW w:w="774" w:type="pct"/>
            <w:tcBorders>
              <w:top w:val="single" w:color="auto" w:sz="8" w:space="0"/>
              <w:left w:val="single" w:color="auto" w:sz="8" w:space="0"/>
              <w:bottom w:val="single" w:color="auto" w:sz="8" w:space="0"/>
              <w:right w:val="single" w:color="auto" w:sz="8" w:space="0"/>
            </w:tcBorders>
            <w:vAlign w:val="center"/>
          </w:tcPr>
          <w:p>
            <w:pPr>
              <w:pStyle w:val="2"/>
              <w:spacing w:line="400" w:lineRule="exact"/>
              <w:ind w:firstLine="0" w:firstLineChars="0"/>
              <w:jc w:val="left"/>
              <w:rPr>
                <w:rFonts w:hAnsi="仿宋_GB2312" w:eastAsia="仿宋_GB2312" w:cs="仿宋_GB2312"/>
                <w:szCs w:val="24"/>
              </w:rPr>
            </w:pPr>
            <w:r>
              <w:rPr>
                <w:rFonts w:hint="eastAsia" w:hAnsi="仿宋_GB2312" w:eastAsia="仿宋_GB2312" w:cs="仿宋_GB2312"/>
                <w:szCs w:val="24"/>
              </w:rPr>
              <w:t>张；朱正茹；曹杨；熊振宇；段宇；蔺杰；张学斌；姜梦圆；刘悦；满万荣；贾腾飞；冯嘉旭；陈妍妍；李聪叶；郭宝林；孙冬冬</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67" w:hRule="atLeast"/>
          <w:jc w:val="center"/>
        </w:trPr>
        <w:tc>
          <w:tcPr>
            <w:tcW w:w="309" w:type="pct"/>
            <w:tcBorders>
              <w:top w:val="single" w:color="auto" w:sz="8" w:space="0"/>
              <w:left w:val="single" w:color="auto" w:sz="8" w:space="0"/>
              <w:bottom w:val="single" w:color="auto" w:sz="8" w:space="0"/>
              <w:right w:val="single" w:color="auto" w:sz="8" w:space="0"/>
            </w:tcBorders>
            <w:vAlign w:val="center"/>
          </w:tcPr>
          <w:p>
            <w:pPr>
              <w:pStyle w:val="2"/>
              <w:spacing w:line="400" w:lineRule="exact"/>
              <w:ind w:firstLine="0" w:firstLineChars="0"/>
              <w:jc w:val="center"/>
              <w:rPr>
                <w:rFonts w:hAnsi="仿宋_GB2312" w:eastAsia="仿宋_GB2312" w:cs="仿宋_GB2312"/>
                <w:szCs w:val="24"/>
              </w:rPr>
            </w:pPr>
            <w:r>
              <w:rPr>
                <w:rFonts w:hint="eastAsia" w:hAnsi="仿宋_GB2312" w:eastAsia="仿宋_GB2312" w:cs="仿宋_GB2312"/>
                <w:szCs w:val="24"/>
              </w:rPr>
              <w:t>6</w:t>
            </w:r>
          </w:p>
        </w:tc>
        <w:tc>
          <w:tcPr>
            <w:tcW w:w="306" w:type="pct"/>
            <w:tcBorders>
              <w:top w:val="single" w:color="auto" w:sz="8" w:space="0"/>
              <w:left w:val="single" w:color="auto" w:sz="8" w:space="0"/>
              <w:bottom w:val="single" w:color="auto" w:sz="8" w:space="0"/>
              <w:right w:val="single" w:color="auto" w:sz="8" w:space="0"/>
            </w:tcBorders>
            <w:vAlign w:val="center"/>
          </w:tcPr>
          <w:p>
            <w:pPr>
              <w:pStyle w:val="2"/>
              <w:spacing w:line="400" w:lineRule="exact"/>
              <w:ind w:firstLine="0" w:firstLineChars="0"/>
              <w:jc w:val="left"/>
              <w:rPr>
                <w:rFonts w:hAnsi="仿宋_GB2312" w:eastAsia="仿宋_GB2312" w:cs="仿宋_GB2312"/>
                <w:szCs w:val="24"/>
              </w:rPr>
            </w:pPr>
            <w:r>
              <w:rPr>
                <w:rFonts w:hint="eastAsia" w:hAnsi="仿宋_GB2312" w:eastAsia="仿宋_GB2312" w:cs="仿宋_GB2312"/>
                <w:szCs w:val="24"/>
              </w:rPr>
              <w:t>论文</w:t>
            </w:r>
          </w:p>
        </w:tc>
        <w:tc>
          <w:tcPr>
            <w:tcW w:w="1089" w:type="pct"/>
            <w:tcBorders>
              <w:top w:val="single" w:color="auto" w:sz="8" w:space="0"/>
              <w:left w:val="single" w:color="auto" w:sz="8" w:space="0"/>
              <w:bottom w:val="single" w:color="auto" w:sz="8" w:space="0"/>
              <w:right w:val="single" w:color="auto" w:sz="8" w:space="0"/>
            </w:tcBorders>
            <w:vAlign w:val="center"/>
          </w:tcPr>
          <w:p>
            <w:pPr>
              <w:pStyle w:val="2"/>
              <w:spacing w:line="400" w:lineRule="exact"/>
              <w:ind w:firstLine="0" w:firstLineChars="0"/>
              <w:jc w:val="center"/>
              <w:rPr>
                <w:rFonts w:hAnsi="仿宋_GB2312" w:eastAsia="仿宋_GB2312" w:cs="仿宋_GB2312"/>
                <w:szCs w:val="24"/>
              </w:rPr>
            </w:pPr>
            <w:r>
              <w:rPr>
                <w:rFonts w:hint="eastAsia" w:hAnsi="仿宋_GB2312" w:eastAsia="仿宋_GB2312" w:cs="仿宋_GB2312"/>
                <w:szCs w:val="24"/>
              </w:rPr>
              <w:t>Adipsin alleviates cardiac microvascular injury in diabetic cardiomyopathy through Csk-dependent signaling mechanism</w:t>
            </w:r>
          </w:p>
        </w:tc>
        <w:tc>
          <w:tcPr>
            <w:tcW w:w="458" w:type="pct"/>
            <w:tcBorders>
              <w:top w:val="single" w:color="auto" w:sz="8" w:space="0"/>
              <w:left w:val="single" w:color="auto" w:sz="8" w:space="0"/>
              <w:bottom w:val="single" w:color="auto" w:sz="8" w:space="0"/>
              <w:right w:val="single" w:color="auto" w:sz="8" w:space="0"/>
            </w:tcBorders>
            <w:vAlign w:val="center"/>
          </w:tcPr>
          <w:p>
            <w:pPr>
              <w:pStyle w:val="2"/>
              <w:spacing w:line="400" w:lineRule="exact"/>
              <w:ind w:firstLine="0" w:firstLineChars="0"/>
              <w:jc w:val="left"/>
              <w:rPr>
                <w:rFonts w:hAnsi="仿宋_GB2312" w:eastAsia="仿宋_GB2312" w:cs="仿宋_GB2312"/>
                <w:szCs w:val="24"/>
              </w:rPr>
            </w:pPr>
            <w:r>
              <w:rPr>
                <w:rFonts w:hint="eastAsia" w:hAnsi="仿宋_GB2312" w:eastAsia="仿宋_GB2312" w:cs="仿宋_GB2312"/>
                <w:szCs w:val="24"/>
              </w:rPr>
              <w:t>中国</w:t>
            </w:r>
          </w:p>
        </w:tc>
        <w:tc>
          <w:tcPr>
            <w:tcW w:w="536" w:type="pct"/>
            <w:tcBorders>
              <w:top w:val="single" w:color="auto" w:sz="8" w:space="0"/>
              <w:left w:val="single" w:color="auto" w:sz="8" w:space="0"/>
              <w:bottom w:val="single" w:color="auto" w:sz="8" w:space="0"/>
              <w:right w:val="single" w:color="auto" w:sz="8" w:space="0"/>
            </w:tcBorders>
            <w:vAlign w:val="center"/>
          </w:tcPr>
          <w:p>
            <w:pPr>
              <w:pStyle w:val="2"/>
              <w:spacing w:line="400" w:lineRule="exact"/>
              <w:ind w:firstLine="0" w:firstLineChars="0"/>
              <w:jc w:val="left"/>
              <w:rPr>
                <w:rFonts w:hAnsi="仿宋_GB2312" w:eastAsia="仿宋_GB2312" w:cs="仿宋_GB2312"/>
                <w:szCs w:val="24"/>
              </w:rPr>
            </w:pPr>
            <w:r>
              <w:rPr>
                <w:rFonts w:hint="eastAsia" w:hAnsi="仿宋_GB2312" w:eastAsia="仿宋_GB2312" w:cs="仿宋_GB2312"/>
                <w:szCs w:val="24"/>
              </w:rPr>
              <w:t>2023，26;21(1):197</w:t>
            </w:r>
          </w:p>
        </w:tc>
        <w:tc>
          <w:tcPr>
            <w:tcW w:w="498" w:type="pct"/>
            <w:tcBorders>
              <w:top w:val="single" w:color="auto" w:sz="8" w:space="0"/>
              <w:left w:val="single" w:color="auto" w:sz="8" w:space="0"/>
              <w:bottom w:val="single" w:color="auto" w:sz="8" w:space="0"/>
              <w:right w:val="single" w:color="auto" w:sz="8" w:space="0"/>
            </w:tcBorders>
            <w:vAlign w:val="center"/>
          </w:tcPr>
          <w:p>
            <w:pPr>
              <w:pStyle w:val="2"/>
              <w:spacing w:line="400" w:lineRule="exact"/>
              <w:ind w:firstLine="0" w:firstLineChars="0"/>
              <w:jc w:val="left"/>
              <w:rPr>
                <w:rFonts w:hAnsi="仿宋_GB2312" w:eastAsia="仿宋_GB2312" w:cs="仿宋_GB2312"/>
                <w:szCs w:val="24"/>
              </w:rPr>
            </w:pPr>
            <w:r>
              <w:rPr>
                <w:rFonts w:hint="eastAsia" w:hAnsi="仿宋_GB2312" w:eastAsia="仿宋_GB2312" w:cs="仿宋_GB2312"/>
                <w:szCs w:val="24"/>
              </w:rPr>
              <w:t>2023年5月26日</w:t>
            </w:r>
          </w:p>
        </w:tc>
        <w:tc>
          <w:tcPr>
            <w:tcW w:w="422" w:type="pct"/>
            <w:tcBorders>
              <w:top w:val="single" w:color="auto" w:sz="8" w:space="0"/>
              <w:left w:val="single" w:color="auto" w:sz="8" w:space="0"/>
              <w:bottom w:val="single" w:color="auto" w:sz="8" w:space="0"/>
              <w:right w:val="single" w:color="auto" w:sz="8" w:space="0"/>
            </w:tcBorders>
            <w:vAlign w:val="center"/>
          </w:tcPr>
          <w:p>
            <w:pPr>
              <w:pStyle w:val="2"/>
              <w:spacing w:line="400" w:lineRule="exact"/>
              <w:ind w:firstLine="0" w:firstLineChars="0"/>
              <w:jc w:val="left"/>
              <w:rPr>
                <w:rFonts w:hAnsi="仿宋_GB2312" w:eastAsia="仿宋_GB2312" w:cs="仿宋_GB2312"/>
                <w:szCs w:val="24"/>
              </w:rPr>
            </w:pPr>
            <w:r>
              <w:rPr>
                <w:rFonts w:hint="eastAsia" w:hAnsi="仿宋_GB2312" w:eastAsia="仿宋_GB2312" w:cs="仿宋_GB2312"/>
                <w:szCs w:val="24"/>
              </w:rPr>
              <w:t>BMC Medicine</w:t>
            </w:r>
          </w:p>
        </w:tc>
        <w:tc>
          <w:tcPr>
            <w:tcW w:w="602" w:type="pct"/>
            <w:tcBorders>
              <w:top w:val="single" w:color="auto" w:sz="8" w:space="0"/>
              <w:left w:val="single" w:color="auto" w:sz="8" w:space="0"/>
              <w:bottom w:val="single" w:color="auto" w:sz="8" w:space="0"/>
              <w:right w:val="single" w:color="auto" w:sz="8" w:space="0"/>
            </w:tcBorders>
            <w:vAlign w:val="center"/>
          </w:tcPr>
          <w:p>
            <w:pPr>
              <w:pStyle w:val="2"/>
              <w:spacing w:line="400" w:lineRule="exact"/>
              <w:ind w:firstLine="0" w:firstLineChars="0"/>
              <w:jc w:val="left"/>
              <w:rPr>
                <w:rFonts w:hAnsi="仿宋_GB2312" w:eastAsia="仿宋_GB2312" w:cs="仿宋_GB2312"/>
                <w:szCs w:val="24"/>
              </w:rPr>
            </w:pPr>
            <w:r>
              <w:rPr>
                <w:rFonts w:hint="eastAsia" w:hAnsi="仿宋_GB2312" w:eastAsia="仿宋_GB2312" w:cs="仿宋_GB2312"/>
                <w:szCs w:val="24"/>
              </w:rPr>
              <w:t>中国人民解放军第四军医大学</w:t>
            </w:r>
          </w:p>
        </w:tc>
        <w:tc>
          <w:tcPr>
            <w:tcW w:w="774" w:type="pct"/>
            <w:tcBorders>
              <w:top w:val="single" w:color="auto" w:sz="8" w:space="0"/>
              <w:left w:val="single" w:color="auto" w:sz="8" w:space="0"/>
              <w:bottom w:val="single" w:color="auto" w:sz="8" w:space="0"/>
              <w:right w:val="single" w:color="auto" w:sz="8" w:space="0"/>
            </w:tcBorders>
            <w:vAlign w:val="center"/>
          </w:tcPr>
          <w:p>
            <w:pPr>
              <w:pStyle w:val="2"/>
              <w:spacing w:line="400" w:lineRule="exact"/>
              <w:ind w:firstLine="0" w:firstLineChars="0"/>
              <w:jc w:val="left"/>
              <w:rPr>
                <w:rFonts w:hAnsi="仿宋_GB2312" w:eastAsia="仿宋_GB2312" w:cs="仿宋_GB2312"/>
                <w:szCs w:val="24"/>
              </w:rPr>
            </w:pPr>
            <w:r>
              <w:rPr>
                <w:rFonts w:hint="eastAsia" w:hAnsi="仿宋_GB2312" w:eastAsia="仿宋_GB2312" w:cs="仿宋_GB2312"/>
                <w:szCs w:val="24"/>
              </w:rPr>
              <w:t>张学斌；段宇；张霄；姜梦圆；满万荣；张；吴德喜；张继业；宋兴隆；李聪叶；蔺杰；孙冬冬</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67" w:hRule="atLeast"/>
          <w:jc w:val="center"/>
        </w:trPr>
        <w:tc>
          <w:tcPr>
            <w:tcW w:w="309" w:type="pct"/>
            <w:tcBorders>
              <w:top w:val="single" w:color="auto" w:sz="8" w:space="0"/>
              <w:left w:val="single" w:color="auto" w:sz="8" w:space="0"/>
              <w:bottom w:val="single" w:color="auto" w:sz="8" w:space="0"/>
              <w:right w:val="single" w:color="auto" w:sz="8" w:space="0"/>
            </w:tcBorders>
            <w:vAlign w:val="center"/>
          </w:tcPr>
          <w:p>
            <w:pPr>
              <w:pStyle w:val="2"/>
              <w:spacing w:line="400" w:lineRule="exact"/>
              <w:ind w:firstLine="0" w:firstLineChars="0"/>
              <w:jc w:val="center"/>
              <w:rPr>
                <w:rFonts w:hAnsi="仿宋_GB2312" w:eastAsia="仿宋_GB2312" w:cs="仿宋_GB2312"/>
                <w:szCs w:val="24"/>
              </w:rPr>
            </w:pPr>
            <w:r>
              <w:rPr>
                <w:rFonts w:hint="eastAsia" w:hAnsi="仿宋_GB2312" w:eastAsia="仿宋_GB2312" w:cs="仿宋_GB2312"/>
                <w:szCs w:val="24"/>
              </w:rPr>
              <w:t>7</w:t>
            </w:r>
          </w:p>
        </w:tc>
        <w:tc>
          <w:tcPr>
            <w:tcW w:w="306" w:type="pct"/>
            <w:tcBorders>
              <w:top w:val="single" w:color="auto" w:sz="8" w:space="0"/>
              <w:left w:val="single" w:color="auto" w:sz="8" w:space="0"/>
              <w:bottom w:val="single" w:color="auto" w:sz="8" w:space="0"/>
              <w:right w:val="single" w:color="auto" w:sz="8" w:space="0"/>
            </w:tcBorders>
            <w:vAlign w:val="center"/>
          </w:tcPr>
          <w:p>
            <w:pPr>
              <w:pStyle w:val="2"/>
              <w:spacing w:line="400" w:lineRule="exact"/>
              <w:ind w:firstLine="0" w:firstLineChars="0"/>
              <w:jc w:val="left"/>
              <w:rPr>
                <w:rFonts w:hAnsi="仿宋_GB2312" w:eastAsia="仿宋_GB2312" w:cs="仿宋_GB2312"/>
                <w:szCs w:val="24"/>
              </w:rPr>
            </w:pPr>
            <w:r>
              <w:rPr>
                <w:rFonts w:hint="eastAsia" w:hAnsi="仿宋_GB2312" w:eastAsia="仿宋_GB2312" w:cs="仿宋_GB2312"/>
                <w:szCs w:val="24"/>
              </w:rPr>
              <w:t>论文</w:t>
            </w:r>
          </w:p>
        </w:tc>
        <w:tc>
          <w:tcPr>
            <w:tcW w:w="1089" w:type="pct"/>
            <w:tcBorders>
              <w:top w:val="single" w:color="auto" w:sz="8" w:space="0"/>
              <w:left w:val="single" w:color="auto" w:sz="8" w:space="0"/>
              <w:bottom w:val="single" w:color="auto" w:sz="8" w:space="0"/>
              <w:right w:val="single" w:color="auto" w:sz="8" w:space="0"/>
            </w:tcBorders>
            <w:vAlign w:val="center"/>
          </w:tcPr>
          <w:p>
            <w:pPr>
              <w:pStyle w:val="2"/>
              <w:spacing w:line="400" w:lineRule="exact"/>
              <w:ind w:firstLine="0" w:firstLineChars="0"/>
              <w:jc w:val="center"/>
              <w:rPr>
                <w:rFonts w:hAnsi="仿宋_GB2312" w:eastAsia="仿宋_GB2312" w:cs="仿宋_GB2312"/>
                <w:szCs w:val="24"/>
              </w:rPr>
            </w:pPr>
            <w:r>
              <w:rPr>
                <w:rFonts w:hint="eastAsia" w:hAnsi="仿宋_GB2312" w:eastAsia="仿宋_GB2312" w:cs="仿宋_GB2312"/>
                <w:szCs w:val="24"/>
              </w:rPr>
              <w:t>Fibroblast-specific activation of Rnd3 protects against cardiac remodeling in diabetic cardiomyopathy via suppression of Notch and TGF-β signaling</w:t>
            </w:r>
          </w:p>
        </w:tc>
        <w:tc>
          <w:tcPr>
            <w:tcW w:w="458" w:type="pct"/>
            <w:tcBorders>
              <w:top w:val="single" w:color="auto" w:sz="8" w:space="0"/>
              <w:left w:val="single" w:color="auto" w:sz="8" w:space="0"/>
              <w:bottom w:val="single" w:color="auto" w:sz="8" w:space="0"/>
              <w:right w:val="single" w:color="auto" w:sz="8" w:space="0"/>
            </w:tcBorders>
            <w:vAlign w:val="center"/>
          </w:tcPr>
          <w:p>
            <w:pPr>
              <w:pStyle w:val="2"/>
              <w:spacing w:line="400" w:lineRule="exact"/>
              <w:ind w:firstLine="0" w:firstLineChars="0"/>
              <w:jc w:val="left"/>
              <w:rPr>
                <w:rFonts w:hAnsi="仿宋_GB2312" w:eastAsia="仿宋_GB2312" w:cs="仿宋_GB2312"/>
                <w:szCs w:val="24"/>
              </w:rPr>
            </w:pPr>
            <w:r>
              <w:rPr>
                <w:rFonts w:hint="eastAsia" w:hAnsi="仿宋_GB2312" w:eastAsia="仿宋_GB2312" w:cs="仿宋_GB2312"/>
                <w:szCs w:val="24"/>
              </w:rPr>
              <w:t>中国</w:t>
            </w:r>
          </w:p>
        </w:tc>
        <w:tc>
          <w:tcPr>
            <w:tcW w:w="536" w:type="pct"/>
            <w:tcBorders>
              <w:top w:val="single" w:color="auto" w:sz="8" w:space="0"/>
              <w:left w:val="single" w:color="auto" w:sz="8" w:space="0"/>
              <w:bottom w:val="single" w:color="auto" w:sz="8" w:space="0"/>
              <w:right w:val="single" w:color="auto" w:sz="8" w:space="0"/>
            </w:tcBorders>
            <w:vAlign w:val="center"/>
          </w:tcPr>
          <w:p>
            <w:pPr>
              <w:pStyle w:val="2"/>
              <w:spacing w:line="400" w:lineRule="exact"/>
              <w:ind w:left="240" w:hanging="240" w:hangingChars="100"/>
              <w:jc w:val="left"/>
              <w:rPr>
                <w:rFonts w:hAnsi="仿宋_GB2312" w:eastAsia="仿宋_GB2312" w:cs="仿宋_GB2312"/>
                <w:szCs w:val="24"/>
              </w:rPr>
            </w:pPr>
            <w:r>
              <w:rPr>
                <w:rFonts w:hint="eastAsia" w:hAnsi="仿宋_GB2312" w:eastAsia="仿宋_GB2312" w:cs="仿宋_GB2312"/>
                <w:szCs w:val="24"/>
              </w:rPr>
              <w:t>2022,12(17):7250-7266</w:t>
            </w:r>
          </w:p>
        </w:tc>
        <w:tc>
          <w:tcPr>
            <w:tcW w:w="498" w:type="pct"/>
            <w:tcBorders>
              <w:top w:val="single" w:color="auto" w:sz="8" w:space="0"/>
              <w:left w:val="single" w:color="auto" w:sz="8" w:space="0"/>
              <w:bottom w:val="single" w:color="auto" w:sz="8" w:space="0"/>
              <w:right w:val="single" w:color="auto" w:sz="8" w:space="0"/>
            </w:tcBorders>
            <w:vAlign w:val="center"/>
          </w:tcPr>
          <w:p>
            <w:pPr>
              <w:pStyle w:val="2"/>
              <w:spacing w:line="400" w:lineRule="exact"/>
              <w:ind w:firstLine="0" w:firstLineChars="0"/>
              <w:jc w:val="left"/>
              <w:rPr>
                <w:rFonts w:hAnsi="仿宋_GB2312" w:eastAsia="仿宋_GB2312" w:cs="仿宋_GB2312"/>
                <w:szCs w:val="24"/>
              </w:rPr>
            </w:pPr>
            <w:r>
              <w:rPr>
                <w:rFonts w:hint="eastAsia" w:hAnsi="仿宋_GB2312" w:eastAsia="仿宋_GB2312" w:cs="仿宋_GB2312"/>
                <w:szCs w:val="24"/>
              </w:rPr>
              <w:t>2022年10月17日</w:t>
            </w:r>
          </w:p>
        </w:tc>
        <w:tc>
          <w:tcPr>
            <w:tcW w:w="422" w:type="pct"/>
            <w:tcBorders>
              <w:top w:val="single" w:color="auto" w:sz="8" w:space="0"/>
              <w:left w:val="single" w:color="auto" w:sz="8" w:space="0"/>
              <w:bottom w:val="single" w:color="auto" w:sz="8" w:space="0"/>
              <w:right w:val="single" w:color="auto" w:sz="8" w:space="0"/>
            </w:tcBorders>
            <w:vAlign w:val="center"/>
          </w:tcPr>
          <w:p>
            <w:pPr>
              <w:pStyle w:val="2"/>
              <w:spacing w:line="400" w:lineRule="exact"/>
              <w:ind w:firstLine="0" w:firstLineChars="0"/>
              <w:jc w:val="left"/>
              <w:rPr>
                <w:rFonts w:hAnsi="仿宋_GB2312" w:eastAsia="仿宋_GB2312" w:cs="仿宋_GB2312"/>
                <w:szCs w:val="24"/>
              </w:rPr>
            </w:pPr>
            <w:r>
              <w:rPr>
                <w:rFonts w:hint="eastAsia" w:hAnsi="仿宋_GB2312" w:eastAsia="仿宋_GB2312" w:cs="仿宋_GB2312"/>
                <w:szCs w:val="24"/>
              </w:rPr>
              <w:t>Theranostics</w:t>
            </w:r>
          </w:p>
        </w:tc>
        <w:tc>
          <w:tcPr>
            <w:tcW w:w="602" w:type="pct"/>
            <w:tcBorders>
              <w:top w:val="single" w:color="auto" w:sz="8" w:space="0"/>
              <w:left w:val="single" w:color="auto" w:sz="8" w:space="0"/>
              <w:bottom w:val="single" w:color="auto" w:sz="8" w:space="0"/>
              <w:right w:val="single" w:color="auto" w:sz="8" w:space="0"/>
            </w:tcBorders>
            <w:vAlign w:val="center"/>
          </w:tcPr>
          <w:p>
            <w:pPr>
              <w:pStyle w:val="2"/>
              <w:spacing w:line="400" w:lineRule="exact"/>
              <w:ind w:firstLine="0" w:firstLineChars="0"/>
              <w:jc w:val="left"/>
              <w:rPr>
                <w:rFonts w:hAnsi="仿宋_GB2312" w:eastAsia="仿宋_GB2312" w:cs="仿宋_GB2312"/>
                <w:szCs w:val="24"/>
              </w:rPr>
            </w:pPr>
            <w:r>
              <w:rPr>
                <w:rFonts w:hint="eastAsia" w:hAnsi="仿宋_GB2312" w:eastAsia="仿宋_GB2312" w:cs="仿宋_GB2312"/>
                <w:szCs w:val="24"/>
              </w:rPr>
              <w:t>中国人民解放军第四军医大学</w:t>
            </w:r>
          </w:p>
        </w:tc>
        <w:tc>
          <w:tcPr>
            <w:tcW w:w="774" w:type="pct"/>
            <w:tcBorders>
              <w:top w:val="single" w:color="auto" w:sz="8" w:space="0"/>
              <w:left w:val="single" w:color="auto" w:sz="8" w:space="0"/>
              <w:bottom w:val="single" w:color="auto" w:sz="8" w:space="0"/>
              <w:right w:val="single" w:color="auto" w:sz="8" w:space="0"/>
            </w:tcBorders>
            <w:vAlign w:val="center"/>
          </w:tcPr>
          <w:p>
            <w:pPr>
              <w:pStyle w:val="2"/>
              <w:spacing w:line="400" w:lineRule="exact"/>
              <w:ind w:firstLine="0" w:firstLineChars="0"/>
              <w:jc w:val="left"/>
              <w:rPr>
                <w:rFonts w:hAnsi="仿宋_GB2312" w:eastAsia="仿宋_GB2312" w:cs="仿宋_GB2312"/>
                <w:szCs w:val="24"/>
              </w:rPr>
            </w:pPr>
            <w:r>
              <w:rPr>
                <w:rFonts w:hint="eastAsia" w:hAnsi="仿宋_GB2312" w:eastAsia="仿宋_GB2312" w:cs="仿宋_GB2312"/>
                <w:szCs w:val="24"/>
              </w:rPr>
              <w:t>张；曹杨；郑瑞;熊振宇；朱正茹；高凡雅;满万荣；段宇；蔺杰；张学斌；吴德喜；姜梦圆；张霄；李聪叶；顾晓明；范延红；孙冬冬</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67" w:hRule="atLeast"/>
          <w:jc w:val="center"/>
        </w:trPr>
        <w:tc>
          <w:tcPr>
            <w:tcW w:w="309" w:type="pct"/>
            <w:tcBorders>
              <w:top w:val="single" w:color="auto" w:sz="8" w:space="0"/>
              <w:left w:val="single" w:color="auto" w:sz="8" w:space="0"/>
              <w:bottom w:val="single" w:color="auto" w:sz="8" w:space="0"/>
              <w:right w:val="single" w:color="auto" w:sz="8" w:space="0"/>
            </w:tcBorders>
            <w:vAlign w:val="center"/>
          </w:tcPr>
          <w:p>
            <w:pPr>
              <w:pStyle w:val="2"/>
              <w:spacing w:line="400" w:lineRule="exact"/>
              <w:ind w:firstLine="0" w:firstLineChars="0"/>
              <w:jc w:val="center"/>
              <w:rPr>
                <w:rFonts w:hAnsi="仿宋_GB2312" w:eastAsia="仿宋_GB2312" w:cs="仿宋_GB2312"/>
                <w:szCs w:val="24"/>
              </w:rPr>
            </w:pPr>
            <w:r>
              <w:rPr>
                <w:rFonts w:hint="eastAsia" w:hAnsi="仿宋_GB2312" w:eastAsia="仿宋_GB2312" w:cs="仿宋_GB2312"/>
                <w:szCs w:val="24"/>
              </w:rPr>
              <w:t>8</w:t>
            </w:r>
          </w:p>
        </w:tc>
        <w:tc>
          <w:tcPr>
            <w:tcW w:w="306" w:type="pct"/>
            <w:tcBorders>
              <w:top w:val="single" w:color="auto" w:sz="8" w:space="0"/>
              <w:left w:val="single" w:color="auto" w:sz="8" w:space="0"/>
              <w:bottom w:val="single" w:color="auto" w:sz="8" w:space="0"/>
              <w:right w:val="single" w:color="auto" w:sz="8" w:space="0"/>
            </w:tcBorders>
            <w:vAlign w:val="center"/>
          </w:tcPr>
          <w:p>
            <w:pPr>
              <w:pStyle w:val="2"/>
              <w:spacing w:line="400" w:lineRule="exact"/>
              <w:ind w:firstLine="0" w:firstLineChars="0"/>
              <w:jc w:val="left"/>
              <w:rPr>
                <w:rFonts w:hAnsi="仿宋_GB2312" w:eastAsia="仿宋_GB2312" w:cs="仿宋_GB2312"/>
                <w:szCs w:val="24"/>
              </w:rPr>
            </w:pPr>
            <w:r>
              <w:rPr>
                <w:rFonts w:hint="eastAsia" w:hAnsi="仿宋_GB2312" w:eastAsia="仿宋_GB2312" w:cs="仿宋_GB2312"/>
                <w:szCs w:val="24"/>
              </w:rPr>
              <w:t>论文</w:t>
            </w:r>
          </w:p>
        </w:tc>
        <w:tc>
          <w:tcPr>
            <w:tcW w:w="1089" w:type="pct"/>
            <w:tcBorders>
              <w:top w:val="single" w:color="auto" w:sz="8" w:space="0"/>
              <w:left w:val="single" w:color="auto" w:sz="8" w:space="0"/>
              <w:bottom w:val="single" w:color="auto" w:sz="8" w:space="0"/>
              <w:right w:val="single" w:color="auto" w:sz="8" w:space="0"/>
            </w:tcBorders>
            <w:vAlign w:val="center"/>
          </w:tcPr>
          <w:p>
            <w:pPr>
              <w:pStyle w:val="2"/>
              <w:spacing w:line="400" w:lineRule="exact"/>
              <w:ind w:firstLine="0" w:firstLineChars="0"/>
              <w:jc w:val="center"/>
              <w:rPr>
                <w:rFonts w:hAnsi="仿宋_GB2312" w:eastAsia="仿宋_GB2312" w:cs="仿宋_GB2312"/>
                <w:szCs w:val="24"/>
              </w:rPr>
            </w:pPr>
            <w:r>
              <w:rPr>
                <w:rFonts w:hint="eastAsia" w:hAnsi="仿宋_GB2312" w:eastAsia="仿宋_GB2312" w:cs="仿宋_GB2312"/>
                <w:szCs w:val="24"/>
              </w:rPr>
              <w:t>Sustained nicorandil administration reduces the infarct size in STsegment elevation myocardial infarction patients with primary</w:t>
            </w:r>
          </w:p>
          <w:p>
            <w:pPr>
              <w:pStyle w:val="2"/>
              <w:spacing w:line="400" w:lineRule="exact"/>
              <w:ind w:firstLine="0" w:firstLineChars="0"/>
              <w:jc w:val="center"/>
              <w:rPr>
                <w:rFonts w:hAnsi="仿宋_GB2312" w:eastAsia="仿宋_GB2312" w:cs="仿宋_GB2312"/>
                <w:szCs w:val="24"/>
              </w:rPr>
            </w:pPr>
            <w:r>
              <w:rPr>
                <w:rFonts w:hint="eastAsia" w:hAnsi="仿宋_GB2312" w:eastAsia="仿宋_GB2312" w:cs="仿宋_GB2312"/>
                <w:szCs w:val="24"/>
              </w:rPr>
              <w:t>percutaneous coronary intervention</w:t>
            </w:r>
          </w:p>
        </w:tc>
        <w:tc>
          <w:tcPr>
            <w:tcW w:w="458" w:type="pct"/>
            <w:tcBorders>
              <w:top w:val="single" w:color="auto" w:sz="8" w:space="0"/>
              <w:left w:val="single" w:color="auto" w:sz="8" w:space="0"/>
              <w:bottom w:val="single" w:color="auto" w:sz="8" w:space="0"/>
              <w:right w:val="single" w:color="auto" w:sz="8" w:space="0"/>
            </w:tcBorders>
            <w:vAlign w:val="center"/>
          </w:tcPr>
          <w:p>
            <w:pPr>
              <w:pStyle w:val="2"/>
              <w:spacing w:line="400" w:lineRule="exact"/>
              <w:ind w:firstLine="0" w:firstLineChars="0"/>
              <w:jc w:val="left"/>
              <w:rPr>
                <w:rFonts w:hAnsi="仿宋_GB2312" w:eastAsia="仿宋_GB2312" w:cs="仿宋_GB2312"/>
                <w:szCs w:val="24"/>
              </w:rPr>
            </w:pPr>
            <w:r>
              <w:rPr>
                <w:rFonts w:hint="eastAsia" w:hAnsi="仿宋_GB2312" w:eastAsia="仿宋_GB2312" w:cs="仿宋_GB2312"/>
                <w:szCs w:val="24"/>
              </w:rPr>
              <w:t>中国</w:t>
            </w:r>
          </w:p>
        </w:tc>
        <w:tc>
          <w:tcPr>
            <w:tcW w:w="536" w:type="pct"/>
            <w:tcBorders>
              <w:top w:val="single" w:color="auto" w:sz="8" w:space="0"/>
              <w:left w:val="single" w:color="auto" w:sz="8" w:space="0"/>
              <w:bottom w:val="single" w:color="auto" w:sz="8" w:space="0"/>
              <w:right w:val="single" w:color="auto" w:sz="8" w:space="0"/>
            </w:tcBorders>
            <w:vAlign w:val="center"/>
          </w:tcPr>
          <w:p>
            <w:pPr>
              <w:pStyle w:val="2"/>
              <w:spacing w:line="400" w:lineRule="exact"/>
              <w:ind w:firstLine="0" w:firstLineChars="0"/>
              <w:jc w:val="left"/>
              <w:rPr>
                <w:rFonts w:hAnsi="仿宋_GB2312" w:eastAsia="仿宋_GB2312" w:cs="仿宋_GB2312"/>
                <w:szCs w:val="24"/>
              </w:rPr>
            </w:pPr>
            <w:r>
              <w:rPr>
                <w:rFonts w:hint="eastAsia" w:hAnsi="仿宋_GB2312" w:eastAsia="仿宋_GB2312" w:cs="仿宋_GB2312"/>
                <w:szCs w:val="24"/>
              </w:rPr>
              <w:t>2019，21(3):163-171</w:t>
            </w:r>
          </w:p>
        </w:tc>
        <w:tc>
          <w:tcPr>
            <w:tcW w:w="498" w:type="pct"/>
            <w:tcBorders>
              <w:top w:val="single" w:color="auto" w:sz="8" w:space="0"/>
              <w:left w:val="single" w:color="auto" w:sz="8" w:space="0"/>
              <w:bottom w:val="single" w:color="auto" w:sz="8" w:space="0"/>
              <w:right w:val="single" w:color="auto" w:sz="8" w:space="0"/>
            </w:tcBorders>
            <w:vAlign w:val="center"/>
          </w:tcPr>
          <w:p>
            <w:pPr>
              <w:pStyle w:val="2"/>
              <w:spacing w:line="400" w:lineRule="exact"/>
              <w:ind w:firstLine="0" w:firstLineChars="0"/>
              <w:jc w:val="left"/>
              <w:rPr>
                <w:rFonts w:hAnsi="仿宋_GB2312" w:eastAsia="仿宋_GB2312" w:cs="仿宋_GB2312"/>
                <w:szCs w:val="24"/>
              </w:rPr>
            </w:pPr>
            <w:r>
              <w:rPr>
                <w:rFonts w:hint="eastAsia" w:hAnsi="仿宋_GB2312" w:eastAsia="仿宋_GB2312" w:cs="仿宋_GB2312"/>
                <w:szCs w:val="24"/>
              </w:rPr>
              <w:t>2019年1月30日</w:t>
            </w:r>
          </w:p>
        </w:tc>
        <w:tc>
          <w:tcPr>
            <w:tcW w:w="422" w:type="pct"/>
            <w:tcBorders>
              <w:top w:val="single" w:color="auto" w:sz="8" w:space="0"/>
              <w:left w:val="single" w:color="auto" w:sz="8" w:space="0"/>
              <w:bottom w:val="single" w:color="auto" w:sz="8" w:space="0"/>
              <w:right w:val="single" w:color="auto" w:sz="8" w:space="0"/>
            </w:tcBorders>
            <w:vAlign w:val="center"/>
          </w:tcPr>
          <w:p>
            <w:pPr>
              <w:pStyle w:val="2"/>
              <w:spacing w:line="400" w:lineRule="exact"/>
              <w:ind w:firstLine="0" w:firstLineChars="0"/>
              <w:jc w:val="left"/>
              <w:rPr>
                <w:rFonts w:hAnsi="仿宋_GB2312" w:eastAsia="仿宋_GB2312" w:cs="仿宋_GB2312"/>
                <w:szCs w:val="24"/>
              </w:rPr>
            </w:pPr>
            <w:r>
              <w:rPr>
                <w:rFonts w:hint="eastAsia" w:hAnsi="仿宋_GB2312" w:eastAsia="仿宋_GB2312" w:cs="仿宋_GB2312"/>
                <w:szCs w:val="24"/>
              </w:rPr>
              <w:t>Anatolian Journal of Cardiology</w:t>
            </w:r>
          </w:p>
        </w:tc>
        <w:tc>
          <w:tcPr>
            <w:tcW w:w="602" w:type="pct"/>
            <w:tcBorders>
              <w:top w:val="single" w:color="auto" w:sz="8" w:space="0"/>
              <w:left w:val="single" w:color="auto" w:sz="8" w:space="0"/>
              <w:bottom w:val="single" w:color="auto" w:sz="8" w:space="0"/>
              <w:right w:val="single" w:color="auto" w:sz="8" w:space="0"/>
            </w:tcBorders>
            <w:vAlign w:val="center"/>
          </w:tcPr>
          <w:p>
            <w:pPr>
              <w:pStyle w:val="2"/>
              <w:spacing w:line="400" w:lineRule="exact"/>
              <w:ind w:firstLine="0" w:firstLineChars="0"/>
              <w:jc w:val="left"/>
              <w:rPr>
                <w:rFonts w:hAnsi="仿宋_GB2312" w:eastAsia="仿宋_GB2312" w:cs="仿宋_GB2312"/>
                <w:szCs w:val="24"/>
              </w:rPr>
            </w:pPr>
            <w:r>
              <w:rPr>
                <w:rFonts w:hint="eastAsia" w:hAnsi="仿宋_GB2312" w:eastAsia="仿宋_GB2312" w:cs="仿宋_GB2312"/>
                <w:szCs w:val="24"/>
              </w:rPr>
              <w:t>中国人民解放军第四军医大学</w:t>
            </w:r>
          </w:p>
        </w:tc>
        <w:tc>
          <w:tcPr>
            <w:tcW w:w="774" w:type="pct"/>
            <w:tcBorders>
              <w:top w:val="single" w:color="auto" w:sz="8" w:space="0"/>
              <w:left w:val="single" w:color="auto" w:sz="8" w:space="0"/>
              <w:bottom w:val="single" w:color="auto" w:sz="8" w:space="0"/>
              <w:right w:val="single" w:color="auto" w:sz="8" w:space="0"/>
            </w:tcBorders>
            <w:vAlign w:val="center"/>
          </w:tcPr>
          <w:p>
            <w:pPr>
              <w:pStyle w:val="2"/>
              <w:spacing w:line="400" w:lineRule="exact"/>
              <w:ind w:firstLine="0" w:firstLineChars="0"/>
              <w:jc w:val="left"/>
              <w:rPr>
                <w:rFonts w:hAnsi="仿宋_GB2312" w:eastAsia="仿宋_GB2312" w:cs="仿宋_GB2312"/>
                <w:szCs w:val="24"/>
              </w:rPr>
            </w:pPr>
            <w:r>
              <w:rPr>
                <w:rFonts w:hint="eastAsia" w:hAnsi="仿宋_GB2312" w:eastAsia="仿宋_GB2312" w:cs="仿宋_GB2312"/>
                <w:szCs w:val="24"/>
              </w:rPr>
              <w:t>王善杰，段宇；封欣妤；刘亮；石兆峰；王博；夏陈海；满万荣；王海昌；赵志敬；孙冬冬</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67" w:hRule="atLeast"/>
          <w:jc w:val="center"/>
        </w:trPr>
        <w:tc>
          <w:tcPr>
            <w:tcW w:w="309" w:type="pct"/>
            <w:tcBorders>
              <w:top w:val="single" w:color="auto" w:sz="8" w:space="0"/>
              <w:left w:val="single" w:color="auto" w:sz="8" w:space="0"/>
              <w:bottom w:val="single" w:color="auto" w:sz="8" w:space="0"/>
              <w:right w:val="single" w:color="auto" w:sz="8" w:space="0"/>
            </w:tcBorders>
            <w:vAlign w:val="center"/>
          </w:tcPr>
          <w:p>
            <w:pPr>
              <w:pStyle w:val="2"/>
              <w:spacing w:line="400" w:lineRule="exact"/>
              <w:ind w:firstLine="0" w:firstLineChars="0"/>
              <w:jc w:val="center"/>
              <w:rPr>
                <w:rFonts w:hAnsi="仿宋_GB2312" w:eastAsia="仿宋_GB2312" w:cs="仿宋_GB2312"/>
                <w:szCs w:val="24"/>
              </w:rPr>
            </w:pPr>
            <w:r>
              <w:rPr>
                <w:rFonts w:hint="eastAsia" w:hAnsi="仿宋_GB2312" w:eastAsia="仿宋_GB2312" w:cs="仿宋_GB2312"/>
                <w:szCs w:val="24"/>
              </w:rPr>
              <w:t>9</w:t>
            </w:r>
          </w:p>
        </w:tc>
        <w:tc>
          <w:tcPr>
            <w:tcW w:w="306" w:type="pct"/>
            <w:tcBorders>
              <w:top w:val="single" w:color="auto" w:sz="8" w:space="0"/>
              <w:left w:val="single" w:color="auto" w:sz="8" w:space="0"/>
              <w:bottom w:val="single" w:color="auto" w:sz="8" w:space="0"/>
              <w:right w:val="single" w:color="auto" w:sz="8" w:space="0"/>
            </w:tcBorders>
            <w:vAlign w:val="center"/>
          </w:tcPr>
          <w:p>
            <w:pPr>
              <w:pStyle w:val="2"/>
              <w:spacing w:line="400" w:lineRule="exact"/>
              <w:ind w:firstLine="0" w:firstLineChars="0"/>
              <w:jc w:val="left"/>
              <w:rPr>
                <w:rFonts w:hAnsi="仿宋_GB2312" w:eastAsia="仿宋_GB2312" w:cs="仿宋_GB2312"/>
                <w:szCs w:val="24"/>
              </w:rPr>
            </w:pPr>
            <w:r>
              <w:rPr>
                <w:rFonts w:hint="eastAsia" w:hAnsi="仿宋_GB2312" w:eastAsia="仿宋_GB2312" w:cs="仿宋_GB2312"/>
                <w:szCs w:val="24"/>
              </w:rPr>
              <w:t>论文</w:t>
            </w:r>
          </w:p>
        </w:tc>
        <w:tc>
          <w:tcPr>
            <w:tcW w:w="1089" w:type="pct"/>
            <w:tcBorders>
              <w:top w:val="single" w:color="auto" w:sz="8" w:space="0"/>
              <w:left w:val="single" w:color="auto" w:sz="8" w:space="0"/>
              <w:bottom w:val="single" w:color="auto" w:sz="8" w:space="0"/>
              <w:right w:val="single" w:color="auto" w:sz="8" w:space="0"/>
            </w:tcBorders>
            <w:vAlign w:val="center"/>
          </w:tcPr>
          <w:p>
            <w:pPr>
              <w:pStyle w:val="2"/>
              <w:spacing w:line="400" w:lineRule="exact"/>
              <w:ind w:firstLine="0" w:firstLineChars="0"/>
              <w:jc w:val="center"/>
              <w:rPr>
                <w:rFonts w:hAnsi="仿宋_GB2312" w:eastAsia="仿宋_GB2312" w:cs="仿宋_GB2312"/>
                <w:szCs w:val="24"/>
              </w:rPr>
            </w:pPr>
            <w:r>
              <w:rPr>
                <w:rFonts w:hint="eastAsia" w:hAnsi="仿宋_GB2312" w:eastAsia="仿宋_GB2312" w:cs="仿宋_GB2312"/>
                <w:szCs w:val="24"/>
              </w:rPr>
              <w:t>Mst1 coordinately regulates autophagy and apoptosis in diabetic cardiomyopathy</w:t>
            </w:r>
          </w:p>
        </w:tc>
        <w:tc>
          <w:tcPr>
            <w:tcW w:w="458" w:type="pct"/>
            <w:tcBorders>
              <w:top w:val="single" w:color="auto" w:sz="8" w:space="0"/>
              <w:left w:val="single" w:color="auto" w:sz="8" w:space="0"/>
              <w:bottom w:val="single" w:color="auto" w:sz="8" w:space="0"/>
              <w:right w:val="single" w:color="auto" w:sz="8" w:space="0"/>
            </w:tcBorders>
            <w:vAlign w:val="center"/>
          </w:tcPr>
          <w:p>
            <w:pPr>
              <w:pStyle w:val="2"/>
              <w:spacing w:line="400" w:lineRule="exact"/>
              <w:ind w:firstLine="0" w:firstLineChars="0"/>
              <w:jc w:val="left"/>
              <w:rPr>
                <w:rFonts w:hAnsi="仿宋_GB2312" w:eastAsia="仿宋_GB2312" w:cs="仿宋_GB2312"/>
                <w:szCs w:val="24"/>
              </w:rPr>
            </w:pPr>
            <w:r>
              <w:rPr>
                <w:rFonts w:hint="eastAsia" w:hAnsi="仿宋_GB2312" w:eastAsia="仿宋_GB2312" w:cs="仿宋_GB2312"/>
                <w:szCs w:val="24"/>
              </w:rPr>
              <w:t>中国</w:t>
            </w:r>
          </w:p>
        </w:tc>
        <w:tc>
          <w:tcPr>
            <w:tcW w:w="536" w:type="pct"/>
            <w:tcBorders>
              <w:top w:val="single" w:color="auto" w:sz="8" w:space="0"/>
              <w:left w:val="single" w:color="auto" w:sz="8" w:space="0"/>
              <w:bottom w:val="single" w:color="auto" w:sz="8" w:space="0"/>
              <w:right w:val="single" w:color="auto" w:sz="8" w:space="0"/>
            </w:tcBorders>
            <w:vAlign w:val="center"/>
          </w:tcPr>
          <w:p>
            <w:pPr>
              <w:pStyle w:val="2"/>
              <w:spacing w:line="400" w:lineRule="exact"/>
              <w:ind w:left="240" w:hanging="240" w:hangingChars="100"/>
              <w:jc w:val="left"/>
              <w:rPr>
                <w:rFonts w:hAnsi="仿宋_GB2312" w:eastAsia="仿宋_GB2312" w:cs="仿宋_GB2312"/>
                <w:szCs w:val="24"/>
              </w:rPr>
            </w:pPr>
            <w:r>
              <w:rPr>
                <w:rFonts w:hint="eastAsia" w:hAnsi="仿宋_GB2312" w:eastAsia="仿宋_GB2312" w:cs="仿宋_GB2312"/>
                <w:szCs w:val="24"/>
              </w:rPr>
              <w:t>2016，59(11):2435-47</w:t>
            </w:r>
          </w:p>
        </w:tc>
        <w:tc>
          <w:tcPr>
            <w:tcW w:w="498" w:type="pct"/>
            <w:tcBorders>
              <w:top w:val="single" w:color="auto" w:sz="8" w:space="0"/>
              <w:left w:val="single" w:color="auto" w:sz="8" w:space="0"/>
              <w:bottom w:val="single" w:color="auto" w:sz="8" w:space="0"/>
              <w:right w:val="single" w:color="auto" w:sz="8" w:space="0"/>
            </w:tcBorders>
            <w:vAlign w:val="center"/>
          </w:tcPr>
          <w:p>
            <w:pPr>
              <w:pStyle w:val="2"/>
              <w:spacing w:line="400" w:lineRule="exact"/>
              <w:ind w:firstLine="0" w:firstLineChars="0"/>
              <w:jc w:val="left"/>
              <w:rPr>
                <w:rFonts w:hAnsi="仿宋_GB2312" w:eastAsia="仿宋_GB2312" w:cs="仿宋_GB2312"/>
                <w:szCs w:val="24"/>
              </w:rPr>
            </w:pPr>
            <w:r>
              <w:rPr>
                <w:rFonts w:hint="eastAsia" w:hAnsi="仿宋_GB2312" w:eastAsia="仿宋_GB2312" w:cs="仿宋_GB2312"/>
                <w:szCs w:val="24"/>
              </w:rPr>
              <w:t>2016年8月10日</w:t>
            </w:r>
          </w:p>
        </w:tc>
        <w:tc>
          <w:tcPr>
            <w:tcW w:w="422" w:type="pct"/>
            <w:tcBorders>
              <w:top w:val="single" w:color="auto" w:sz="8" w:space="0"/>
              <w:left w:val="single" w:color="auto" w:sz="8" w:space="0"/>
              <w:bottom w:val="single" w:color="auto" w:sz="8" w:space="0"/>
              <w:right w:val="single" w:color="auto" w:sz="8" w:space="0"/>
            </w:tcBorders>
            <w:vAlign w:val="center"/>
          </w:tcPr>
          <w:p>
            <w:pPr>
              <w:pStyle w:val="2"/>
              <w:spacing w:line="400" w:lineRule="exact"/>
              <w:ind w:firstLine="0" w:firstLineChars="0"/>
              <w:jc w:val="left"/>
              <w:rPr>
                <w:rFonts w:hAnsi="仿宋_GB2312" w:eastAsia="仿宋_GB2312" w:cs="仿宋_GB2312"/>
                <w:szCs w:val="24"/>
              </w:rPr>
            </w:pPr>
            <w:r>
              <w:rPr>
                <w:rFonts w:hint="eastAsia" w:hAnsi="仿宋_GB2312" w:eastAsia="仿宋_GB2312" w:cs="仿宋_GB2312"/>
                <w:szCs w:val="24"/>
              </w:rPr>
              <w:t>Diabetologia</w:t>
            </w:r>
          </w:p>
        </w:tc>
        <w:tc>
          <w:tcPr>
            <w:tcW w:w="602" w:type="pct"/>
            <w:tcBorders>
              <w:top w:val="single" w:color="auto" w:sz="8" w:space="0"/>
              <w:left w:val="single" w:color="auto" w:sz="8" w:space="0"/>
              <w:bottom w:val="single" w:color="auto" w:sz="8" w:space="0"/>
              <w:right w:val="single" w:color="auto" w:sz="8" w:space="0"/>
            </w:tcBorders>
            <w:vAlign w:val="center"/>
          </w:tcPr>
          <w:p>
            <w:pPr>
              <w:pStyle w:val="2"/>
              <w:spacing w:line="400" w:lineRule="exact"/>
              <w:ind w:firstLine="0" w:firstLineChars="0"/>
              <w:jc w:val="left"/>
              <w:rPr>
                <w:rFonts w:hAnsi="仿宋_GB2312" w:eastAsia="仿宋_GB2312" w:cs="仿宋_GB2312"/>
                <w:szCs w:val="24"/>
              </w:rPr>
            </w:pPr>
            <w:r>
              <w:rPr>
                <w:rFonts w:hint="eastAsia" w:hAnsi="仿宋_GB2312" w:eastAsia="仿宋_GB2312" w:cs="仿宋_GB2312"/>
                <w:szCs w:val="24"/>
              </w:rPr>
              <w:t>中国人民解放军第四军医大学</w:t>
            </w:r>
          </w:p>
        </w:tc>
        <w:tc>
          <w:tcPr>
            <w:tcW w:w="774" w:type="pct"/>
            <w:tcBorders>
              <w:top w:val="single" w:color="auto" w:sz="8" w:space="0"/>
              <w:left w:val="single" w:color="auto" w:sz="8" w:space="0"/>
              <w:bottom w:val="single" w:color="auto" w:sz="8" w:space="0"/>
              <w:right w:val="single" w:color="auto" w:sz="8" w:space="0"/>
            </w:tcBorders>
            <w:vAlign w:val="center"/>
          </w:tcPr>
          <w:p>
            <w:pPr>
              <w:pStyle w:val="2"/>
              <w:spacing w:line="400" w:lineRule="exact"/>
              <w:ind w:firstLine="0" w:firstLineChars="0"/>
              <w:jc w:val="left"/>
              <w:rPr>
                <w:rFonts w:hAnsi="仿宋_GB2312" w:eastAsia="仿宋_GB2312" w:cs="仿宋_GB2312"/>
                <w:szCs w:val="24"/>
              </w:rPr>
            </w:pPr>
            <w:r>
              <w:rPr>
                <w:rFonts w:hint="eastAsia" w:hAnsi="仿宋_GB2312" w:eastAsia="仿宋_GB2312" w:cs="仿宋_GB2312"/>
                <w:szCs w:val="24"/>
              </w:rPr>
              <w:t>张明明, 张磊, 胡健强, 蔺杰, 王婷婷, 段宇, 满万荣, 冯嘉旭, 孙雷, 贾红兵, 李聪叶, 张荣庆, 王海昌, 孙冬冬</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67" w:hRule="atLeast"/>
          <w:jc w:val="center"/>
        </w:trPr>
        <w:tc>
          <w:tcPr>
            <w:tcW w:w="309" w:type="pct"/>
            <w:tcBorders>
              <w:top w:val="single" w:color="auto" w:sz="8" w:space="0"/>
              <w:left w:val="single" w:color="auto" w:sz="8" w:space="0"/>
              <w:bottom w:val="single" w:color="auto" w:sz="8" w:space="0"/>
              <w:right w:val="single" w:color="auto" w:sz="8" w:space="0"/>
            </w:tcBorders>
            <w:vAlign w:val="center"/>
          </w:tcPr>
          <w:p>
            <w:pPr>
              <w:pStyle w:val="2"/>
              <w:spacing w:line="400" w:lineRule="exact"/>
              <w:ind w:firstLine="0" w:firstLineChars="0"/>
              <w:jc w:val="center"/>
              <w:rPr>
                <w:rFonts w:hAnsi="仿宋_GB2312" w:eastAsia="仿宋_GB2312" w:cs="仿宋_GB2312"/>
                <w:szCs w:val="24"/>
              </w:rPr>
            </w:pPr>
            <w:r>
              <w:rPr>
                <w:rFonts w:hint="eastAsia" w:hAnsi="仿宋_GB2312" w:eastAsia="仿宋_GB2312" w:cs="仿宋_GB2312"/>
                <w:szCs w:val="24"/>
              </w:rPr>
              <w:t>10</w:t>
            </w:r>
          </w:p>
        </w:tc>
        <w:tc>
          <w:tcPr>
            <w:tcW w:w="306" w:type="pct"/>
            <w:tcBorders>
              <w:top w:val="single" w:color="auto" w:sz="8" w:space="0"/>
              <w:left w:val="single" w:color="auto" w:sz="8" w:space="0"/>
              <w:bottom w:val="single" w:color="auto" w:sz="8" w:space="0"/>
              <w:right w:val="single" w:color="auto" w:sz="8" w:space="0"/>
            </w:tcBorders>
            <w:vAlign w:val="center"/>
          </w:tcPr>
          <w:p>
            <w:pPr>
              <w:pStyle w:val="2"/>
              <w:spacing w:line="400" w:lineRule="exact"/>
              <w:ind w:firstLine="0" w:firstLineChars="0"/>
              <w:jc w:val="left"/>
              <w:rPr>
                <w:rFonts w:hAnsi="仿宋_GB2312" w:eastAsia="仿宋_GB2312" w:cs="仿宋_GB2312"/>
                <w:szCs w:val="24"/>
              </w:rPr>
            </w:pPr>
            <w:r>
              <w:rPr>
                <w:rFonts w:hint="eastAsia" w:hAnsi="仿宋_GB2312" w:eastAsia="仿宋_GB2312" w:cs="仿宋_GB2312"/>
                <w:szCs w:val="24"/>
              </w:rPr>
              <w:t>论文</w:t>
            </w:r>
          </w:p>
        </w:tc>
        <w:tc>
          <w:tcPr>
            <w:tcW w:w="1089" w:type="pct"/>
            <w:tcBorders>
              <w:top w:val="single" w:color="auto" w:sz="8" w:space="0"/>
              <w:left w:val="single" w:color="auto" w:sz="8" w:space="0"/>
              <w:bottom w:val="single" w:color="auto" w:sz="8" w:space="0"/>
              <w:right w:val="single" w:color="auto" w:sz="8" w:space="0"/>
            </w:tcBorders>
            <w:vAlign w:val="center"/>
          </w:tcPr>
          <w:p>
            <w:pPr>
              <w:pStyle w:val="2"/>
              <w:spacing w:line="400" w:lineRule="exact"/>
              <w:ind w:firstLine="0" w:firstLineChars="0"/>
              <w:jc w:val="center"/>
              <w:rPr>
                <w:rFonts w:hAnsi="仿宋_GB2312" w:eastAsia="仿宋_GB2312" w:cs="仿宋_GB2312"/>
                <w:szCs w:val="24"/>
              </w:rPr>
            </w:pPr>
            <w:r>
              <w:rPr>
                <w:rFonts w:hint="eastAsia" w:hAnsi="仿宋_GB2312" w:eastAsia="仿宋_GB2312" w:cs="仿宋_GB2312"/>
                <w:szCs w:val="24"/>
              </w:rPr>
              <w:t>Melatonin activates Parkin translocation and rescues the impaired mitophagy activity of diabetic cardiomyopathy through Mst1 inhibition</w:t>
            </w:r>
          </w:p>
        </w:tc>
        <w:tc>
          <w:tcPr>
            <w:tcW w:w="458" w:type="pct"/>
            <w:tcBorders>
              <w:top w:val="single" w:color="auto" w:sz="8" w:space="0"/>
              <w:left w:val="single" w:color="auto" w:sz="8" w:space="0"/>
              <w:bottom w:val="single" w:color="auto" w:sz="8" w:space="0"/>
              <w:right w:val="single" w:color="auto" w:sz="8" w:space="0"/>
            </w:tcBorders>
            <w:vAlign w:val="center"/>
          </w:tcPr>
          <w:p>
            <w:pPr>
              <w:pStyle w:val="2"/>
              <w:spacing w:line="400" w:lineRule="exact"/>
              <w:ind w:firstLine="0" w:firstLineChars="0"/>
              <w:jc w:val="left"/>
              <w:rPr>
                <w:rFonts w:hAnsi="仿宋_GB2312" w:eastAsia="仿宋_GB2312" w:cs="仿宋_GB2312"/>
                <w:szCs w:val="24"/>
              </w:rPr>
            </w:pPr>
            <w:r>
              <w:rPr>
                <w:rFonts w:hint="eastAsia" w:hAnsi="仿宋_GB2312" w:eastAsia="仿宋_GB2312" w:cs="仿宋_GB2312"/>
                <w:szCs w:val="24"/>
              </w:rPr>
              <w:t>中国</w:t>
            </w:r>
          </w:p>
        </w:tc>
        <w:tc>
          <w:tcPr>
            <w:tcW w:w="536" w:type="pct"/>
            <w:tcBorders>
              <w:top w:val="single" w:color="auto" w:sz="8" w:space="0"/>
              <w:left w:val="single" w:color="auto" w:sz="8" w:space="0"/>
              <w:bottom w:val="single" w:color="auto" w:sz="8" w:space="0"/>
              <w:right w:val="single" w:color="auto" w:sz="8" w:space="0"/>
            </w:tcBorders>
            <w:vAlign w:val="center"/>
          </w:tcPr>
          <w:p>
            <w:pPr>
              <w:pStyle w:val="2"/>
              <w:spacing w:line="400" w:lineRule="exact"/>
              <w:ind w:firstLine="0" w:firstLineChars="0"/>
              <w:jc w:val="left"/>
              <w:rPr>
                <w:rFonts w:hAnsi="仿宋_GB2312" w:eastAsia="仿宋_GB2312" w:cs="仿宋_GB2312"/>
                <w:szCs w:val="24"/>
              </w:rPr>
            </w:pPr>
            <w:r>
              <w:rPr>
                <w:rFonts w:hint="eastAsia" w:hAnsi="仿宋_GB2312" w:eastAsia="仿宋_GB2312" w:cs="仿宋_GB2312"/>
                <w:szCs w:val="24"/>
              </w:rPr>
              <w:t>2018，22(10):5132-5144</w:t>
            </w:r>
          </w:p>
        </w:tc>
        <w:tc>
          <w:tcPr>
            <w:tcW w:w="498" w:type="pct"/>
            <w:tcBorders>
              <w:top w:val="single" w:color="auto" w:sz="8" w:space="0"/>
              <w:left w:val="single" w:color="auto" w:sz="8" w:space="0"/>
              <w:bottom w:val="single" w:color="auto" w:sz="8" w:space="0"/>
              <w:right w:val="single" w:color="auto" w:sz="8" w:space="0"/>
            </w:tcBorders>
            <w:vAlign w:val="center"/>
          </w:tcPr>
          <w:p>
            <w:pPr>
              <w:pStyle w:val="2"/>
              <w:spacing w:line="400" w:lineRule="exact"/>
              <w:ind w:firstLine="0" w:firstLineChars="0"/>
              <w:jc w:val="left"/>
              <w:rPr>
                <w:rFonts w:hAnsi="仿宋_GB2312" w:eastAsia="仿宋_GB2312" w:cs="仿宋_GB2312"/>
                <w:szCs w:val="24"/>
              </w:rPr>
            </w:pPr>
            <w:r>
              <w:rPr>
                <w:rFonts w:hint="eastAsia" w:hAnsi="仿宋_GB2312" w:eastAsia="仿宋_GB2312" w:cs="仿宋_GB2312"/>
                <w:color w:val="000000"/>
                <w:szCs w:val="24"/>
              </w:rPr>
              <w:t>2018年7月31日</w:t>
            </w:r>
          </w:p>
        </w:tc>
        <w:tc>
          <w:tcPr>
            <w:tcW w:w="422" w:type="pct"/>
            <w:tcBorders>
              <w:top w:val="single" w:color="auto" w:sz="8" w:space="0"/>
              <w:left w:val="single" w:color="auto" w:sz="8" w:space="0"/>
              <w:bottom w:val="single" w:color="auto" w:sz="8" w:space="0"/>
              <w:right w:val="single" w:color="auto" w:sz="8" w:space="0"/>
            </w:tcBorders>
            <w:vAlign w:val="center"/>
          </w:tcPr>
          <w:p>
            <w:pPr>
              <w:pStyle w:val="2"/>
              <w:spacing w:line="400" w:lineRule="exact"/>
              <w:ind w:firstLine="0" w:firstLineChars="0"/>
              <w:jc w:val="left"/>
              <w:rPr>
                <w:rFonts w:hAnsi="仿宋_GB2312" w:eastAsia="仿宋_GB2312" w:cs="仿宋_GB2312"/>
                <w:szCs w:val="24"/>
              </w:rPr>
            </w:pPr>
            <w:r>
              <w:rPr>
                <w:rFonts w:hint="eastAsia" w:hAnsi="仿宋_GB2312" w:eastAsia="仿宋_GB2312" w:cs="仿宋_GB2312"/>
                <w:szCs w:val="24"/>
              </w:rPr>
              <w:t>J Cell Mol Med</w:t>
            </w:r>
          </w:p>
        </w:tc>
        <w:tc>
          <w:tcPr>
            <w:tcW w:w="602" w:type="pct"/>
            <w:tcBorders>
              <w:top w:val="single" w:color="auto" w:sz="8" w:space="0"/>
              <w:left w:val="single" w:color="auto" w:sz="8" w:space="0"/>
              <w:bottom w:val="single" w:color="auto" w:sz="8" w:space="0"/>
              <w:right w:val="single" w:color="auto" w:sz="8" w:space="0"/>
            </w:tcBorders>
            <w:vAlign w:val="center"/>
          </w:tcPr>
          <w:p>
            <w:pPr>
              <w:pStyle w:val="2"/>
              <w:spacing w:line="400" w:lineRule="exact"/>
              <w:ind w:firstLine="0" w:firstLineChars="0"/>
              <w:jc w:val="left"/>
              <w:rPr>
                <w:rFonts w:hAnsi="仿宋_GB2312" w:eastAsia="仿宋_GB2312" w:cs="仿宋_GB2312"/>
                <w:szCs w:val="24"/>
              </w:rPr>
            </w:pPr>
            <w:r>
              <w:rPr>
                <w:rFonts w:hint="eastAsia" w:hAnsi="仿宋_GB2312" w:eastAsia="仿宋_GB2312" w:cs="仿宋_GB2312"/>
                <w:szCs w:val="24"/>
              </w:rPr>
              <w:t>中国人民解放军第四军医大学</w:t>
            </w:r>
          </w:p>
        </w:tc>
        <w:tc>
          <w:tcPr>
            <w:tcW w:w="774" w:type="pct"/>
            <w:tcBorders>
              <w:top w:val="single" w:color="auto" w:sz="8" w:space="0"/>
              <w:left w:val="single" w:color="auto" w:sz="8" w:space="0"/>
              <w:bottom w:val="single" w:color="auto" w:sz="8" w:space="0"/>
              <w:right w:val="single" w:color="auto" w:sz="8" w:space="0"/>
            </w:tcBorders>
            <w:vAlign w:val="center"/>
          </w:tcPr>
          <w:p>
            <w:pPr>
              <w:pStyle w:val="2"/>
              <w:spacing w:line="400" w:lineRule="exact"/>
              <w:ind w:firstLine="0" w:firstLineChars="0"/>
              <w:jc w:val="left"/>
              <w:rPr>
                <w:rFonts w:hAnsi="仿宋_GB2312" w:eastAsia="仿宋_GB2312" w:cs="仿宋_GB2312"/>
                <w:szCs w:val="24"/>
              </w:rPr>
            </w:pPr>
            <w:r>
              <w:rPr>
                <w:rFonts w:hint="eastAsia" w:hAnsi="仿宋_GB2312" w:eastAsia="仿宋_GB2312" w:cs="仿宋_GB2312"/>
                <w:szCs w:val="24"/>
              </w:rPr>
              <w:t>王善杰, 赵志敬, 封欣妤, 程征 熊振宇, 王婷婷, 蔺杰, 张明明, 胡健强, 范延红, Russel J Reiter, 王海昌，  孙冬冬</w:t>
            </w:r>
          </w:p>
        </w:tc>
      </w:tr>
    </w:tbl>
    <w:p>
      <w:pPr>
        <w:pStyle w:val="8"/>
        <w:spacing w:line="400" w:lineRule="exact"/>
        <w:ind w:left="420" w:firstLine="0" w:firstLineChars="0"/>
        <w:rPr>
          <w:rFonts w:ascii="仿宋_GB2312" w:hAnsi="仿宋_GB2312" w:eastAsia="仿宋_GB2312" w:cs="仿宋_GB2312"/>
          <w:b/>
          <w:spacing w:val="2"/>
          <w:sz w:val="24"/>
          <w:szCs w:val="24"/>
        </w:rPr>
      </w:pPr>
    </w:p>
    <w:p>
      <w:pPr>
        <w:rPr>
          <w:rFonts w:ascii="仿宋_GB2312" w:eastAsia="仿宋_GB2312"/>
          <w:sz w:val="32"/>
        </w:rPr>
      </w:pPr>
      <w:r>
        <w:rPr>
          <w:rFonts w:ascii="仿宋_GB2312" w:eastAsia="仿宋_GB2312"/>
          <w:sz w:val="32"/>
        </w:rPr>
        <w:br w:type="page"/>
      </w:r>
    </w:p>
    <w:p>
      <w:pPr>
        <w:ind w:firstLine="640" w:firstLineChars="200"/>
        <w:rPr>
          <w:rFonts w:hint="eastAsia" w:ascii="黑体" w:hAnsi="黑体" w:eastAsia="黑体" w:cs="黑体"/>
          <w:sz w:val="32"/>
        </w:rPr>
      </w:pPr>
      <w:r>
        <w:rPr>
          <w:rFonts w:hint="eastAsia" w:ascii="黑体" w:hAnsi="黑体" w:eastAsia="黑体" w:cs="黑体"/>
          <w:sz w:val="32"/>
        </w:rPr>
        <w:t>十、完成人合作关系说明</w:t>
      </w:r>
    </w:p>
    <w:p>
      <w:pPr>
        <w:widowControl/>
        <w:spacing w:line="400" w:lineRule="exact"/>
        <w:ind w:firstLine="480" w:firstLineChars="200"/>
        <w:jc w:val="left"/>
        <w:rPr>
          <w:rFonts w:ascii="仿宋_GB2312" w:hAnsi="仿宋_GB2312" w:eastAsia="仿宋_GB2312" w:cs="仿宋_GB2312"/>
          <w:color w:val="000000"/>
          <w:kern w:val="0"/>
          <w:sz w:val="24"/>
          <w:szCs w:val="24"/>
          <w:lang w:bidi="ar"/>
        </w:rPr>
      </w:pPr>
      <w:r>
        <w:rPr>
          <w:rFonts w:hint="eastAsia" w:ascii="仿宋_GB2312" w:hAnsi="仿宋_GB2312" w:eastAsia="仿宋_GB2312" w:cs="仿宋_GB2312"/>
          <w:color w:val="000000"/>
          <w:kern w:val="0"/>
          <w:sz w:val="24"/>
          <w:szCs w:val="24"/>
          <w:lang w:bidi="ar"/>
        </w:rPr>
        <w:t>在本项目中，本人与王海昌教授共同开发即刻补救旋磨新技术，制定国际钙化病变治疗指南，建立糖脂代谢紊乱相关心血管疾病围术期优化管理综合治疗策略，在临床上积极推广新治疗策略。</w:t>
      </w:r>
    </w:p>
    <w:p>
      <w:pPr>
        <w:widowControl/>
        <w:spacing w:line="400" w:lineRule="exact"/>
        <w:ind w:firstLine="480" w:firstLineChars="200"/>
        <w:jc w:val="left"/>
        <w:rPr>
          <w:rFonts w:ascii="仿宋_GB2312" w:hAnsi="仿宋_GB2312" w:eastAsia="仿宋_GB2312" w:cs="仿宋_GB2312"/>
          <w:color w:val="000000"/>
          <w:kern w:val="0"/>
          <w:sz w:val="24"/>
          <w:szCs w:val="24"/>
          <w:lang w:bidi="ar"/>
        </w:rPr>
      </w:pPr>
      <w:r>
        <w:rPr>
          <w:rFonts w:hint="eastAsia" w:ascii="仿宋_GB2312" w:hAnsi="仿宋_GB2312" w:eastAsia="仿宋_GB2312" w:cs="仿宋_GB2312"/>
          <w:color w:val="000000"/>
          <w:kern w:val="0"/>
          <w:sz w:val="24"/>
          <w:szCs w:val="24"/>
          <w:lang w:bidi="ar"/>
        </w:rPr>
        <w:t>本人与张璇副教授、沈敏副教授在临床上共同推广应用课题组前期创立的即刻补救旋磨技术用于冠状动脉严重钙化病变伴医源性夹层病变的治疗，以及课题组建立的糖脂代谢紊乱相关心血管疾病围术期优化管理综合治疗策略。</w:t>
      </w:r>
    </w:p>
    <w:p>
      <w:pPr>
        <w:widowControl/>
        <w:spacing w:line="400" w:lineRule="exact"/>
        <w:ind w:firstLine="480" w:firstLineChars="200"/>
        <w:jc w:val="left"/>
        <w:rPr>
          <w:rFonts w:ascii="仿宋_GB2312" w:hAnsi="仿宋_GB2312" w:eastAsia="仿宋_GB2312" w:cs="仿宋_GB2312"/>
          <w:color w:val="000000"/>
          <w:kern w:val="0"/>
          <w:sz w:val="24"/>
          <w:szCs w:val="24"/>
          <w:lang w:bidi="ar"/>
        </w:rPr>
      </w:pPr>
      <w:r>
        <w:rPr>
          <w:rFonts w:hint="eastAsia" w:ascii="仿宋_GB2312" w:hAnsi="仿宋_GB2312" w:eastAsia="仿宋_GB2312" w:cs="仿宋_GB2312"/>
          <w:color w:val="000000"/>
          <w:kern w:val="0"/>
          <w:sz w:val="24"/>
          <w:szCs w:val="24"/>
          <w:lang w:bidi="ar"/>
        </w:rPr>
        <w:t>本人与赵志敬副教授共同揭示了糖脂代谢紊乱相关心血管疾病进展终期-心肌梗死的新机制，探究了减轻心肌梗死后心脏重构的新信号通。主译《Mayo心脏病学》、《奈特心脏病学》，主编《病人的十万个为什么》等专著。</w:t>
      </w:r>
    </w:p>
    <w:p>
      <w:pPr>
        <w:widowControl/>
        <w:spacing w:line="400" w:lineRule="exact"/>
        <w:ind w:firstLine="480" w:firstLineChars="200"/>
        <w:jc w:val="left"/>
        <w:rPr>
          <w:rFonts w:ascii="仿宋_GB2312" w:hAnsi="仿宋_GB2312" w:eastAsia="仿宋_GB2312" w:cs="仿宋_GB2312"/>
          <w:color w:val="000000"/>
          <w:kern w:val="0"/>
          <w:sz w:val="24"/>
          <w:szCs w:val="24"/>
          <w:lang w:bidi="ar"/>
        </w:rPr>
      </w:pPr>
      <w:r>
        <w:rPr>
          <w:rFonts w:hint="eastAsia" w:ascii="仿宋_GB2312" w:hAnsi="仿宋_GB2312" w:eastAsia="仿宋_GB2312" w:cs="仿宋_GB2312"/>
          <w:color w:val="000000"/>
          <w:kern w:val="0"/>
          <w:sz w:val="24"/>
          <w:szCs w:val="24"/>
          <w:lang w:bidi="ar"/>
        </w:rPr>
        <w:t>本人指导项目组成员张学斌硕士在国际上首次揭示糖脂代谢紊乱微环境的重要感应因子Adipsin通过Csk（C末端Src激酶）依赖性信号机制缓解糖脂代谢紊乱引起的心肌微血管损伤新机制。明确了以Adipsin为核心的糖脂代谢紊乱所致血管损伤的干预靶点。</w:t>
      </w:r>
    </w:p>
    <w:p>
      <w:pPr>
        <w:widowControl/>
        <w:spacing w:line="400" w:lineRule="exact"/>
        <w:ind w:firstLine="480" w:firstLineChars="200"/>
        <w:jc w:val="left"/>
        <w:rPr>
          <w:rFonts w:ascii="仿宋_GB2312" w:hAnsi="仿宋_GB2312" w:eastAsia="仿宋_GB2312" w:cs="仿宋_GB2312"/>
          <w:color w:val="000000"/>
          <w:kern w:val="0"/>
          <w:sz w:val="24"/>
          <w:szCs w:val="24"/>
          <w:lang w:bidi="ar"/>
        </w:rPr>
      </w:pPr>
      <w:r>
        <w:rPr>
          <w:rFonts w:hint="eastAsia" w:ascii="仿宋_GB2312" w:hAnsi="仿宋_GB2312" w:eastAsia="仿宋_GB2312" w:cs="仿宋_GB2312"/>
          <w:color w:val="000000"/>
          <w:kern w:val="0"/>
          <w:sz w:val="24"/>
          <w:szCs w:val="24"/>
          <w:lang w:bidi="ar"/>
        </w:rPr>
        <w:t>本人指导项目组成员姜梦圆硕士揭示了脂毒性在糖脂代谢紊乱心肌损伤中的关键作用，确立了以Adipsin/Irak2/Phb/Opa1信号通路为核心的线粒体稳态调控新机制，建立了以脂肪酸-β氧化为靶点的糖脂代谢紊乱心肌损伤治疗新策略。</w:t>
      </w:r>
    </w:p>
    <w:p>
      <w:pPr>
        <w:widowControl/>
        <w:spacing w:line="400" w:lineRule="exact"/>
        <w:ind w:firstLine="480" w:firstLineChars="200"/>
        <w:jc w:val="left"/>
        <w:rPr>
          <w:rFonts w:ascii="仿宋_GB2312" w:hAnsi="仿宋_GB2312" w:eastAsia="仿宋_GB2312" w:cs="仿宋_GB2312"/>
          <w:color w:val="000000"/>
          <w:kern w:val="0"/>
          <w:sz w:val="24"/>
          <w:szCs w:val="24"/>
          <w:lang w:bidi="ar"/>
        </w:rPr>
      </w:pPr>
      <w:r>
        <w:rPr>
          <w:rFonts w:hint="eastAsia" w:ascii="仿宋_GB2312" w:hAnsi="仿宋_GB2312" w:eastAsia="仿宋_GB2312" w:cs="仿宋_GB2312"/>
          <w:color w:val="000000"/>
          <w:kern w:val="0"/>
          <w:sz w:val="24"/>
          <w:szCs w:val="24"/>
          <w:lang w:bidi="ar"/>
        </w:rPr>
        <w:t>本人指导项目组成员张龑博士揭示了脂毒性在动脉粥样硬化中的关键作用，确立了以Rnd3/TRAF6/NF-kB/NLRP3信号通路为核心的内皮细胞焦亡调控新机制，建立了以泛素连接酶为靶点的动脉粥样硬化治疗新策略。</w:t>
      </w:r>
    </w:p>
    <w:p>
      <w:pPr>
        <w:widowControl/>
        <w:spacing w:line="400" w:lineRule="exact"/>
        <w:ind w:firstLine="240" w:firstLineChars="100"/>
        <w:jc w:val="left"/>
        <w:rPr>
          <w:rFonts w:ascii="宋体" w:hAnsi="宋体" w:eastAsia="宋体" w:cs="宋体"/>
          <w:color w:val="000000"/>
          <w:kern w:val="0"/>
          <w:sz w:val="24"/>
          <w:szCs w:val="24"/>
          <w:lang w:bidi="ar"/>
        </w:rPr>
      </w:pPr>
      <w:r>
        <w:rPr>
          <w:rFonts w:hint="eastAsia" w:ascii="仿宋_GB2312" w:hAnsi="仿宋_GB2312" w:eastAsia="仿宋_GB2312" w:cs="仿宋_GB2312"/>
          <w:color w:val="000000"/>
          <w:kern w:val="0"/>
          <w:sz w:val="24"/>
          <w:szCs w:val="24"/>
          <w:lang w:bidi="ar"/>
        </w:rPr>
        <w:t>本人指导项目组成员蔺杰博士揭示了细胞外基质重构在糖脂代谢紊乱心肌损伤中的关键作用，确立了以Rnd3/Notch/TGF-β信号通路为核心的成纤维细胞活化新机制，建立了以GTP酶为靶点的糖脂代谢紊乱心脏重构治疗新策略。</w:t>
      </w:r>
    </w:p>
    <w:p>
      <w:pPr>
        <w:widowControl/>
        <w:jc w:val="left"/>
        <w:rPr>
          <w:rFonts w:ascii="宋体" w:hAnsi="宋体" w:eastAsia="宋体" w:cs="宋体"/>
          <w:color w:val="000000"/>
          <w:kern w:val="0"/>
          <w:sz w:val="24"/>
          <w:szCs w:val="24"/>
          <w:lang w:bidi="ar"/>
        </w:rPr>
      </w:pPr>
    </w:p>
    <w:p>
      <w:pPr>
        <w:widowControl/>
        <w:ind w:firstLine="5301" w:firstLineChars="2200"/>
        <w:jc w:val="left"/>
        <w:rPr>
          <w:rFonts w:ascii="宋体" w:hAnsi="宋体" w:eastAsia="宋体" w:cs="宋体"/>
          <w:b/>
          <w:bCs/>
          <w:color w:val="000000"/>
          <w:kern w:val="0"/>
          <w:sz w:val="24"/>
          <w:szCs w:val="24"/>
          <w:lang w:bidi="ar"/>
        </w:rPr>
      </w:pPr>
      <w:r>
        <w:rPr>
          <w:rFonts w:hint="eastAsia" w:ascii="宋体" w:hAnsi="宋体" w:eastAsia="宋体" w:cs="宋体"/>
          <w:b/>
          <w:bCs/>
          <w:color w:val="000000"/>
          <w:kern w:val="0"/>
          <w:sz w:val="24"/>
          <w:szCs w:val="24"/>
          <w:lang w:bidi="ar"/>
        </w:rPr>
        <w:t>第一完成人签名：</w:t>
      </w:r>
    </w:p>
    <w:p>
      <w:pPr>
        <w:widowControl/>
        <w:jc w:val="center"/>
      </w:pPr>
      <w:r>
        <w:rPr>
          <w:rFonts w:hint="eastAsia" w:ascii="宋体" w:hAnsi="宋体" w:eastAsia="宋体" w:cs="宋体"/>
          <w:b/>
          <w:bCs/>
          <w:color w:val="000000"/>
          <w:kern w:val="0"/>
          <w:sz w:val="28"/>
          <w:szCs w:val="28"/>
          <w:lang w:bidi="ar"/>
        </w:rPr>
        <w:t>完成人合作关系情况汇总表</w:t>
      </w:r>
    </w:p>
    <w:tbl>
      <w:tblPr>
        <w:tblStyle w:val="5"/>
        <w:tblW w:w="9961"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1139"/>
        <w:gridCol w:w="751"/>
        <w:gridCol w:w="1133"/>
        <w:gridCol w:w="1220"/>
        <w:gridCol w:w="1276"/>
        <w:gridCol w:w="2824"/>
        <w:gridCol w:w="1618"/>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jc w:val="center"/>
        </w:trPr>
        <w:tc>
          <w:tcPr>
            <w:tcW w:w="1139" w:type="dxa"/>
            <w:vAlign w:val="center"/>
          </w:tcPr>
          <w:p>
            <w:pPr>
              <w:widowControl/>
              <w:spacing w:line="400" w:lineRule="exact"/>
              <w:jc w:val="center"/>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序号</w:t>
            </w:r>
          </w:p>
        </w:tc>
        <w:tc>
          <w:tcPr>
            <w:tcW w:w="751" w:type="dxa"/>
            <w:vAlign w:val="center"/>
          </w:tcPr>
          <w:p>
            <w:pPr>
              <w:widowControl/>
              <w:spacing w:line="400" w:lineRule="exact"/>
              <w:jc w:val="center"/>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合作方式</w:t>
            </w:r>
          </w:p>
        </w:tc>
        <w:tc>
          <w:tcPr>
            <w:tcW w:w="1133" w:type="dxa"/>
            <w:vAlign w:val="center"/>
          </w:tcPr>
          <w:p>
            <w:pPr>
              <w:widowControl/>
              <w:spacing w:line="400" w:lineRule="exact"/>
              <w:jc w:val="center"/>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合作者</w:t>
            </w:r>
            <w:r>
              <w:rPr>
                <w:rFonts w:ascii="仿宋_GB2312" w:hAnsi="仿宋_GB2312" w:eastAsia="仿宋_GB2312" w:cs="仿宋_GB2312"/>
                <w:b/>
                <w:bCs/>
                <w:kern w:val="0"/>
                <w:sz w:val="24"/>
                <w:szCs w:val="24"/>
              </w:rPr>
              <w:t>/项目排名</w:t>
            </w:r>
          </w:p>
        </w:tc>
        <w:tc>
          <w:tcPr>
            <w:tcW w:w="1220" w:type="dxa"/>
            <w:vAlign w:val="center"/>
          </w:tcPr>
          <w:p>
            <w:pPr>
              <w:widowControl/>
              <w:spacing w:line="400" w:lineRule="exact"/>
              <w:jc w:val="center"/>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合作起始时间</w:t>
            </w:r>
          </w:p>
        </w:tc>
        <w:tc>
          <w:tcPr>
            <w:tcW w:w="1276" w:type="dxa"/>
            <w:vAlign w:val="center"/>
          </w:tcPr>
          <w:p>
            <w:pPr>
              <w:widowControl/>
              <w:spacing w:line="400" w:lineRule="exact"/>
              <w:jc w:val="center"/>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合作完成时间</w:t>
            </w:r>
          </w:p>
        </w:tc>
        <w:tc>
          <w:tcPr>
            <w:tcW w:w="2824" w:type="dxa"/>
            <w:vAlign w:val="center"/>
          </w:tcPr>
          <w:p>
            <w:pPr>
              <w:pStyle w:val="2"/>
              <w:adjustRightInd w:val="0"/>
              <w:spacing w:after="50" w:line="400" w:lineRule="exact"/>
              <w:ind w:firstLine="0" w:firstLineChars="0"/>
              <w:jc w:val="center"/>
              <w:outlineLvl w:val="1"/>
              <w:rPr>
                <w:rFonts w:hAnsi="仿宋_GB2312" w:eastAsia="仿宋_GB2312" w:cs="仿宋_GB2312"/>
                <w:b/>
                <w:bCs/>
                <w:szCs w:val="24"/>
              </w:rPr>
            </w:pPr>
            <w:r>
              <w:rPr>
                <w:rFonts w:hint="eastAsia" w:hAnsi="仿宋_GB2312" w:eastAsia="仿宋_GB2312" w:cs="仿宋_GB2312"/>
                <w:b/>
                <w:bCs/>
                <w:kern w:val="0"/>
                <w:szCs w:val="24"/>
              </w:rPr>
              <w:t>合作成果</w:t>
            </w:r>
          </w:p>
        </w:tc>
        <w:tc>
          <w:tcPr>
            <w:tcW w:w="1618" w:type="dxa"/>
            <w:vAlign w:val="center"/>
          </w:tcPr>
          <w:p>
            <w:pPr>
              <w:pStyle w:val="2"/>
              <w:adjustRightInd w:val="0"/>
              <w:spacing w:after="50" w:line="400" w:lineRule="exact"/>
              <w:ind w:firstLine="0" w:firstLineChars="0"/>
              <w:jc w:val="center"/>
              <w:outlineLvl w:val="1"/>
              <w:rPr>
                <w:rFonts w:hAnsi="仿宋_GB2312" w:eastAsia="仿宋_GB2312" w:cs="仿宋_GB2312"/>
                <w:b/>
                <w:bCs/>
                <w:kern w:val="0"/>
                <w:szCs w:val="24"/>
              </w:rPr>
            </w:pPr>
            <w:r>
              <w:rPr>
                <w:rFonts w:hint="eastAsia" w:hAnsi="仿宋_GB2312" w:eastAsia="仿宋_GB2312" w:cs="仿宋_GB2312"/>
                <w:b/>
                <w:bCs/>
                <w:kern w:val="0"/>
                <w:szCs w:val="24"/>
              </w:rPr>
              <w:t>证明材料</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jc w:val="center"/>
        </w:trPr>
        <w:tc>
          <w:tcPr>
            <w:tcW w:w="1139" w:type="dxa"/>
            <w:vAlign w:val="center"/>
          </w:tcPr>
          <w:p>
            <w:pPr>
              <w:spacing w:before="156" w:beforeLines="50" w:after="156" w:afterLines="50"/>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1</w:t>
            </w:r>
          </w:p>
        </w:tc>
        <w:tc>
          <w:tcPr>
            <w:tcW w:w="751" w:type="dxa"/>
            <w:vAlign w:val="center"/>
          </w:tcPr>
          <w:p>
            <w:pPr>
              <w:widowControl/>
              <w:spacing w:line="400" w:lineRule="exact"/>
              <w:rPr>
                <w:rFonts w:ascii="仿宋_GB2312" w:hAnsi="仿宋_GB2312" w:eastAsia="仿宋_GB2312" w:cs="仿宋_GB2312"/>
                <w:sz w:val="24"/>
                <w:szCs w:val="24"/>
              </w:rPr>
            </w:pPr>
            <w:r>
              <w:rPr>
                <w:rFonts w:hint="eastAsia" w:ascii="仿宋_GB2312" w:hAnsi="仿宋_GB2312" w:eastAsia="仿宋_GB2312" w:cs="仿宋_GB2312"/>
                <w:sz w:val="24"/>
                <w:szCs w:val="24"/>
              </w:rPr>
              <w:t>合著论文</w:t>
            </w:r>
          </w:p>
        </w:tc>
        <w:tc>
          <w:tcPr>
            <w:tcW w:w="1133" w:type="dxa"/>
            <w:vAlign w:val="center"/>
          </w:tcPr>
          <w:p>
            <w:pPr>
              <w:spacing w:before="156" w:beforeLines="50" w:after="156" w:afterLines="50" w:line="400" w:lineRule="exact"/>
              <w:rPr>
                <w:rFonts w:ascii="仿宋_GB2312" w:hAnsi="仿宋_GB2312" w:eastAsia="仿宋_GB2312" w:cs="仿宋_GB2312"/>
                <w:sz w:val="24"/>
                <w:szCs w:val="24"/>
              </w:rPr>
            </w:pPr>
            <w:r>
              <w:rPr>
                <w:rFonts w:hint="eastAsia" w:ascii="仿宋_GB2312" w:hAnsi="仿宋_GB2312" w:eastAsia="仿宋_GB2312" w:cs="仿宋_GB2312"/>
                <w:sz w:val="24"/>
                <w:szCs w:val="24"/>
              </w:rPr>
              <w:t>蔺杰/9, 王海昌/2, 孙冬冬/1</w:t>
            </w:r>
          </w:p>
        </w:tc>
        <w:tc>
          <w:tcPr>
            <w:tcW w:w="1220" w:type="dxa"/>
            <w:vAlign w:val="center"/>
          </w:tcPr>
          <w:p>
            <w:pPr>
              <w:spacing w:before="156" w:beforeLines="50" w:after="156" w:afterLines="50" w:line="400" w:lineRule="exact"/>
              <w:rPr>
                <w:rFonts w:ascii="仿宋_GB2312" w:hAnsi="仿宋_GB2312" w:eastAsia="仿宋_GB2312" w:cs="仿宋_GB2312"/>
                <w:sz w:val="24"/>
                <w:szCs w:val="24"/>
              </w:rPr>
            </w:pPr>
            <w:r>
              <w:rPr>
                <w:rFonts w:hint="eastAsia" w:ascii="仿宋_GB2312" w:hAnsi="仿宋_GB2312" w:eastAsia="仿宋_GB2312" w:cs="仿宋_GB2312"/>
                <w:sz w:val="24"/>
                <w:szCs w:val="24"/>
              </w:rPr>
              <w:t>2016.08</w:t>
            </w:r>
          </w:p>
        </w:tc>
        <w:tc>
          <w:tcPr>
            <w:tcW w:w="1276" w:type="dxa"/>
            <w:vAlign w:val="center"/>
          </w:tcPr>
          <w:p>
            <w:pPr>
              <w:spacing w:before="156" w:beforeLines="50" w:after="156" w:afterLines="50" w:line="400" w:lineRule="exact"/>
              <w:rPr>
                <w:rFonts w:ascii="仿宋_GB2312" w:hAnsi="仿宋_GB2312" w:eastAsia="仿宋_GB2312" w:cs="仿宋_GB2312"/>
                <w:sz w:val="24"/>
                <w:szCs w:val="24"/>
              </w:rPr>
            </w:pPr>
            <w:r>
              <w:rPr>
                <w:rFonts w:hint="eastAsia" w:ascii="仿宋_GB2312" w:hAnsi="仿宋_GB2312" w:eastAsia="仿宋_GB2312" w:cs="仿宋_GB2312"/>
                <w:sz w:val="24"/>
                <w:szCs w:val="24"/>
              </w:rPr>
              <w:t>2024.05</w:t>
            </w:r>
          </w:p>
        </w:tc>
        <w:tc>
          <w:tcPr>
            <w:tcW w:w="2824" w:type="dxa"/>
          </w:tcPr>
          <w:p>
            <w:pPr>
              <w:pStyle w:val="2"/>
              <w:spacing w:line="400" w:lineRule="exact"/>
              <w:ind w:firstLine="0" w:firstLineChars="0"/>
              <w:jc w:val="center"/>
              <w:rPr>
                <w:rFonts w:hAnsi="仿宋_GB2312" w:eastAsia="仿宋_GB2312" w:cs="仿宋_GB2312"/>
                <w:szCs w:val="24"/>
              </w:rPr>
            </w:pPr>
            <w:r>
              <w:rPr>
                <w:rFonts w:hint="eastAsia" w:hAnsi="仿宋_GB2312" w:eastAsia="仿宋_GB2312" w:cs="仿宋_GB2312"/>
                <w:szCs w:val="24"/>
              </w:rPr>
              <w:t>Mst1 coordinately regulates autophagy and apoptosis in diabetic cardiomyopathy</w:t>
            </w:r>
          </w:p>
        </w:tc>
        <w:tc>
          <w:tcPr>
            <w:tcW w:w="1618" w:type="dxa"/>
            <w:vAlign w:val="center"/>
          </w:tcPr>
          <w:p>
            <w:pPr>
              <w:spacing w:before="156" w:beforeLines="50" w:after="156" w:afterLines="50" w:line="400" w:lineRule="exact"/>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其他附件</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jc w:val="center"/>
        </w:trPr>
        <w:tc>
          <w:tcPr>
            <w:tcW w:w="1139" w:type="dxa"/>
            <w:vAlign w:val="center"/>
          </w:tcPr>
          <w:p>
            <w:pPr>
              <w:spacing w:before="156" w:beforeLines="50" w:after="156" w:afterLines="50" w:line="400" w:lineRule="exact"/>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2</w:t>
            </w:r>
          </w:p>
        </w:tc>
        <w:tc>
          <w:tcPr>
            <w:tcW w:w="751" w:type="dxa"/>
            <w:vAlign w:val="center"/>
          </w:tcPr>
          <w:p>
            <w:pPr>
              <w:spacing w:before="156" w:beforeLines="50" w:after="156" w:afterLines="50" w:line="400" w:lineRule="exact"/>
              <w:rPr>
                <w:rFonts w:ascii="仿宋_GB2312" w:hAnsi="仿宋_GB2312" w:eastAsia="仿宋_GB2312" w:cs="仿宋_GB2312"/>
                <w:sz w:val="24"/>
                <w:szCs w:val="24"/>
              </w:rPr>
            </w:pPr>
            <w:r>
              <w:rPr>
                <w:rFonts w:hint="eastAsia" w:ascii="仿宋_GB2312" w:hAnsi="仿宋_GB2312" w:eastAsia="仿宋_GB2312" w:cs="仿宋_GB2312"/>
                <w:sz w:val="24"/>
                <w:szCs w:val="24"/>
              </w:rPr>
              <w:t>合著论文</w:t>
            </w:r>
          </w:p>
        </w:tc>
        <w:tc>
          <w:tcPr>
            <w:tcW w:w="1133" w:type="dxa"/>
            <w:vAlign w:val="center"/>
          </w:tcPr>
          <w:p>
            <w:pPr>
              <w:spacing w:before="156" w:beforeLines="50" w:after="156" w:afterLines="50" w:line="400" w:lineRule="exact"/>
              <w:rPr>
                <w:rFonts w:ascii="仿宋_GB2312" w:hAnsi="仿宋_GB2312" w:eastAsia="仿宋_GB2312" w:cs="仿宋_GB2312"/>
                <w:sz w:val="24"/>
                <w:szCs w:val="24"/>
              </w:rPr>
            </w:pPr>
            <w:r>
              <w:rPr>
                <w:rFonts w:hint="eastAsia" w:ascii="仿宋_GB2312" w:hAnsi="仿宋_GB2312" w:eastAsia="仿宋_GB2312" w:cs="仿宋_GB2312"/>
                <w:sz w:val="24"/>
                <w:szCs w:val="24"/>
              </w:rPr>
              <w:t>张䶮/8；蔺杰/9；张学斌/6；姜梦圆7；孙冬冬/1</w:t>
            </w:r>
          </w:p>
        </w:tc>
        <w:tc>
          <w:tcPr>
            <w:tcW w:w="1220" w:type="dxa"/>
            <w:vAlign w:val="center"/>
          </w:tcPr>
          <w:p>
            <w:pPr>
              <w:spacing w:before="156" w:beforeLines="50" w:after="156" w:afterLines="50" w:line="400" w:lineRule="exact"/>
              <w:rPr>
                <w:rFonts w:ascii="仿宋_GB2312" w:hAnsi="仿宋_GB2312" w:eastAsia="仿宋_GB2312" w:cs="仿宋_GB2312"/>
                <w:sz w:val="24"/>
                <w:szCs w:val="24"/>
              </w:rPr>
            </w:pPr>
            <w:r>
              <w:rPr>
                <w:rFonts w:hint="eastAsia" w:ascii="仿宋_GB2312" w:hAnsi="仿宋_GB2312" w:eastAsia="仿宋_GB2312" w:cs="仿宋_GB2312"/>
                <w:sz w:val="24"/>
                <w:szCs w:val="24"/>
              </w:rPr>
              <w:t>2023.9</w:t>
            </w:r>
          </w:p>
        </w:tc>
        <w:tc>
          <w:tcPr>
            <w:tcW w:w="1276" w:type="dxa"/>
            <w:vAlign w:val="center"/>
          </w:tcPr>
          <w:p>
            <w:pPr>
              <w:spacing w:before="156" w:beforeLines="50" w:after="156" w:afterLines="50" w:line="400" w:lineRule="exact"/>
              <w:rPr>
                <w:rFonts w:ascii="仿宋_GB2312" w:hAnsi="仿宋_GB2312" w:eastAsia="仿宋_GB2312" w:cs="仿宋_GB2312"/>
                <w:sz w:val="24"/>
                <w:szCs w:val="24"/>
              </w:rPr>
            </w:pPr>
            <w:r>
              <w:rPr>
                <w:rFonts w:hint="eastAsia" w:ascii="仿宋_GB2312" w:hAnsi="仿宋_GB2312" w:eastAsia="仿宋_GB2312" w:cs="仿宋_GB2312"/>
                <w:sz w:val="24"/>
                <w:szCs w:val="24"/>
              </w:rPr>
              <w:t>2024.05</w:t>
            </w:r>
          </w:p>
        </w:tc>
        <w:tc>
          <w:tcPr>
            <w:tcW w:w="2824" w:type="dxa"/>
            <w:vAlign w:val="center"/>
          </w:tcPr>
          <w:p>
            <w:pPr>
              <w:spacing w:before="156" w:beforeLines="50" w:after="156" w:afterLines="50" w:line="400" w:lineRule="exact"/>
              <w:jc w:val="center"/>
              <w:rPr>
                <w:rFonts w:hAnsi="仿宋_GB2312" w:eastAsia="仿宋_GB2312" w:cs="仿宋_GB2312"/>
                <w:szCs w:val="24"/>
              </w:rPr>
            </w:pPr>
            <w:r>
              <w:rPr>
                <w:rFonts w:hint="eastAsia" w:ascii="仿宋_GB2312" w:hAnsi="仿宋_GB2312" w:eastAsia="仿宋_GB2312" w:cs="仿宋_GB2312"/>
                <w:sz w:val="24"/>
                <w:szCs w:val="24"/>
              </w:rPr>
              <w:t>Rnd3 suppresses endothelial cell pyroptosis in atherosclerosis through regulation of ubiquitination of TRAF6</w:t>
            </w:r>
          </w:p>
        </w:tc>
        <w:tc>
          <w:tcPr>
            <w:tcW w:w="1618" w:type="dxa"/>
            <w:vAlign w:val="center"/>
          </w:tcPr>
          <w:p>
            <w:pPr>
              <w:spacing w:before="156" w:beforeLines="50" w:after="156" w:afterLines="50" w:line="400" w:lineRule="exact"/>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其他附件</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jc w:val="center"/>
        </w:trPr>
        <w:tc>
          <w:tcPr>
            <w:tcW w:w="1139" w:type="dxa"/>
            <w:vAlign w:val="center"/>
          </w:tcPr>
          <w:p>
            <w:pPr>
              <w:spacing w:before="156" w:beforeLines="50" w:after="156" w:afterLines="50" w:line="400" w:lineRule="exact"/>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3</w:t>
            </w:r>
          </w:p>
        </w:tc>
        <w:tc>
          <w:tcPr>
            <w:tcW w:w="751" w:type="dxa"/>
            <w:vAlign w:val="center"/>
          </w:tcPr>
          <w:p>
            <w:pPr>
              <w:spacing w:before="156" w:beforeLines="50" w:after="156" w:afterLines="50" w:line="400" w:lineRule="exact"/>
              <w:rPr>
                <w:rFonts w:ascii="仿宋_GB2312" w:hAnsi="仿宋_GB2312" w:eastAsia="仿宋_GB2312" w:cs="仿宋_GB2312"/>
                <w:sz w:val="24"/>
                <w:szCs w:val="24"/>
              </w:rPr>
            </w:pPr>
            <w:r>
              <w:rPr>
                <w:rFonts w:hint="eastAsia" w:ascii="仿宋_GB2312" w:hAnsi="仿宋_GB2312" w:eastAsia="仿宋_GB2312" w:cs="仿宋_GB2312"/>
                <w:sz w:val="24"/>
                <w:szCs w:val="24"/>
              </w:rPr>
              <w:t>合著论文</w:t>
            </w:r>
          </w:p>
        </w:tc>
        <w:tc>
          <w:tcPr>
            <w:tcW w:w="1133" w:type="dxa"/>
            <w:vAlign w:val="center"/>
          </w:tcPr>
          <w:p>
            <w:pPr>
              <w:spacing w:before="156" w:beforeLines="50" w:after="156" w:afterLines="50" w:line="400" w:lineRule="exact"/>
              <w:rPr>
                <w:rFonts w:ascii="仿宋_GB2312" w:hAnsi="仿宋_GB2312" w:eastAsia="仿宋_GB2312" w:cs="仿宋_GB2312"/>
                <w:sz w:val="24"/>
                <w:szCs w:val="24"/>
              </w:rPr>
            </w:pPr>
            <w:r>
              <w:rPr>
                <w:rFonts w:hint="eastAsia" w:ascii="仿宋_GB2312" w:hAnsi="仿宋_GB2312" w:eastAsia="仿宋_GB2312" w:cs="仿宋_GB2312"/>
                <w:sz w:val="24"/>
                <w:szCs w:val="24"/>
              </w:rPr>
              <w:t>张学斌/6；姜梦圆/7；张龑/8；蔺杰/9；孙冬冬/1</w:t>
            </w:r>
          </w:p>
        </w:tc>
        <w:tc>
          <w:tcPr>
            <w:tcW w:w="1220" w:type="dxa"/>
            <w:vAlign w:val="center"/>
          </w:tcPr>
          <w:p>
            <w:pPr>
              <w:spacing w:before="156" w:beforeLines="50" w:after="156" w:afterLines="50" w:line="400" w:lineRule="exact"/>
              <w:rPr>
                <w:rFonts w:ascii="仿宋_GB2312" w:hAnsi="仿宋_GB2312" w:eastAsia="仿宋_GB2312" w:cs="仿宋_GB2312"/>
                <w:sz w:val="24"/>
                <w:szCs w:val="24"/>
              </w:rPr>
            </w:pPr>
            <w:r>
              <w:rPr>
                <w:rFonts w:hint="eastAsia" w:ascii="仿宋_GB2312" w:hAnsi="仿宋_GB2312" w:eastAsia="仿宋_GB2312" w:cs="仿宋_GB2312"/>
                <w:sz w:val="24"/>
                <w:szCs w:val="24"/>
              </w:rPr>
              <w:t>2023.5</w:t>
            </w:r>
          </w:p>
        </w:tc>
        <w:tc>
          <w:tcPr>
            <w:tcW w:w="1276" w:type="dxa"/>
            <w:vAlign w:val="center"/>
          </w:tcPr>
          <w:p>
            <w:pPr>
              <w:spacing w:before="156" w:beforeLines="50" w:after="156" w:afterLines="50" w:line="400" w:lineRule="exact"/>
              <w:rPr>
                <w:rFonts w:ascii="仿宋_GB2312" w:hAnsi="仿宋_GB2312" w:eastAsia="仿宋_GB2312" w:cs="仿宋_GB2312"/>
                <w:sz w:val="24"/>
                <w:szCs w:val="24"/>
              </w:rPr>
            </w:pPr>
            <w:r>
              <w:rPr>
                <w:rFonts w:hint="eastAsia" w:ascii="仿宋_GB2312" w:hAnsi="仿宋_GB2312" w:eastAsia="仿宋_GB2312" w:cs="仿宋_GB2312"/>
                <w:sz w:val="24"/>
                <w:szCs w:val="24"/>
              </w:rPr>
              <w:t>2024.05</w:t>
            </w:r>
          </w:p>
        </w:tc>
        <w:tc>
          <w:tcPr>
            <w:tcW w:w="2824" w:type="dxa"/>
            <w:vAlign w:val="center"/>
          </w:tcPr>
          <w:p>
            <w:pPr>
              <w:spacing w:before="156" w:beforeLines="50" w:after="156" w:afterLines="50" w:line="400" w:lineRule="exact"/>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Adipsin alleviates cardiac microvascular injury in diabetic cardiomyopathy through Csk-dependent signaling mechanism</w:t>
            </w:r>
          </w:p>
        </w:tc>
        <w:tc>
          <w:tcPr>
            <w:tcW w:w="1618" w:type="dxa"/>
            <w:vAlign w:val="center"/>
          </w:tcPr>
          <w:p>
            <w:pPr>
              <w:spacing w:before="156" w:beforeLines="50" w:after="156" w:afterLines="50" w:line="400" w:lineRule="exact"/>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其他附件</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jc w:val="center"/>
        </w:trPr>
        <w:tc>
          <w:tcPr>
            <w:tcW w:w="1139" w:type="dxa"/>
            <w:vAlign w:val="center"/>
          </w:tcPr>
          <w:p>
            <w:pPr>
              <w:spacing w:before="156" w:beforeLines="50" w:after="156" w:afterLines="50" w:line="400" w:lineRule="exact"/>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4</w:t>
            </w:r>
          </w:p>
        </w:tc>
        <w:tc>
          <w:tcPr>
            <w:tcW w:w="751" w:type="dxa"/>
            <w:vAlign w:val="center"/>
          </w:tcPr>
          <w:p>
            <w:pPr>
              <w:spacing w:before="156" w:beforeLines="50" w:after="156" w:afterLines="50" w:line="400" w:lineRule="exact"/>
              <w:rPr>
                <w:rFonts w:ascii="仿宋_GB2312" w:hAnsi="仿宋_GB2312" w:eastAsia="仿宋_GB2312" w:cs="仿宋_GB2312"/>
                <w:sz w:val="24"/>
                <w:szCs w:val="24"/>
              </w:rPr>
            </w:pPr>
            <w:r>
              <w:rPr>
                <w:rFonts w:hint="eastAsia" w:ascii="仿宋_GB2312" w:hAnsi="仿宋_GB2312" w:eastAsia="仿宋_GB2312" w:cs="仿宋_GB2312"/>
                <w:sz w:val="24"/>
                <w:szCs w:val="24"/>
              </w:rPr>
              <w:t>合著论文</w:t>
            </w:r>
          </w:p>
        </w:tc>
        <w:tc>
          <w:tcPr>
            <w:tcW w:w="1133" w:type="dxa"/>
            <w:vAlign w:val="center"/>
          </w:tcPr>
          <w:p>
            <w:pPr>
              <w:spacing w:before="156" w:beforeLines="50" w:after="156" w:afterLines="50" w:line="400" w:lineRule="exact"/>
              <w:rPr>
                <w:rFonts w:ascii="仿宋_GB2312" w:hAnsi="仿宋_GB2312" w:eastAsia="仿宋_GB2312" w:cs="仿宋_GB2312"/>
                <w:sz w:val="24"/>
                <w:szCs w:val="24"/>
              </w:rPr>
            </w:pPr>
            <w:r>
              <w:rPr>
                <w:rFonts w:hint="eastAsia" w:ascii="仿宋_GB2312" w:hAnsi="仿宋_GB2312" w:eastAsia="仿宋_GB2312" w:cs="仿宋_GB2312"/>
                <w:sz w:val="24"/>
                <w:szCs w:val="24"/>
              </w:rPr>
              <w:t>张龑/8；蔺杰/9；张学斌/6；姜梦圆/7；孙冬冬/1</w:t>
            </w:r>
          </w:p>
        </w:tc>
        <w:tc>
          <w:tcPr>
            <w:tcW w:w="1220" w:type="dxa"/>
            <w:vAlign w:val="center"/>
          </w:tcPr>
          <w:p>
            <w:pPr>
              <w:spacing w:before="156" w:beforeLines="50" w:after="156" w:afterLines="50" w:line="400" w:lineRule="exact"/>
              <w:rPr>
                <w:rFonts w:ascii="仿宋_GB2312" w:hAnsi="仿宋_GB2312" w:eastAsia="仿宋_GB2312" w:cs="仿宋_GB2312"/>
                <w:sz w:val="24"/>
                <w:szCs w:val="24"/>
              </w:rPr>
            </w:pPr>
            <w:r>
              <w:rPr>
                <w:rFonts w:hint="eastAsia" w:ascii="仿宋_GB2312" w:hAnsi="仿宋_GB2312" w:eastAsia="仿宋_GB2312" w:cs="仿宋_GB2312"/>
                <w:sz w:val="24"/>
                <w:szCs w:val="24"/>
              </w:rPr>
              <w:t>2022.10</w:t>
            </w:r>
          </w:p>
        </w:tc>
        <w:tc>
          <w:tcPr>
            <w:tcW w:w="1276" w:type="dxa"/>
            <w:vAlign w:val="center"/>
          </w:tcPr>
          <w:p>
            <w:pPr>
              <w:spacing w:before="156" w:beforeLines="50" w:after="156" w:afterLines="50" w:line="400" w:lineRule="exact"/>
              <w:rPr>
                <w:rFonts w:ascii="仿宋_GB2312" w:hAnsi="仿宋_GB2312" w:eastAsia="仿宋_GB2312" w:cs="仿宋_GB2312"/>
                <w:sz w:val="24"/>
                <w:szCs w:val="24"/>
              </w:rPr>
            </w:pPr>
            <w:r>
              <w:rPr>
                <w:rFonts w:hint="eastAsia" w:ascii="仿宋_GB2312" w:hAnsi="仿宋_GB2312" w:eastAsia="仿宋_GB2312" w:cs="仿宋_GB2312"/>
                <w:sz w:val="24"/>
                <w:szCs w:val="24"/>
              </w:rPr>
              <w:t>2024.05</w:t>
            </w:r>
          </w:p>
        </w:tc>
        <w:tc>
          <w:tcPr>
            <w:tcW w:w="2824" w:type="dxa"/>
            <w:vAlign w:val="center"/>
          </w:tcPr>
          <w:p>
            <w:pPr>
              <w:spacing w:before="156" w:beforeLines="50" w:after="156" w:afterLines="50" w:line="400" w:lineRule="exact"/>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Fibroblast-specific activation of Rnd3 protects against cardiac remodeling in diabetic cardiomyopathy via suppression of Notch and TGF-β signaling</w:t>
            </w:r>
          </w:p>
        </w:tc>
        <w:tc>
          <w:tcPr>
            <w:tcW w:w="1618" w:type="dxa"/>
            <w:vAlign w:val="center"/>
          </w:tcPr>
          <w:p>
            <w:pPr>
              <w:spacing w:before="156" w:beforeLines="50" w:after="156" w:afterLines="50" w:line="400" w:lineRule="exact"/>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其他附件</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jc w:val="center"/>
        </w:trPr>
        <w:tc>
          <w:tcPr>
            <w:tcW w:w="1139" w:type="dxa"/>
            <w:vAlign w:val="center"/>
          </w:tcPr>
          <w:p>
            <w:pPr>
              <w:spacing w:before="156" w:beforeLines="50" w:after="156" w:afterLines="50" w:line="400" w:lineRule="exact"/>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5</w:t>
            </w:r>
          </w:p>
        </w:tc>
        <w:tc>
          <w:tcPr>
            <w:tcW w:w="751" w:type="dxa"/>
            <w:vAlign w:val="center"/>
          </w:tcPr>
          <w:p>
            <w:pPr>
              <w:widowControl/>
              <w:spacing w:line="400" w:lineRule="exact"/>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合著论文</w:t>
            </w:r>
          </w:p>
        </w:tc>
        <w:tc>
          <w:tcPr>
            <w:tcW w:w="1133" w:type="dxa"/>
            <w:vAlign w:val="center"/>
          </w:tcPr>
          <w:p>
            <w:pPr>
              <w:spacing w:before="156" w:beforeLines="50" w:after="156" w:afterLines="50" w:line="400" w:lineRule="exact"/>
              <w:rPr>
                <w:rFonts w:ascii="仿宋_GB2312" w:hAnsi="仿宋_GB2312" w:eastAsia="仿宋_GB2312" w:cs="仿宋_GB2312"/>
                <w:sz w:val="24"/>
                <w:szCs w:val="24"/>
              </w:rPr>
            </w:pPr>
            <w:r>
              <w:rPr>
                <w:rFonts w:hint="eastAsia" w:ascii="仿宋_GB2312" w:hAnsi="仿宋_GB2312" w:eastAsia="仿宋_GB2312" w:cs="仿宋_GB2312"/>
                <w:sz w:val="24"/>
                <w:szCs w:val="24"/>
              </w:rPr>
              <w:t>王海昌/2；赵志敬/5；孙冬冬/1</w:t>
            </w:r>
          </w:p>
        </w:tc>
        <w:tc>
          <w:tcPr>
            <w:tcW w:w="1220" w:type="dxa"/>
            <w:vAlign w:val="center"/>
          </w:tcPr>
          <w:p>
            <w:pPr>
              <w:spacing w:before="156" w:beforeLines="50" w:after="156" w:afterLines="50" w:line="400" w:lineRule="exact"/>
              <w:rPr>
                <w:rFonts w:ascii="仿宋_GB2312" w:hAnsi="仿宋_GB2312" w:eastAsia="仿宋_GB2312" w:cs="仿宋_GB2312"/>
                <w:sz w:val="24"/>
                <w:szCs w:val="24"/>
              </w:rPr>
            </w:pPr>
            <w:r>
              <w:rPr>
                <w:rFonts w:hint="eastAsia" w:ascii="仿宋_GB2312" w:hAnsi="仿宋_GB2312" w:eastAsia="仿宋_GB2312" w:cs="仿宋_GB2312"/>
                <w:sz w:val="24"/>
                <w:szCs w:val="24"/>
              </w:rPr>
              <w:t>2019.01</w:t>
            </w:r>
          </w:p>
        </w:tc>
        <w:tc>
          <w:tcPr>
            <w:tcW w:w="1276" w:type="dxa"/>
            <w:vAlign w:val="center"/>
          </w:tcPr>
          <w:p>
            <w:pPr>
              <w:spacing w:before="156" w:beforeLines="50" w:after="156" w:afterLines="50" w:line="400" w:lineRule="exact"/>
              <w:rPr>
                <w:rFonts w:ascii="仿宋_GB2312" w:hAnsi="仿宋_GB2312" w:eastAsia="仿宋_GB2312" w:cs="仿宋_GB2312"/>
                <w:sz w:val="24"/>
                <w:szCs w:val="24"/>
              </w:rPr>
            </w:pPr>
            <w:r>
              <w:rPr>
                <w:rFonts w:hint="eastAsia" w:ascii="仿宋_GB2312" w:hAnsi="仿宋_GB2312" w:eastAsia="仿宋_GB2312" w:cs="仿宋_GB2312"/>
                <w:sz w:val="24"/>
                <w:szCs w:val="24"/>
              </w:rPr>
              <w:t>2024.05</w:t>
            </w:r>
          </w:p>
        </w:tc>
        <w:tc>
          <w:tcPr>
            <w:tcW w:w="2824" w:type="dxa"/>
          </w:tcPr>
          <w:p>
            <w:pPr>
              <w:pStyle w:val="2"/>
              <w:spacing w:line="400" w:lineRule="exact"/>
              <w:ind w:firstLine="0" w:firstLineChars="0"/>
              <w:jc w:val="center"/>
              <w:rPr>
                <w:rFonts w:hAnsi="仿宋_GB2312" w:eastAsia="仿宋_GB2312" w:cs="仿宋_GB2312"/>
                <w:szCs w:val="24"/>
              </w:rPr>
            </w:pPr>
            <w:r>
              <w:rPr>
                <w:rFonts w:hint="eastAsia" w:hAnsi="仿宋_GB2312" w:eastAsia="仿宋_GB2312" w:cs="仿宋_GB2312"/>
                <w:szCs w:val="24"/>
              </w:rPr>
              <w:t>Sustained nicorandil administration reduces the infarct size in STsegment elevation myocardial infarction patients with primary</w:t>
            </w:r>
          </w:p>
          <w:p>
            <w:pPr>
              <w:pStyle w:val="2"/>
              <w:spacing w:line="400" w:lineRule="exact"/>
              <w:ind w:firstLine="0" w:firstLineChars="0"/>
              <w:jc w:val="center"/>
              <w:rPr>
                <w:rFonts w:hAnsi="仿宋_GB2312" w:eastAsia="仿宋_GB2312" w:cs="仿宋_GB2312"/>
                <w:szCs w:val="24"/>
              </w:rPr>
            </w:pPr>
            <w:r>
              <w:rPr>
                <w:rFonts w:hint="eastAsia" w:hAnsi="仿宋_GB2312" w:eastAsia="仿宋_GB2312" w:cs="仿宋_GB2312"/>
                <w:szCs w:val="24"/>
              </w:rPr>
              <w:t>percutaneous coronary intervention</w:t>
            </w:r>
          </w:p>
        </w:tc>
        <w:tc>
          <w:tcPr>
            <w:tcW w:w="1618" w:type="dxa"/>
            <w:vAlign w:val="center"/>
          </w:tcPr>
          <w:p>
            <w:pPr>
              <w:spacing w:before="156" w:beforeLines="50" w:after="156" w:afterLines="50" w:line="400" w:lineRule="exact"/>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其他附件</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966" w:hRule="atLeast"/>
          <w:jc w:val="center"/>
        </w:trPr>
        <w:tc>
          <w:tcPr>
            <w:tcW w:w="1139" w:type="dxa"/>
            <w:vAlign w:val="center"/>
          </w:tcPr>
          <w:p>
            <w:pPr>
              <w:spacing w:before="156" w:beforeLines="50" w:after="156" w:afterLines="50" w:line="400" w:lineRule="exact"/>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6</w:t>
            </w:r>
          </w:p>
        </w:tc>
        <w:tc>
          <w:tcPr>
            <w:tcW w:w="751" w:type="dxa"/>
            <w:vAlign w:val="center"/>
          </w:tcPr>
          <w:p>
            <w:pPr>
              <w:spacing w:before="156" w:beforeLines="50" w:after="156" w:afterLines="50" w:line="400" w:lineRule="exact"/>
              <w:rPr>
                <w:rFonts w:ascii="仿宋_GB2312" w:hAnsi="仿宋_GB2312" w:eastAsia="仿宋_GB2312" w:cs="仿宋_GB2312"/>
                <w:sz w:val="24"/>
                <w:szCs w:val="24"/>
              </w:rPr>
            </w:pPr>
            <w:r>
              <w:rPr>
                <w:rFonts w:hint="eastAsia" w:ascii="仿宋_GB2312" w:hAnsi="仿宋_GB2312" w:eastAsia="仿宋_GB2312" w:cs="仿宋_GB2312"/>
                <w:sz w:val="24"/>
                <w:szCs w:val="24"/>
              </w:rPr>
              <w:t>合著论文</w:t>
            </w:r>
          </w:p>
        </w:tc>
        <w:tc>
          <w:tcPr>
            <w:tcW w:w="1133" w:type="dxa"/>
            <w:vAlign w:val="center"/>
          </w:tcPr>
          <w:p>
            <w:pPr>
              <w:spacing w:before="156" w:beforeLines="50" w:after="156" w:afterLines="50" w:line="400" w:lineRule="exact"/>
              <w:rPr>
                <w:rFonts w:ascii="仿宋_GB2312" w:hAnsi="仿宋_GB2312" w:eastAsia="仿宋_GB2312" w:cs="仿宋_GB2312"/>
                <w:sz w:val="24"/>
                <w:szCs w:val="24"/>
              </w:rPr>
            </w:pPr>
            <w:r>
              <w:rPr>
                <w:rFonts w:hint="eastAsia" w:ascii="仿宋_GB2312" w:hAnsi="仿宋_GB2312" w:eastAsia="仿宋_GB2312" w:cs="仿宋_GB2312"/>
                <w:sz w:val="24"/>
                <w:szCs w:val="24"/>
              </w:rPr>
              <w:t>姜梦圆；/7；张学斌/6；蔺杰/9；张龑/8;张璇/3；孙冬冬/1</w:t>
            </w:r>
          </w:p>
        </w:tc>
        <w:tc>
          <w:tcPr>
            <w:tcW w:w="1220" w:type="dxa"/>
            <w:vAlign w:val="center"/>
          </w:tcPr>
          <w:p>
            <w:pPr>
              <w:spacing w:before="156" w:beforeLines="50" w:after="156" w:afterLines="50" w:line="400" w:lineRule="exact"/>
              <w:rPr>
                <w:rFonts w:ascii="仿宋_GB2312" w:hAnsi="仿宋_GB2312" w:eastAsia="仿宋_GB2312" w:cs="仿宋_GB2312"/>
                <w:sz w:val="24"/>
                <w:szCs w:val="24"/>
              </w:rPr>
            </w:pPr>
            <w:r>
              <w:rPr>
                <w:rFonts w:hint="eastAsia" w:ascii="仿宋_GB2312" w:hAnsi="仿宋_GB2312" w:eastAsia="仿宋_GB2312" w:cs="仿宋_GB2312"/>
                <w:sz w:val="24"/>
                <w:szCs w:val="24"/>
              </w:rPr>
              <w:t>2023.12</w:t>
            </w:r>
          </w:p>
        </w:tc>
        <w:tc>
          <w:tcPr>
            <w:tcW w:w="1276" w:type="dxa"/>
            <w:vAlign w:val="center"/>
          </w:tcPr>
          <w:p>
            <w:pPr>
              <w:spacing w:before="156" w:beforeLines="50" w:after="156" w:afterLines="50" w:line="400" w:lineRule="exact"/>
              <w:rPr>
                <w:rFonts w:ascii="仿宋_GB2312" w:hAnsi="仿宋_GB2312" w:eastAsia="仿宋_GB2312" w:cs="仿宋_GB2312"/>
                <w:sz w:val="24"/>
                <w:szCs w:val="24"/>
              </w:rPr>
            </w:pPr>
            <w:r>
              <w:rPr>
                <w:rFonts w:hint="eastAsia" w:ascii="仿宋_GB2312" w:hAnsi="仿宋_GB2312" w:eastAsia="仿宋_GB2312" w:cs="仿宋_GB2312"/>
                <w:sz w:val="24"/>
                <w:szCs w:val="24"/>
              </w:rPr>
              <w:t>2024.05</w:t>
            </w:r>
          </w:p>
        </w:tc>
        <w:tc>
          <w:tcPr>
            <w:tcW w:w="2824" w:type="dxa"/>
          </w:tcPr>
          <w:p>
            <w:pPr>
              <w:pStyle w:val="2"/>
              <w:spacing w:line="400" w:lineRule="exact"/>
              <w:ind w:firstLine="0" w:firstLineChars="0"/>
              <w:jc w:val="center"/>
              <w:rPr>
                <w:rFonts w:hAnsi="仿宋_GB2312" w:eastAsia="仿宋_GB2312" w:cs="仿宋_GB2312"/>
                <w:szCs w:val="24"/>
              </w:rPr>
            </w:pPr>
            <w:r>
              <w:rPr>
                <w:rFonts w:hint="eastAsia" w:hAnsi="仿宋_GB2312" w:eastAsia="仿宋_GB2312" w:cs="仿宋_GB2312"/>
                <w:szCs w:val="24"/>
              </w:rPr>
              <w:t>Adipsin inhibits Irak2 mitochondrial translocation and improves fatty acid β-oxidation to alleviate diabetic cardiomyopathy</w:t>
            </w:r>
          </w:p>
        </w:tc>
        <w:tc>
          <w:tcPr>
            <w:tcW w:w="1618" w:type="dxa"/>
            <w:vAlign w:val="center"/>
          </w:tcPr>
          <w:p>
            <w:pPr>
              <w:spacing w:before="156" w:beforeLines="50" w:after="156" w:afterLines="50" w:line="400" w:lineRule="exact"/>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其他附件</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087" w:hRule="atLeast"/>
          <w:jc w:val="center"/>
        </w:trPr>
        <w:tc>
          <w:tcPr>
            <w:tcW w:w="1139" w:type="dxa"/>
            <w:vAlign w:val="center"/>
          </w:tcPr>
          <w:p>
            <w:pPr>
              <w:spacing w:before="156" w:beforeLines="50" w:after="156" w:afterLines="50" w:line="40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7</w:t>
            </w:r>
          </w:p>
        </w:tc>
        <w:tc>
          <w:tcPr>
            <w:tcW w:w="751" w:type="dxa"/>
            <w:vAlign w:val="center"/>
          </w:tcPr>
          <w:p>
            <w:pPr>
              <w:widowControl/>
              <w:spacing w:line="400" w:lineRule="exact"/>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合著论文</w:t>
            </w:r>
          </w:p>
        </w:tc>
        <w:tc>
          <w:tcPr>
            <w:tcW w:w="1133" w:type="dxa"/>
            <w:vAlign w:val="center"/>
          </w:tcPr>
          <w:p>
            <w:pPr>
              <w:spacing w:before="156" w:beforeLines="50" w:after="156" w:afterLines="50" w:line="400" w:lineRule="exact"/>
              <w:rPr>
                <w:rFonts w:ascii="仿宋_GB2312" w:hAnsi="仿宋_GB2312" w:eastAsia="仿宋_GB2312" w:cs="仿宋_GB2312"/>
                <w:sz w:val="24"/>
                <w:szCs w:val="24"/>
              </w:rPr>
            </w:pPr>
            <w:r>
              <w:rPr>
                <w:rFonts w:hint="eastAsia" w:ascii="仿宋_GB2312" w:hAnsi="仿宋_GB2312" w:eastAsia="仿宋_GB2312" w:cs="仿宋_GB2312"/>
                <w:sz w:val="24"/>
                <w:szCs w:val="24"/>
              </w:rPr>
              <w:t>赵志敬/5, 蔺杰/9, 王海昌/2， 孙冬冬/1</w:t>
            </w:r>
          </w:p>
        </w:tc>
        <w:tc>
          <w:tcPr>
            <w:tcW w:w="1220" w:type="dxa"/>
            <w:vAlign w:val="center"/>
          </w:tcPr>
          <w:p>
            <w:pPr>
              <w:spacing w:before="156" w:beforeLines="50" w:after="156" w:afterLines="50" w:line="400" w:lineRule="exact"/>
              <w:rPr>
                <w:rFonts w:ascii="仿宋_GB2312" w:hAnsi="仿宋_GB2312" w:eastAsia="仿宋_GB2312" w:cs="仿宋_GB2312"/>
                <w:sz w:val="24"/>
                <w:szCs w:val="24"/>
              </w:rPr>
            </w:pPr>
            <w:r>
              <w:rPr>
                <w:rFonts w:hint="eastAsia" w:ascii="仿宋_GB2312" w:hAnsi="仿宋_GB2312" w:eastAsia="仿宋_GB2312" w:cs="仿宋_GB2312"/>
                <w:sz w:val="24"/>
                <w:szCs w:val="24"/>
              </w:rPr>
              <w:t>2018.07</w:t>
            </w:r>
          </w:p>
        </w:tc>
        <w:tc>
          <w:tcPr>
            <w:tcW w:w="1276" w:type="dxa"/>
            <w:vAlign w:val="center"/>
          </w:tcPr>
          <w:p>
            <w:pPr>
              <w:spacing w:before="156" w:beforeLines="50" w:after="156" w:afterLines="50" w:line="400" w:lineRule="exact"/>
              <w:rPr>
                <w:rFonts w:ascii="仿宋_GB2312" w:hAnsi="仿宋_GB2312" w:eastAsia="仿宋_GB2312" w:cs="仿宋_GB2312"/>
                <w:sz w:val="24"/>
                <w:szCs w:val="24"/>
              </w:rPr>
            </w:pPr>
            <w:r>
              <w:rPr>
                <w:rFonts w:hint="eastAsia" w:ascii="仿宋_GB2312" w:hAnsi="仿宋_GB2312" w:eastAsia="仿宋_GB2312" w:cs="仿宋_GB2312"/>
                <w:sz w:val="24"/>
                <w:szCs w:val="24"/>
              </w:rPr>
              <w:t>2024.05</w:t>
            </w:r>
          </w:p>
        </w:tc>
        <w:tc>
          <w:tcPr>
            <w:tcW w:w="2824" w:type="dxa"/>
            <w:vAlign w:val="center"/>
          </w:tcPr>
          <w:p>
            <w:pPr>
              <w:spacing w:before="156" w:beforeLines="50" w:after="156" w:afterLines="50" w:line="400" w:lineRule="exact"/>
              <w:jc w:val="center"/>
              <w:rPr>
                <w:rFonts w:hAnsi="仿宋_GB2312" w:eastAsia="仿宋_GB2312" w:cs="仿宋_GB2312"/>
                <w:szCs w:val="24"/>
              </w:rPr>
            </w:pPr>
            <w:r>
              <w:rPr>
                <w:rFonts w:hint="eastAsia" w:ascii="仿宋_GB2312" w:hAnsi="仿宋_GB2312" w:eastAsia="仿宋_GB2312" w:cs="仿宋_GB2312"/>
                <w:sz w:val="24"/>
                <w:szCs w:val="24"/>
              </w:rPr>
              <w:t>Melatonin activates Parkin translocation and rescues the impaired mitophagy activity of diabetic cardiomyopathy through Mst1 inhibition</w:t>
            </w:r>
          </w:p>
        </w:tc>
        <w:tc>
          <w:tcPr>
            <w:tcW w:w="1618" w:type="dxa"/>
            <w:vAlign w:val="center"/>
          </w:tcPr>
          <w:p>
            <w:pPr>
              <w:spacing w:before="156" w:beforeLines="50" w:after="156" w:afterLines="50" w:line="400" w:lineRule="exact"/>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其他材料</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jc w:val="center"/>
        </w:trPr>
        <w:tc>
          <w:tcPr>
            <w:tcW w:w="1139" w:type="dxa"/>
            <w:vAlign w:val="center"/>
          </w:tcPr>
          <w:p>
            <w:pPr>
              <w:spacing w:before="156" w:beforeLines="50" w:after="156" w:afterLines="50" w:line="40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8</w:t>
            </w:r>
          </w:p>
        </w:tc>
        <w:tc>
          <w:tcPr>
            <w:tcW w:w="751" w:type="dxa"/>
            <w:vAlign w:val="center"/>
          </w:tcPr>
          <w:p>
            <w:pPr>
              <w:widowControl/>
              <w:spacing w:line="400" w:lineRule="exact"/>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专著</w:t>
            </w:r>
          </w:p>
        </w:tc>
        <w:tc>
          <w:tcPr>
            <w:tcW w:w="1133" w:type="dxa"/>
            <w:vAlign w:val="center"/>
          </w:tcPr>
          <w:p>
            <w:pPr>
              <w:spacing w:before="156" w:beforeLines="50" w:after="156" w:afterLines="50" w:line="400" w:lineRule="exact"/>
              <w:rPr>
                <w:rFonts w:ascii="仿宋_GB2312" w:hAnsi="仿宋_GB2312" w:eastAsia="仿宋_GB2312" w:cs="仿宋_GB2312"/>
                <w:sz w:val="24"/>
                <w:szCs w:val="24"/>
              </w:rPr>
            </w:pPr>
            <w:r>
              <w:rPr>
                <w:rFonts w:hint="eastAsia" w:ascii="仿宋_GB2312" w:hAnsi="仿宋_GB2312" w:eastAsia="仿宋_GB2312" w:cs="仿宋_GB2312"/>
                <w:sz w:val="24"/>
                <w:szCs w:val="24"/>
              </w:rPr>
              <w:t>王海昌/2，赵志敬/5，孙冬冬/1，</w:t>
            </w:r>
            <w:bookmarkStart w:id="0" w:name="OLE_LINK1"/>
            <w:r>
              <w:rPr>
                <w:rFonts w:hint="eastAsia" w:ascii="仿宋_GB2312" w:hAnsi="仿宋_GB2312" w:eastAsia="仿宋_GB2312" w:cs="仿宋_GB2312"/>
                <w:sz w:val="24"/>
                <w:szCs w:val="24"/>
              </w:rPr>
              <w:t>沈敏/4</w:t>
            </w:r>
            <w:bookmarkEnd w:id="0"/>
          </w:p>
        </w:tc>
        <w:tc>
          <w:tcPr>
            <w:tcW w:w="1220" w:type="dxa"/>
            <w:vAlign w:val="center"/>
          </w:tcPr>
          <w:p>
            <w:pPr>
              <w:spacing w:before="156" w:beforeLines="50" w:after="156" w:afterLines="50" w:line="400" w:lineRule="exact"/>
              <w:rPr>
                <w:rFonts w:ascii="仿宋_GB2312" w:hAnsi="仿宋_GB2312" w:eastAsia="仿宋_GB2312" w:cs="仿宋_GB2312"/>
                <w:sz w:val="24"/>
                <w:szCs w:val="24"/>
              </w:rPr>
            </w:pPr>
            <w:r>
              <w:rPr>
                <w:rFonts w:hint="eastAsia" w:ascii="仿宋_GB2312" w:hAnsi="仿宋_GB2312" w:eastAsia="仿宋_GB2312" w:cs="仿宋_GB2312"/>
                <w:sz w:val="24"/>
                <w:szCs w:val="24"/>
              </w:rPr>
              <w:t>2008.01</w:t>
            </w:r>
          </w:p>
        </w:tc>
        <w:tc>
          <w:tcPr>
            <w:tcW w:w="1276" w:type="dxa"/>
            <w:vAlign w:val="center"/>
          </w:tcPr>
          <w:p>
            <w:pPr>
              <w:spacing w:before="156" w:beforeLines="50" w:after="156" w:afterLines="50" w:line="400" w:lineRule="exact"/>
              <w:rPr>
                <w:rFonts w:ascii="仿宋_GB2312" w:hAnsi="仿宋_GB2312" w:eastAsia="仿宋_GB2312" w:cs="仿宋_GB2312"/>
                <w:sz w:val="24"/>
                <w:szCs w:val="24"/>
              </w:rPr>
            </w:pPr>
            <w:r>
              <w:rPr>
                <w:rFonts w:hint="eastAsia" w:ascii="仿宋_GB2312" w:hAnsi="仿宋_GB2312" w:eastAsia="仿宋_GB2312" w:cs="仿宋_GB2312"/>
                <w:sz w:val="24"/>
                <w:szCs w:val="24"/>
              </w:rPr>
              <w:t>2024.05</w:t>
            </w:r>
          </w:p>
        </w:tc>
        <w:tc>
          <w:tcPr>
            <w:tcW w:w="2824" w:type="dxa"/>
            <w:vAlign w:val="center"/>
          </w:tcPr>
          <w:p>
            <w:pPr>
              <w:spacing w:before="156" w:beforeLines="50" w:after="156" w:afterLines="50" w:line="400" w:lineRule="exact"/>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Mayo心脏病学</w:t>
            </w:r>
          </w:p>
        </w:tc>
        <w:tc>
          <w:tcPr>
            <w:tcW w:w="1618" w:type="dxa"/>
            <w:vAlign w:val="center"/>
          </w:tcPr>
          <w:p>
            <w:pPr>
              <w:spacing w:before="156" w:beforeLines="50" w:after="156" w:afterLines="50" w:line="400" w:lineRule="exact"/>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其他材料</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jc w:val="center"/>
        </w:trPr>
        <w:tc>
          <w:tcPr>
            <w:tcW w:w="1139" w:type="dxa"/>
            <w:vAlign w:val="center"/>
          </w:tcPr>
          <w:p>
            <w:pPr>
              <w:spacing w:before="156" w:beforeLines="50" w:after="156" w:afterLines="50" w:line="40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9</w:t>
            </w:r>
          </w:p>
        </w:tc>
        <w:tc>
          <w:tcPr>
            <w:tcW w:w="751" w:type="dxa"/>
            <w:vAlign w:val="center"/>
          </w:tcPr>
          <w:p>
            <w:pPr>
              <w:widowControl/>
              <w:spacing w:line="400" w:lineRule="exact"/>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专著</w:t>
            </w:r>
          </w:p>
        </w:tc>
        <w:tc>
          <w:tcPr>
            <w:tcW w:w="1133" w:type="dxa"/>
            <w:vAlign w:val="center"/>
          </w:tcPr>
          <w:p>
            <w:pPr>
              <w:spacing w:before="156" w:beforeLines="50" w:after="156" w:afterLines="50" w:line="400" w:lineRule="exact"/>
              <w:rPr>
                <w:rFonts w:ascii="仿宋_GB2312" w:hAnsi="仿宋_GB2312" w:eastAsia="仿宋_GB2312" w:cs="仿宋_GB2312"/>
                <w:sz w:val="24"/>
                <w:szCs w:val="24"/>
                <w:highlight w:val="yellow"/>
              </w:rPr>
            </w:pPr>
            <w:r>
              <w:rPr>
                <w:rFonts w:hint="eastAsia" w:ascii="仿宋_GB2312" w:hAnsi="仿宋_GB2312" w:eastAsia="仿宋_GB2312" w:cs="仿宋_GB2312"/>
                <w:sz w:val="24"/>
                <w:szCs w:val="24"/>
              </w:rPr>
              <w:t>王海昌/2，赵志敬/5</w:t>
            </w:r>
          </w:p>
        </w:tc>
        <w:tc>
          <w:tcPr>
            <w:tcW w:w="1220" w:type="dxa"/>
            <w:vAlign w:val="center"/>
          </w:tcPr>
          <w:p>
            <w:pPr>
              <w:spacing w:before="156" w:beforeLines="50" w:after="156" w:afterLines="50" w:line="400" w:lineRule="exact"/>
              <w:rPr>
                <w:rFonts w:ascii="仿宋_GB2312" w:hAnsi="仿宋_GB2312" w:eastAsia="仿宋_GB2312" w:cs="仿宋_GB2312"/>
                <w:sz w:val="24"/>
                <w:szCs w:val="24"/>
                <w:highlight w:val="yellow"/>
              </w:rPr>
            </w:pPr>
            <w:r>
              <w:rPr>
                <w:rFonts w:hint="eastAsia" w:ascii="仿宋_GB2312" w:hAnsi="仿宋_GB2312" w:eastAsia="仿宋_GB2312" w:cs="仿宋_GB2312"/>
                <w:sz w:val="24"/>
                <w:szCs w:val="24"/>
              </w:rPr>
              <w:t>2015.06</w:t>
            </w:r>
          </w:p>
        </w:tc>
        <w:tc>
          <w:tcPr>
            <w:tcW w:w="1276" w:type="dxa"/>
            <w:vAlign w:val="center"/>
          </w:tcPr>
          <w:p>
            <w:pPr>
              <w:spacing w:before="156" w:beforeLines="50" w:after="156" w:afterLines="50" w:line="400" w:lineRule="exact"/>
              <w:rPr>
                <w:rFonts w:ascii="仿宋_GB2312" w:hAnsi="仿宋_GB2312" w:eastAsia="仿宋_GB2312" w:cs="仿宋_GB2312"/>
                <w:sz w:val="24"/>
                <w:szCs w:val="24"/>
              </w:rPr>
            </w:pPr>
            <w:r>
              <w:rPr>
                <w:rFonts w:hint="eastAsia" w:ascii="仿宋_GB2312" w:hAnsi="仿宋_GB2312" w:eastAsia="仿宋_GB2312" w:cs="仿宋_GB2312"/>
                <w:sz w:val="24"/>
                <w:szCs w:val="24"/>
              </w:rPr>
              <w:t>2024.05</w:t>
            </w:r>
          </w:p>
        </w:tc>
        <w:tc>
          <w:tcPr>
            <w:tcW w:w="2824" w:type="dxa"/>
            <w:vAlign w:val="center"/>
          </w:tcPr>
          <w:p>
            <w:pPr>
              <w:spacing w:before="156" w:beforeLines="50" w:after="156" w:afterLines="50" w:line="400" w:lineRule="exact"/>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奈特心脏病学</w:t>
            </w:r>
          </w:p>
        </w:tc>
        <w:tc>
          <w:tcPr>
            <w:tcW w:w="1618" w:type="dxa"/>
            <w:vAlign w:val="center"/>
          </w:tcPr>
          <w:p>
            <w:pPr>
              <w:spacing w:before="156" w:beforeLines="50" w:after="156" w:afterLines="50" w:line="400" w:lineRule="exact"/>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其他材料</w:t>
            </w:r>
          </w:p>
        </w:tc>
      </w:tr>
    </w:tbl>
    <w:p>
      <w:pPr>
        <w:pStyle w:val="8"/>
        <w:spacing w:line="400" w:lineRule="exact"/>
        <w:ind w:left="420" w:firstLine="0" w:firstLineChars="0"/>
        <w:rPr>
          <w:rFonts w:ascii="仿宋_GB2312" w:eastAsia="仿宋_GB2312"/>
          <w:bCs/>
          <w:spacing w:val="2"/>
          <w:sz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mE1YTkxYzVmM2VjNmQwY2RlYTA0ODIyN2JmZjNhZTQifQ=="/>
  </w:docVars>
  <w:rsids>
    <w:rsidRoot w:val="0063432F"/>
    <w:rsid w:val="00045436"/>
    <w:rsid w:val="000F1138"/>
    <w:rsid w:val="00111744"/>
    <w:rsid w:val="00111D57"/>
    <w:rsid w:val="00130A2A"/>
    <w:rsid w:val="0014707E"/>
    <w:rsid w:val="00174284"/>
    <w:rsid w:val="00202721"/>
    <w:rsid w:val="00242FB0"/>
    <w:rsid w:val="002471D3"/>
    <w:rsid w:val="002757D1"/>
    <w:rsid w:val="00280430"/>
    <w:rsid w:val="0034466F"/>
    <w:rsid w:val="00371404"/>
    <w:rsid w:val="003E5DC8"/>
    <w:rsid w:val="00426405"/>
    <w:rsid w:val="00440A5A"/>
    <w:rsid w:val="00446985"/>
    <w:rsid w:val="0049694C"/>
    <w:rsid w:val="004B2289"/>
    <w:rsid w:val="0056606A"/>
    <w:rsid w:val="005C5769"/>
    <w:rsid w:val="00612C67"/>
    <w:rsid w:val="0063432F"/>
    <w:rsid w:val="006B34A4"/>
    <w:rsid w:val="007005C9"/>
    <w:rsid w:val="007A341F"/>
    <w:rsid w:val="007C5066"/>
    <w:rsid w:val="008025DA"/>
    <w:rsid w:val="00805C54"/>
    <w:rsid w:val="00871D08"/>
    <w:rsid w:val="008E50A6"/>
    <w:rsid w:val="00964EB5"/>
    <w:rsid w:val="00991600"/>
    <w:rsid w:val="009A7816"/>
    <w:rsid w:val="009F006E"/>
    <w:rsid w:val="00A30171"/>
    <w:rsid w:val="00A41E3A"/>
    <w:rsid w:val="00A52426"/>
    <w:rsid w:val="00A90D40"/>
    <w:rsid w:val="00AD4E75"/>
    <w:rsid w:val="00AF0CE5"/>
    <w:rsid w:val="00B265E3"/>
    <w:rsid w:val="00B35181"/>
    <w:rsid w:val="00B526B9"/>
    <w:rsid w:val="00BA01D4"/>
    <w:rsid w:val="00BB18F2"/>
    <w:rsid w:val="00BE4EF3"/>
    <w:rsid w:val="00C14DD3"/>
    <w:rsid w:val="00C21865"/>
    <w:rsid w:val="00C40F9A"/>
    <w:rsid w:val="00CF7661"/>
    <w:rsid w:val="00D55EA1"/>
    <w:rsid w:val="00D56CC6"/>
    <w:rsid w:val="00DB7B74"/>
    <w:rsid w:val="00DE7DBF"/>
    <w:rsid w:val="00E233EC"/>
    <w:rsid w:val="00E5330A"/>
    <w:rsid w:val="00E611DA"/>
    <w:rsid w:val="00E8041E"/>
    <w:rsid w:val="00E8564E"/>
    <w:rsid w:val="00F11B31"/>
    <w:rsid w:val="00F4727F"/>
    <w:rsid w:val="00F7008E"/>
    <w:rsid w:val="00F756D8"/>
    <w:rsid w:val="00F901C4"/>
    <w:rsid w:val="00FC77E2"/>
    <w:rsid w:val="02EB1716"/>
    <w:rsid w:val="08C13653"/>
    <w:rsid w:val="0F2131EB"/>
    <w:rsid w:val="11C1649C"/>
    <w:rsid w:val="14006DB8"/>
    <w:rsid w:val="1487128B"/>
    <w:rsid w:val="14AF76CB"/>
    <w:rsid w:val="1565422D"/>
    <w:rsid w:val="1CE41EDC"/>
    <w:rsid w:val="256D5702"/>
    <w:rsid w:val="277A5710"/>
    <w:rsid w:val="27C2106B"/>
    <w:rsid w:val="27E623FF"/>
    <w:rsid w:val="27EA5CB9"/>
    <w:rsid w:val="28C746F9"/>
    <w:rsid w:val="327637D6"/>
    <w:rsid w:val="349D3A6B"/>
    <w:rsid w:val="38295462"/>
    <w:rsid w:val="3C8F3D29"/>
    <w:rsid w:val="3EF338BC"/>
    <w:rsid w:val="40B0148A"/>
    <w:rsid w:val="448838A1"/>
    <w:rsid w:val="449F1FC4"/>
    <w:rsid w:val="463D64C8"/>
    <w:rsid w:val="4CB84D89"/>
    <w:rsid w:val="4CF82CB6"/>
    <w:rsid w:val="58551C26"/>
    <w:rsid w:val="5FCD7FD2"/>
    <w:rsid w:val="62E418BB"/>
    <w:rsid w:val="630E2ECB"/>
    <w:rsid w:val="65B732B6"/>
    <w:rsid w:val="682B6408"/>
    <w:rsid w:val="72DF6DEC"/>
    <w:rsid w:val="7368423D"/>
    <w:rsid w:val="78B51A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Plain Text"/>
    <w:basedOn w:val="1"/>
    <w:link w:val="10"/>
    <w:qFormat/>
    <w:uiPriority w:val="0"/>
    <w:pPr>
      <w:spacing w:line="360" w:lineRule="auto"/>
      <w:ind w:firstLine="480" w:firstLineChars="200"/>
    </w:pPr>
    <w:rPr>
      <w:rFonts w:ascii="仿宋_GB2312" w:hAnsi="Times New Roman"/>
      <w:sz w:val="24"/>
    </w:rPr>
  </w:style>
  <w:style w:type="paragraph" w:styleId="3">
    <w:name w:val="footer"/>
    <w:basedOn w:val="1"/>
    <w:link w:val="12"/>
    <w:unhideWhenUsed/>
    <w:qFormat/>
    <w:uiPriority w:val="99"/>
    <w:pPr>
      <w:tabs>
        <w:tab w:val="center" w:pos="4153"/>
        <w:tab w:val="right" w:pos="8306"/>
      </w:tabs>
      <w:snapToGrid w:val="0"/>
      <w:jc w:val="left"/>
    </w:pPr>
    <w:rPr>
      <w:sz w:val="18"/>
      <w:szCs w:val="18"/>
    </w:rPr>
  </w:style>
  <w:style w:type="paragraph" w:styleId="4">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paragraph" w:styleId="8">
    <w:name w:val="List Paragraph"/>
    <w:basedOn w:val="1"/>
    <w:qFormat/>
    <w:uiPriority w:val="34"/>
    <w:pPr>
      <w:ind w:firstLine="420" w:firstLineChars="200"/>
    </w:pPr>
  </w:style>
  <w:style w:type="character" w:customStyle="1" w:styleId="9">
    <w:name w:val="纯文本 Char1"/>
    <w:qFormat/>
    <w:uiPriority w:val="0"/>
    <w:rPr>
      <w:rFonts w:ascii="仿宋_GB2312" w:hAnsi="Times New Roman"/>
      <w:sz w:val="24"/>
    </w:rPr>
  </w:style>
  <w:style w:type="character" w:customStyle="1" w:styleId="10">
    <w:name w:val="纯文本 字符"/>
    <w:basedOn w:val="7"/>
    <w:link w:val="2"/>
    <w:qFormat/>
    <w:uiPriority w:val="0"/>
    <w:rPr>
      <w:rFonts w:ascii="宋体" w:hAnsi="Courier New" w:eastAsia="宋体" w:cs="Courier New"/>
      <w:szCs w:val="21"/>
    </w:rPr>
  </w:style>
  <w:style w:type="character" w:customStyle="1" w:styleId="11">
    <w:name w:val="页眉 字符"/>
    <w:basedOn w:val="7"/>
    <w:link w:val="4"/>
    <w:qFormat/>
    <w:uiPriority w:val="99"/>
    <w:rPr>
      <w:sz w:val="18"/>
      <w:szCs w:val="18"/>
    </w:rPr>
  </w:style>
  <w:style w:type="character" w:customStyle="1" w:styleId="12">
    <w:name w:val="页脚 字符"/>
    <w:basedOn w:val="7"/>
    <w:link w:val="3"/>
    <w:qFormat/>
    <w:uiPriority w:val="99"/>
    <w:rPr>
      <w:sz w:val="18"/>
      <w:szCs w:val="18"/>
    </w:rPr>
  </w:style>
  <w:style w:type="paragraph" w:customStyle="1" w:styleId="13">
    <w:name w:val="修订1"/>
    <w:hidden/>
    <w:unhideWhenUsed/>
    <w:qFormat/>
    <w:uiPriority w:val="99"/>
    <w:rPr>
      <w:rFonts w:asciiTheme="minorHAnsi" w:hAnsiTheme="minorHAnsi" w:eastAsiaTheme="minorEastAsia" w:cstheme="minorBidi"/>
      <w:kern w:val="2"/>
      <w:sz w:val="21"/>
      <w:szCs w:val="22"/>
      <w:lang w:val="en-US" w:eastAsia="zh-CN" w:bidi="ar-SA"/>
    </w:rPr>
  </w:style>
  <w:style w:type="paragraph" w:customStyle="1" w:styleId="14">
    <w:name w:val="Revision"/>
    <w:hidden/>
    <w:unhideWhenUsed/>
    <w:qFormat/>
    <w:uiPriority w:val="99"/>
    <w:rPr>
      <w:rFonts w:asciiTheme="minorHAnsi" w:hAnsiTheme="minorHAnsi" w:eastAsiaTheme="minorEastAsia" w:cstheme="minorBidi"/>
      <w:kern w:val="2"/>
      <w:sz w:val="21"/>
      <w:szCs w:val="22"/>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Company</Company>
  <Pages>15</Pages>
  <Words>6611</Words>
  <Characters>9014</Characters>
  <Lines>1039</Lines>
  <Paragraphs>312</Paragraphs>
  <TotalTime>9</TotalTime>
  <ScaleCrop>false</ScaleCrop>
  <LinksUpToDate>false</LinksUpToDate>
  <CharactersWithSpaces>9353</CharactersWithSpaces>
  <Application>WPS Office_11.8.2.10229_F1E327BC-269C-435d-A152-05C5408002CA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2024-07-12T06:36:00Z</dcterms:created>
  <dc:creator>NTKO</dc:creator>
  <cp:lastModifiedBy>陕西省卫生健康委员会</cp:lastModifiedBy>
  <dcterms:modified xsi:type="dcterms:W3CDTF">2024-07-15T09:57:32Z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2052-11.8.2.10229</vt:lpwstr>
  </property>
  <property fmtid="{D5CDD505-2E9C-101B-9397-08002B2CF9AE}" pid="3" name="ICV">
    <vt:lpwstr>78CCA3A2A25C4A2D91AFCE6A37D456B7_13</vt:lpwstr>
  </property>
  <property fmtid="{D5CDD505-2E9C-101B-9397-08002B2CF9AE}" pid="4" name="GrammarlyDocumentId">
    <vt:lpwstr>5e9d09e704304aac0c8d110de5cf025de6aeba45dd3cddb5dcca6d0c1c8f68da</vt:lpwstr>
  </property>
</Properties>
</file>