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283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黑体" w:hAnsi="黑体" w:eastAsia="黑体"/>
          <w:b w:val="0"/>
          <w:bCs w:val="0"/>
          <w:color w:val="auto"/>
          <w:spacing w:val="0"/>
          <w:kern w:val="2"/>
          <w:sz w:val="32"/>
          <w:szCs w:val="32"/>
          <w:lang w:val="en-US" w:eastAsia="zh-CN"/>
        </w:rPr>
      </w:pPr>
      <w:r>
        <w:rPr>
          <w:rFonts w:hint="eastAsia" w:ascii="黑体" w:hAnsi="黑体" w:eastAsia="黑体"/>
          <w:b w:val="0"/>
          <w:bCs w:val="0"/>
          <w:color w:val="auto"/>
          <w:spacing w:val="0"/>
          <w:kern w:val="2"/>
          <w:sz w:val="32"/>
          <w:szCs w:val="32"/>
          <w:lang w:val="en-US" w:eastAsia="zh-CN"/>
        </w:rPr>
        <w:t>附件4</w:t>
      </w:r>
    </w:p>
    <w:p w14:paraId="57F264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简体" w:hAnsi="方正小标宋简体" w:eastAsia="方正小标宋简体"/>
          <w:b w:val="0"/>
          <w:bCs w:val="0"/>
          <w:color w:val="auto"/>
          <w:spacing w:val="0"/>
          <w:kern w:val="2"/>
          <w:sz w:val="44"/>
          <w:szCs w:val="44"/>
          <w:lang w:val="en-US" w:eastAsia="zh-CN"/>
        </w:rPr>
      </w:pPr>
      <w:r>
        <w:rPr>
          <w:rFonts w:hint="eastAsia" w:ascii="方正小标宋简体" w:hAnsi="方正小标宋简体" w:eastAsia="方正小标宋简体"/>
          <w:b w:val="0"/>
          <w:bCs w:val="0"/>
          <w:color w:val="auto"/>
          <w:spacing w:val="0"/>
          <w:kern w:val="2"/>
          <w:sz w:val="44"/>
          <w:szCs w:val="44"/>
          <w:lang w:val="en-US" w:eastAsia="zh-CN"/>
        </w:rPr>
        <w:t>专业能力答辩要求</w:t>
      </w:r>
    </w:p>
    <w:p w14:paraId="5F5D9B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黑体" w:hAnsi="黑体" w:eastAsia="黑体"/>
          <w:b w:val="0"/>
          <w:bCs w:val="0"/>
          <w:color w:val="auto"/>
          <w:spacing w:val="0"/>
          <w:kern w:val="2"/>
          <w:sz w:val="32"/>
          <w:szCs w:val="32"/>
          <w:lang w:val="en-US" w:eastAsia="zh-CN"/>
        </w:rPr>
      </w:pPr>
    </w:p>
    <w:p w14:paraId="407918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黑体" w:hAnsi="黑体" w:eastAsia="黑体" w:cs="黑体"/>
          <w:b w:val="0"/>
          <w:bCs w:val="0"/>
          <w:color w:val="auto"/>
          <w:spacing w:val="0"/>
          <w:kern w:val="2"/>
          <w:sz w:val="32"/>
          <w:szCs w:val="32"/>
          <w:lang w:val="en-US" w:eastAsia="zh-CN"/>
        </w:rPr>
      </w:pPr>
      <w:r>
        <w:rPr>
          <w:rFonts w:hint="eastAsia" w:ascii="黑体" w:hAnsi="黑体" w:eastAsia="黑体" w:cs="黑体"/>
          <w:b w:val="0"/>
          <w:bCs w:val="0"/>
          <w:color w:val="auto"/>
          <w:spacing w:val="0"/>
          <w:kern w:val="2"/>
          <w:sz w:val="32"/>
          <w:szCs w:val="32"/>
          <w:lang w:val="en-US" w:eastAsia="zh-CN"/>
        </w:rPr>
        <w:t>一、参加答辩人员范围</w:t>
      </w:r>
    </w:p>
    <w:p w14:paraId="71E012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艺术、图书资料、群众文化系列申报高级职称的参评人员。</w:t>
      </w:r>
    </w:p>
    <w:p w14:paraId="06BBFC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黑体" w:hAnsi="黑体" w:eastAsia="黑体" w:cs="黑体"/>
          <w:b w:val="0"/>
          <w:bCs w:val="0"/>
          <w:color w:val="auto"/>
          <w:spacing w:val="0"/>
          <w:kern w:val="2"/>
          <w:sz w:val="32"/>
          <w:szCs w:val="32"/>
          <w:lang w:val="en-US" w:eastAsia="zh-CN"/>
        </w:rPr>
      </w:pPr>
      <w:r>
        <w:rPr>
          <w:rFonts w:hint="eastAsia" w:ascii="黑体" w:hAnsi="黑体" w:eastAsia="黑体" w:cs="黑体"/>
          <w:b w:val="0"/>
          <w:bCs w:val="0"/>
          <w:color w:val="auto"/>
          <w:spacing w:val="0"/>
          <w:kern w:val="2"/>
          <w:sz w:val="32"/>
          <w:szCs w:val="32"/>
          <w:lang w:val="en-US" w:eastAsia="zh-CN"/>
        </w:rPr>
        <w:t>二、答辩内容和程序</w:t>
      </w:r>
    </w:p>
    <w:p w14:paraId="3B0A1B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1.专业能力答辩主要考核申报人的专业能力和学术水平，内容为申报专业相关知识。</w:t>
      </w:r>
    </w:p>
    <w:p w14:paraId="70215A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2.申报人先进行不超过5分钟的自我简要陈述，说明本人的主要工作实绩、学术观点、创新、特色、贡献等。</w:t>
      </w:r>
    </w:p>
    <w:p w14:paraId="4EAB4F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3.专家组就申报人提供业绩材料及所从事专业进行提问、要求专业展示等。</w:t>
      </w:r>
    </w:p>
    <w:p w14:paraId="0B40CA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总时长不超过15分钟。</w:t>
      </w:r>
    </w:p>
    <w:p w14:paraId="49EE54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eastAsia" w:ascii="黑体" w:hAnsi="黑体" w:eastAsia="黑体" w:cs="黑体"/>
          <w:b w:val="0"/>
          <w:bCs w:val="0"/>
          <w:color w:val="auto"/>
          <w:spacing w:val="0"/>
          <w:kern w:val="2"/>
          <w:sz w:val="32"/>
          <w:szCs w:val="32"/>
          <w:lang w:val="en-US" w:eastAsia="zh-CN"/>
        </w:rPr>
      </w:pPr>
      <w:r>
        <w:rPr>
          <w:rFonts w:hint="eastAsia" w:ascii="黑体" w:hAnsi="黑体" w:eastAsia="黑体" w:cs="黑体"/>
          <w:b w:val="0"/>
          <w:bCs w:val="0"/>
          <w:color w:val="auto"/>
          <w:spacing w:val="0"/>
          <w:kern w:val="2"/>
          <w:sz w:val="32"/>
          <w:szCs w:val="32"/>
          <w:lang w:val="en-US" w:eastAsia="zh-CN"/>
        </w:rPr>
        <w:t>三、相关要求</w:t>
      </w:r>
      <w:bookmarkStart w:id="0" w:name="_GoBack"/>
      <w:bookmarkEnd w:id="0"/>
    </w:p>
    <w:p w14:paraId="11FAD5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1.答辩人员凭身份证参加答辩。</w:t>
      </w:r>
    </w:p>
    <w:p w14:paraId="19AF7F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2.参加答辩时，可携带相关纸质资料。</w:t>
      </w:r>
    </w:p>
    <w:p w14:paraId="374799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3.答辩前，必须按规定将手机等通讯设备交工作人员保管，</w:t>
      </w:r>
    </w:p>
    <w:p w14:paraId="613049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rightChars="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违反规定者，取消其答辩成绩。</w:t>
      </w:r>
    </w:p>
    <w:p w14:paraId="3B71BD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1257"/>
        </w:tabs>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4.所有申报高级职称人员必须参加专业能力答辩，具体时间和地点由省文化和旅游厅人事处答辩前电话或短信通知申报人。未参加答辩人员，视为放弃评审。</w:t>
      </w:r>
    </w:p>
    <w:p w14:paraId="4FDCE0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YjRiZjc2ZTA0M2Y5YzllMGYzYWEwYjAxMTcwODgifQ=="/>
  </w:docVars>
  <w:rsids>
    <w:rsidRoot w:val="00000000"/>
    <w:rsid w:val="5D77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5">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2024-09-03T01:41:26Z</dcterms:created>
  <dc:creator>Administrator</dc:creator>
  <cp:lastModifiedBy>红泥小火炉</cp:lastModifiedBy>
  <dcterms:modified xsi:type="dcterms:W3CDTF">2024-09-03T01:41:51Z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4F473CB6A9A94050B013855CFDEE0B65_12</vt:lpwstr>
  </property>
</Properties>
</file>