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8</w:t>
      </w:r>
    </w:p>
    <w:p>
      <w:pPr>
        <w:spacing w:line="576" w:lineRule="exact"/>
        <w:jc w:val="left"/>
        <w:rPr>
          <w:rFonts w:ascii="黑体" w:hAnsi="黑体" w:eastAsia="黑体"/>
          <w:szCs w:val="32"/>
        </w:rPr>
      </w:pPr>
    </w:p>
    <w:p>
      <w:pPr>
        <w:spacing w:line="576" w:lineRule="exact"/>
        <w:ind w:right="-1"/>
        <w:jc w:val="center"/>
        <w:rPr>
          <w:rFonts w:ascii="方正小标宋简体" w:hAnsi="微软雅黑" w:eastAsia="方正小标宋简体" w:cs="宋体"/>
          <w:bCs/>
          <w:color w:val="333333"/>
          <w:spacing w:val="8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微软雅黑" w:eastAsia="方正小标宋简体" w:cs="宋体"/>
          <w:bCs/>
          <w:color w:val="333333"/>
          <w:spacing w:val="8"/>
          <w:kern w:val="0"/>
          <w:sz w:val="36"/>
          <w:szCs w:val="36"/>
        </w:rPr>
        <w:t>国家税务总局XXX税务所（办税服务厅）</w:t>
      </w:r>
    </w:p>
    <w:p>
      <w:pPr>
        <w:spacing w:line="576" w:lineRule="exact"/>
        <w:ind w:right="-1"/>
        <w:jc w:val="center"/>
        <w:rPr>
          <w:rFonts w:ascii="方正小标宋简体" w:hAnsi="微软雅黑" w:eastAsia="方正小标宋简体" w:cs="宋体"/>
          <w:bCs/>
          <w:color w:val="333333"/>
          <w:spacing w:val="8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bCs/>
          <w:color w:val="333333"/>
          <w:spacing w:val="8"/>
          <w:kern w:val="0"/>
          <w:sz w:val="36"/>
          <w:szCs w:val="36"/>
        </w:rPr>
        <w:t>税务事项通知书（参考样式）</w:t>
      </w:r>
    </w:p>
    <w:bookmarkEnd w:id="0"/>
    <w:p>
      <w:pPr>
        <w:spacing w:line="576" w:lineRule="exact"/>
        <w:ind w:right="-1"/>
        <w:jc w:val="center"/>
        <w:rPr>
          <w:rFonts w:ascii="方正小标宋简体" w:hAnsi="微软雅黑" w:eastAsia="方正小标宋简体" w:cs="宋体"/>
          <w:bCs/>
          <w:color w:val="333333"/>
          <w:spacing w:val="8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bCs/>
          <w:color w:val="333333"/>
          <w:spacing w:val="8"/>
          <w:kern w:val="0"/>
          <w:sz w:val="36"/>
          <w:szCs w:val="36"/>
        </w:rPr>
        <w:t>（文号）</w:t>
      </w:r>
    </w:p>
    <w:p>
      <w:pPr>
        <w:spacing w:line="400" w:lineRule="exact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事由：发票真伪鉴定结果通知</w:t>
      </w:r>
    </w:p>
    <w:p>
      <w:pPr>
        <w:spacing w:line="400" w:lineRule="exact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依据：《中华人民共和国发票管理办法实施细则》第三十三条（</w:t>
      </w:r>
      <w:r>
        <w:rPr>
          <w:rFonts w:hint="eastAsia" w:ascii="宋体" w:hAnsi="宋体" w:eastAsia="宋体" w:cs="仿宋_GB2312"/>
          <w:color w:val="333333"/>
          <w:kern w:val="0"/>
          <w:sz w:val="21"/>
          <w:szCs w:val="21"/>
          <w:shd w:val="clear" w:color="auto" w:fill="FFFFFF"/>
        </w:rPr>
        <w:t>国家税务总局令第</w:t>
      </w:r>
      <w:r>
        <w:rPr>
          <w:rFonts w:hint="eastAsia" w:eastAsia="宋体" w:cs="仿宋_GB2312"/>
          <w:color w:val="333333"/>
          <w:kern w:val="0"/>
          <w:sz w:val="21"/>
          <w:szCs w:val="21"/>
          <w:shd w:val="clear" w:color="auto" w:fill="FFFFFF"/>
        </w:rPr>
        <w:t>25</w:t>
      </w:r>
      <w:r>
        <w:rPr>
          <w:rFonts w:hint="eastAsia" w:ascii="宋体" w:hAnsi="宋体" w:eastAsia="宋体" w:cs="仿宋_GB2312"/>
          <w:color w:val="333333"/>
          <w:kern w:val="0"/>
          <w:sz w:val="21"/>
          <w:szCs w:val="21"/>
          <w:shd w:val="clear" w:color="auto" w:fill="FFFFFF"/>
        </w:rPr>
        <w:t>号</w:t>
      </w:r>
      <w:r>
        <w:rPr>
          <w:rFonts w:hint="eastAsia" w:ascii="宋体" w:hAnsi="宋体" w:eastAsia="宋体"/>
          <w:sz w:val="21"/>
          <w:szCs w:val="21"/>
        </w:rPr>
        <w:t>）</w:t>
      </w:r>
    </w:p>
    <w:p>
      <w:pPr>
        <w:spacing w:line="400" w:lineRule="exact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通知内容：XXXX企业，你单位与</w:t>
      </w:r>
      <w:r>
        <w:rPr>
          <w:rFonts w:hint="eastAsia" w:eastAsia="宋体"/>
          <w:sz w:val="21"/>
          <w:szCs w:val="21"/>
        </w:rPr>
        <w:t>2022</w:t>
      </w:r>
      <w:r>
        <w:rPr>
          <w:rFonts w:hint="eastAsia" w:ascii="宋体" w:hAnsi="宋体" w:eastAsia="宋体"/>
          <w:sz w:val="21"/>
          <w:szCs w:val="21"/>
        </w:rPr>
        <w:t>年X月X日申请的发票真伪鉴定事项，共提交待鉴定发票XX分，经鉴定，发票真伪结果如下：</w:t>
      </w:r>
    </w:p>
    <w:tbl>
      <w:tblPr>
        <w:tblStyle w:val="3"/>
        <w:tblW w:w="14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364"/>
        <w:gridCol w:w="1364"/>
        <w:gridCol w:w="1364"/>
        <w:gridCol w:w="1578"/>
        <w:gridCol w:w="850"/>
        <w:gridCol w:w="1664"/>
        <w:gridCol w:w="1596"/>
        <w:gridCol w:w="1276"/>
        <w:gridCol w:w="85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0"/>
                <w:sz w:val="24"/>
                <w:szCs w:val="24"/>
              </w:rPr>
              <w:t>序号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0"/>
                <w:sz w:val="24"/>
                <w:szCs w:val="24"/>
              </w:rPr>
              <w:t>发票名称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0"/>
                <w:sz w:val="24"/>
                <w:szCs w:val="24"/>
              </w:rPr>
              <w:t>发票代码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0"/>
                <w:sz w:val="24"/>
                <w:szCs w:val="24"/>
              </w:rPr>
              <w:t>发票起始码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0"/>
                <w:sz w:val="24"/>
                <w:szCs w:val="24"/>
              </w:rPr>
              <w:t>发票终止码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0"/>
                <w:sz w:val="24"/>
                <w:szCs w:val="24"/>
              </w:rPr>
              <w:t>份数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0"/>
                <w:sz w:val="24"/>
                <w:szCs w:val="24"/>
              </w:rPr>
              <w:t>纳税人识别号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0"/>
                <w:sz w:val="24"/>
                <w:szCs w:val="24"/>
              </w:rPr>
              <w:t>纳税人名称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0"/>
                <w:sz w:val="24"/>
                <w:szCs w:val="24"/>
              </w:rPr>
              <w:t>日期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0"/>
                <w:sz w:val="24"/>
                <w:szCs w:val="24"/>
              </w:rPr>
              <w:t>金额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0"/>
                <w:sz w:val="24"/>
                <w:szCs w:val="24"/>
              </w:rPr>
              <w:t>鉴定结果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ind w:right="-1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ind w:right="-1"/>
              <w:jc w:val="center"/>
              <w:rPr>
                <w:rFonts w:ascii="仿宋_GB2312" w:hAnsi="黑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pacing w:val="-10"/>
                <w:sz w:val="24"/>
              </w:rPr>
              <w:t>正常此票已发还</w:t>
            </w:r>
          </w:p>
          <w:p>
            <w:pPr>
              <w:ind w:right="-1"/>
              <w:jc w:val="center"/>
              <w:rPr>
                <w:rFonts w:ascii="仿宋_GB2312" w:hAnsi="黑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pacing w:val="-10"/>
                <w:sz w:val="24"/>
              </w:rPr>
              <w:t>（参考）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ind w:right="-1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ind w:right="-1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ind w:right="-1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特此通知</w:t>
      </w:r>
    </w:p>
    <w:p>
      <w:pPr>
        <w:spacing w:line="400" w:lineRule="exact"/>
        <w:ind w:right="-1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鉴定机关：国家税务总局XXXX税务所（办税服务厅）</w:t>
      </w:r>
    </w:p>
    <w:p>
      <w:pPr>
        <w:spacing w:line="400" w:lineRule="exact"/>
        <w:ind w:right="-1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鉴定人：</w:t>
      </w:r>
    </w:p>
    <w:p>
      <w:pPr>
        <w:spacing w:line="400" w:lineRule="exact"/>
        <w:ind w:right="-1"/>
        <w:jc w:val="left"/>
        <w:rPr>
          <w:rFonts w:hint="eastAsia" w:eastAsia="仿宋_GB2312"/>
          <w:szCs w:val="32"/>
        </w:rPr>
      </w:pPr>
      <w:r>
        <w:rPr>
          <w:rFonts w:hint="eastAsia" w:ascii="仿宋_GB2312" w:hAnsi="黑体" w:eastAsia="仿宋_GB2312"/>
          <w:sz w:val="28"/>
          <w:szCs w:val="28"/>
        </w:rPr>
        <w:t>时间：</w:t>
      </w:r>
    </w:p>
    <w:p/>
    <w:sectPr>
      <w:pgSz w:w="16838" w:h="11906" w:orient="landscape"/>
      <w:pgMar w:top="1474" w:right="1985" w:bottom="1588" w:left="2098" w:header="851" w:footer="1134" w:gutter="0"/>
      <w:cols w:space="720" w:num="1"/>
      <w:docGrid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mU3NGU0YTJmZWEwOTRkNDNkMzVlNWUwZjZhYWIifQ=="/>
  </w:docVars>
  <w:rsids>
    <w:rsidRoot w:val="7D8871D5"/>
    <w:rsid w:val="7D8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2022-07-28T10:18:00Z</dcterms:created>
  <dc:creator>刘晨雨</dc:creator>
  <cp:lastModifiedBy>刘晨雨</cp:lastModifiedBy>
  <dcterms:modified xsi:type="dcterms:W3CDTF">2022-07-28T10:19:17Z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70A637159E9E46DAAA404CFF14F5AFEE</vt:lpwstr>
  </property>
</Properties>
</file>