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国家对外文化贸易基地申报表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bookmarkStart w:id="0" w:name="_GoBack"/>
      <w:bookmarkEnd w:id="0"/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75"/>
        <w:gridCol w:w="1918"/>
        <w:gridCol w:w="92"/>
        <w:gridCol w:w="1714"/>
        <w:gridCol w:w="382"/>
        <w:gridCol w:w="475"/>
        <w:gridCol w:w="857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申报主体</w:t>
            </w:r>
          </w:p>
        </w:tc>
        <w:tc>
          <w:tcPr>
            <w:tcW w:w="6297" w:type="dxa"/>
            <w:gridSpan w:val="7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6297" w:type="dxa"/>
            <w:gridSpan w:val="7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6297" w:type="dxa"/>
            <w:gridSpan w:val="7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基地名称</w:t>
            </w:r>
          </w:p>
        </w:tc>
        <w:tc>
          <w:tcPr>
            <w:tcW w:w="6297" w:type="dxa"/>
            <w:gridSpan w:val="7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地理位置</w:t>
            </w:r>
          </w:p>
        </w:tc>
        <w:tc>
          <w:tcPr>
            <w:tcW w:w="6297" w:type="dxa"/>
            <w:gridSpan w:val="7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设立年月</w:t>
            </w:r>
          </w:p>
        </w:tc>
        <w:tc>
          <w:tcPr>
            <w:tcW w:w="2010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建筑面积</w:t>
            </w:r>
          </w:p>
        </w:tc>
        <w:tc>
          <w:tcPr>
            <w:tcW w:w="2573" w:type="dxa"/>
            <w:gridSpan w:val="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二、运营主体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运营主体名称</w:t>
            </w:r>
          </w:p>
        </w:tc>
        <w:tc>
          <w:tcPr>
            <w:tcW w:w="6297" w:type="dxa"/>
            <w:gridSpan w:val="7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统一社会信用代码</w:t>
            </w:r>
          </w:p>
        </w:tc>
        <w:tc>
          <w:tcPr>
            <w:tcW w:w="6297" w:type="dxa"/>
            <w:gridSpan w:val="7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设立年月</w:t>
            </w:r>
          </w:p>
        </w:tc>
        <w:tc>
          <w:tcPr>
            <w:tcW w:w="2010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实缴资本</w:t>
            </w:r>
          </w:p>
        </w:tc>
        <w:tc>
          <w:tcPr>
            <w:tcW w:w="2573" w:type="dxa"/>
            <w:gridSpan w:val="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法定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办公电话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手    机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办公电话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2010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手    机</w:t>
            </w:r>
          </w:p>
        </w:tc>
        <w:tc>
          <w:tcPr>
            <w:tcW w:w="2573" w:type="dxa"/>
            <w:gridSpan w:val="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55" w:type="dxa"/>
            <w:gridSpan w:val="9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三、基本数据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类别</w:t>
            </w: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指标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区域发展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环境</w:t>
            </w: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所在城市文化及相关产业增加值（万元）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所在城市文化及相关产业增加值占GDP比重（%）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及相关产业增加值（万元）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及相关产业增加值占GDP比重（%）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所在城市文化和旅游企业数（家）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所在城市规模以上文化和旅游企业数（家）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区域</w:t>
            </w:r>
            <w: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贸易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发展</w:t>
            </w:r>
            <w: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水平</w:t>
            </w: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所在城市贸易额（万美元）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所在城市文化贸易额（万美元）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  <w:t>所在城市入出境旅游人次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所在城市文化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  <w:t>和旅游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贸易企业数（家）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所在城市入选国家文化出口重点企业和重点项目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  <w:t>数（个）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所在城市入选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  <w:t>文化和旅游部“一带一路”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文化产业和旅游产业国际合作重点项目数（个）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运营管理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水平</w:t>
            </w: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管理团队中拥有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职称人数占比（%）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管理团队中具有涉外经营能力的人数占比（%）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政策服务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4"/>
                <w:szCs w:val="24"/>
                <w:shd w:val="clear" w:color="auto" w:fill="FFFFFF"/>
              </w:rPr>
              <w:t>保障</w:t>
            </w: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  <w:t>建设投入资金（万元）</w:t>
            </w:r>
          </w:p>
        </w:tc>
        <w:tc>
          <w:tcPr>
            <w:tcW w:w="2573" w:type="dxa"/>
            <w:gridSpan w:val="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建设主体建立工作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推进机制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（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是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/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否）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所在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城市出台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文化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  <w:lang w:eastAsia="zh-CN"/>
              </w:rPr>
              <w:t>和旅游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贸易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扶持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政策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（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是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/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否）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享受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自贸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  <w:lang w:eastAsia="zh-CN"/>
              </w:rPr>
              <w:t>试验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区、保税区等政策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（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是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/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否）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被列入党中央、国务院文件（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是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/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否）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999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被列入国家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部委或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省委、省政府文件（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是</w:t>
            </w:r>
            <w:r>
              <w:rPr>
                <w:rFonts w:hint="eastAsia"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/</w:t>
            </w:r>
            <w:r>
              <w:rPr>
                <w:rFonts w:ascii="仿宋_GB2312" w:hAnsi="宋体" w:eastAsia="仿宋_GB2312" w:cs="宋体"/>
                <w:bCs/>
                <w:spacing w:val="-4"/>
                <w:kern w:val="0"/>
                <w:sz w:val="24"/>
                <w:szCs w:val="20"/>
              </w:rPr>
              <w:t>否）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b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建设发展情况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（三）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保障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四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多元协同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五</w:t>
            </w:r>
            <w: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  <w:t>）示范引领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755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五、</w:t>
            </w: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基地服务企业</w:t>
            </w:r>
            <w:r>
              <w:rPr>
                <w:rFonts w:hint="eastAsia" w:ascii="黑体" w:hAnsi="黑体" w:eastAsia="黑体" w:cs="黑体"/>
                <w:b w:val="0"/>
                <w:bCs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企业名称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企业性质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基地提供的服务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取得的成效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A2A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申报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建设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主体）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——地市级（含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副省级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）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62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省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（区、市）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商务厅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推荐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62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省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（区、市）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文化和旅游厅（局）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推荐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62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省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（区、市）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审核意见</w:t>
            </w:r>
          </w:p>
        </w:tc>
        <w:tc>
          <w:tcPr>
            <w:tcW w:w="62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default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  <w:lang w:val="e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  <w:lang w:eastAsia="zh-CN"/>
              </w:rPr>
              <w:t>办公厅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28"/>
                <w:szCs w:val="28"/>
                <w:shd w:val="clear" w:color="auto" w:fill="FFFFFF"/>
              </w:rPr>
              <w:t>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jM1YjYyMjA1Y2QzYTQxM2E1NTMxZWVlNzQ5NzIifQ=="/>
  </w:docVars>
  <w:rsids>
    <w:rsidRoot w:val="08D5563C"/>
    <w:rsid w:val="08D5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2022-07-26T03:12:00Z</dcterms:created>
  <dc:creator>赖。</dc:creator>
  <cp:lastModifiedBy>赖。</cp:lastModifiedBy>
  <dcterms:modified xsi:type="dcterms:W3CDTF">2022-07-26T03:12:34Z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C986BF9C839B4335A93690FF99F05EB5</vt:lpwstr>
  </property>
</Properties>
</file>