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黑体" w:hAnsi="黑体" w:eastAsia="黑体" w:cs="黑体"/>
          <w:lang w:val="en-US" w:eastAsia="zh-CN"/>
        </w:rPr>
      </w:pPr>
      <w:r>
        <w:rPr>
          <w:rFonts w:hint="eastAsia" w:ascii="黑体" w:hAnsi="黑体" w:eastAsia="黑体" w:cs="黑体"/>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华文中宋" w:eastAsia="方正小标宋简体"/>
          <w:sz w:val="32"/>
          <w:szCs w:val="32"/>
        </w:rPr>
      </w:pPr>
      <w:r>
        <w:rPr>
          <w:rFonts w:hint="eastAsia" w:ascii="方正小标宋简体" w:hAnsi="华文中宋" w:eastAsia="方正小标宋简体"/>
          <w:sz w:val="32"/>
          <w:szCs w:val="32"/>
        </w:rPr>
        <w:t>省级节水标杆企业创建标准</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华文中宋" w:eastAsia="方正小标宋简体"/>
          <w:sz w:val="32"/>
          <w:szCs w:val="32"/>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一、</w:t>
      </w:r>
      <w:r>
        <w:rPr>
          <w:rFonts w:hint="eastAsia" w:ascii="Times New Roman" w:hAnsi="Times New Roman" w:eastAsia="仿宋_GB2312" w:cs="Times New Roman"/>
          <w:snapToGrid/>
          <w:color w:val="auto"/>
          <w:spacing w:val="0"/>
          <w:w w:val="100"/>
          <w:position w:val="0"/>
          <w:sz w:val="32"/>
          <w:szCs w:val="32"/>
          <w:u w:val="none" w:color="auto"/>
          <w:vertAlign w:val="baseline"/>
        </w:rPr>
        <w:t>申请</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省级节水标杆企业</w:t>
      </w:r>
      <w:r>
        <w:rPr>
          <w:rFonts w:hint="eastAsia" w:ascii="Times New Roman" w:hAnsi="Times New Roman" w:eastAsia="仿宋_GB2312" w:cs="Times New Roman"/>
          <w:snapToGrid/>
          <w:color w:val="auto"/>
          <w:spacing w:val="0"/>
          <w:w w:val="100"/>
          <w:position w:val="0"/>
          <w:sz w:val="32"/>
          <w:szCs w:val="32"/>
          <w:u w:val="none" w:color="auto"/>
          <w:vertAlign w:val="baseline"/>
        </w:rPr>
        <w:t>应满足以下</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基本</w:t>
      </w:r>
      <w:r>
        <w:rPr>
          <w:rFonts w:hint="eastAsia" w:ascii="Times New Roman" w:hAnsi="Times New Roman" w:eastAsia="仿宋_GB2312" w:cs="Times New Roman"/>
          <w:snapToGrid/>
          <w:color w:val="auto"/>
          <w:spacing w:val="0"/>
          <w:w w:val="100"/>
          <w:position w:val="0"/>
          <w:sz w:val="32"/>
          <w:szCs w:val="32"/>
          <w:u w:val="none" w:color="auto"/>
          <w:vertAlign w:val="baseline"/>
        </w:rPr>
        <w:t>要求：</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（一）遵守国家、行业、地方相关节水政策和标准；</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（二）有取用水资源的合法手续，近三年取水无超计划；</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（三）近三年未发生重大安全和环境事故，无违法行为，未被列入企业经营异常名录或严重违法失信企业名单；</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四</w:t>
      </w:r>
      <w:r>
        <w:rPr>
          <w:rFonts w:hint="eastAsia" w:ascii="Times New Roman" w:hAnsi="Times New Roman" w:eastAsia="仿宋_GB2312" w:cs="Times New Roman"/>
          <w:snapToGrid/>
          <w:color w:val="auto"/>
          <w:spacing w:val="0"/>
          <w:w w:val="100"/>
          <w:position w:val="0"/>
          <w:sz w:val="32"/>
          <w:szCs w:val="32"/>
          <w:u w:val="none" w:color="auto"/>
          <w:vertAlign w:val="baseline"/>
        </w:rPr>
        <w:t>）未使用国家明令禁止或列入禁止、淘汰目录的用水设备或器具；</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五</w:t>
      </w:r>
      <w:r>
        <w:rPr>
          <w:rFonts w:hint="eastAsia" w:ascii="Times New Roman" w:hAnsi="Times New Roman" w:eastAsia="仿宋_GB2312" w:cs="Times New Roman"/>
          <w:snapToGrid/>
          <w:color w:val="auto"/>
          <w:spacing w:val="0"/>
          <w:w w:val="100"/>
          <w:position w:val="0"/>
          <w:sz w:val="32"/>
          <w:szCs w:val="32"/>
          <w:u w:val="none" w:color="auto"/>
          <w:vertAlign w:val="baseline"/>
        </w:rPr>
        <w:t>）新建、改建、扩建项目时实施节水“三同时”“四到位”制度；</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六</w:t>
      </w:r>
      <w:r>
        <w:rPr>
          <w:rFonts w:hint="eastAsia" w:ascii="Times New Roman" w:hAnsi="Times New Roman" w:eastAsia="仿宋_GB2312" w:cs="Times New Roman"/>
          <w:snapToGrid/>
          <w:color w:val="auto"/>
          <w:spacing w:val="0"/>
          <w:w w:val="100"/>
          <w:position w:val="0"/>
          <w:sz w:val="32"/>
          <w:szCs w:val="32"/>
          <w:u w:val="none" w:color="auto"/>
          <w:vertAlign w:val="baseline"/>
        </w:rPr>
        <w:t>）建立节水管理制度，各生产环节有配套的节水措施，建立完备的用水计量和统计管理体系，水计量器具配备满足国家标准《用水单位水计量器具配备和管理通则》（</w:t>
      </w:r>
      <w:r>
        <w:rPr>
          <w:rFonts w:ascii="Times New Roman" w:hAnsi="Times New Roman" w:eastAsia="仿宋_GB2312" w:cs="Times New Roman"/>
          <w:snapToGrid/>
          <w:color w:val="auto"/>
          <w:spacing w:val="0"/>
          <w:w w:val="100"/>
          <w:position w:val="0"/>
          <w:sz w:val="32"/>
          <w:szCs w:val="32"/>
          <w:u w:val="none" w:color="auto"/>
          <w:vertAlign w:val="baseline"/>
        </w:rPr>
        <w:t>GB24789</w:t>
      </w:r>
      <w:r>
        <w:rPr>
          <w:rFonts w:hint="eastAsia" w:ascii="Times New Roman" w:hAnsi="Times New Roman" w:eastAsia="仿宋_GB2312" w:cs="Times New Roman"/>
          <w:snapToGrid/>
          <w:color w:val="auto"/>
          <w:spacing w:val="0"/>
          <w:w w:val="100"/>
          <w:position w:val="0"/>
          <w:sz w:val="32"/>
          <w:szCs w:val="32"/>
          <w:u w:val="none" w:color="auto"/>
          <w:vertAlign w:val="baseline"/>
        </w:rPr>
        <w:t>）要求，并依法检定或校准</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（七）年取水量超过15万立方米的独立法人，2022年水效指标达到行业领先水平。</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二、拟申报企业需按照以下申请报告模板的要求如实编写申请报告，并提供必要的证明材料。</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 w:hAnsi="Times New Roman" w:eastAsia="仿宋" w:cs="Times New Roman"/>
          <w:snapToGrid/>
          <w:color w:val="0C0C0C"/>
          <w:spacing w:val="0"/>
          <w:w w:val="100"/>
          <w:position w:val="0"/>
          <w:sz w:val="32"/>
          <w:szCs w:val="32"/>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_GB2312" w:hAnsi="Times New Roman" w:eastAsia="仿宋_GB2312" w:cs="Times New Roman"/>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仿宋_GB2312" w:hAnsi="Times New Roman" w:eastAsia="仿宋_GB2312" w:cs="Times New Roman"/>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仿宋_GB2312" w:hAnsi="Times New Roman" w:eastAsia="仿宋_GB2312" w:cs="Times New Roman"/>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方正小标宋简体" w:hAnsi="Times New Roman" w:eastAsia="方正小标宋简体" w:cs="Times New Roman"/>
          <w:b/>
          <w:bCs w:val="0"/>
          <w:snapToGrid/>
          <w:color w:val="0C0C0C"/>
          <w:spacing w:val="0"/>
          <w:w w:val="100"/>
          <w:position w:val="0"/>
          <w:sz w:val="44"/>
          <w:szCs w:val="44"/>
          <w:u w:val="none" w:color="auto"/>
          <w:vertAlign w:val="baseline"/>
        </w:rPr>
      </w:pPr>
      <w:r>
        <w:rPr>
          <w:rFonts w:hint="eastAsia" w:ascii="方正小标宋简体" w:hAnsi="Times New Roman" w:eastAsia="方正小标宋简体" w:cs="Times New Roman"/>
          <w:b/>
          <w:bCs w:val="0"/>
          <w:snapToGrid/>
          <w:color w:val="0C0C0C"/>
          <w:spacing w:val="0"/>
          <w:w w:val="100"/>
          <w:position w:val="0"/>
          <w:sz w:val="44"/>
          <w:szCs w:val="44"/>
          <w:u w:val="none" w:color="auto"/>
          <w:vertAlign w:val="baseline"/>
        </w:rPr>
        <w:t>XX企业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方正小标宋简体" w:hAnsi="Times New Roman" w:eastAsia="方正小标宋简体" w:cs="Times New Roman"/>
          <w:b/>
          <w:bCs w:val="0"/>
          <w:snapToGrid/>
          <w:color w:val="0C0C0C"/>
          <w:spacing w:val="0"/>
          <w:w w:val="100"/>
          <w:position w:val="0"/>
          <w:sz w:val="44"/>
          <w:szCs w:val="44"/>
          <w:u w:val="none" w:color="auto"/>
          <w:vertAlign w:val="baseline"/>
        </w:rPr>
      </w:pPr>
      <w:r>
        <w:rPr>
          <w:rFonts w:hint="eastAsia" w:ascii="方正小标宋简体" w:hAnsi="Times New Roman" w:eastAsia="方正小标宋简体" w:cs="Times New Roman"/>
          <w:b/>
          <w:bCs w:val="0"/>
          <w:snapToGrid/>
          <w:color w:val="0C0C0C"/>
          <w:spacing w:val="0"/>
          <w:w w:val="100"/>
          <w:position w:val="0"/>
          <w:sz w:val="44"/>
          <w:szCs w:val="44"/>
          <w:u w:val="none" w:color="auto"/>
          <w:vertAlign w:val="baseline"/>
        </w:rPr>
        <w:t>省级节水标杆企业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方正小标宋简体" w:hAnsi="Times New Roman" w:eastAsia="方正小标宋简体" w:cs="Times New Roman"/>
          <w:b/>
          <w:bCs w:val="0"/>
          <w:snapToGrid/>
          <w:color w:val="0C0C0C"/>
          <w:spacing w:val="0"/>
          <w:w w:val="100"/>
          <w:position w:val="0"/>
          <w:sz w:val="44"/>
          <w:szCs w:val="44"/>
          <w:u w:val="none" w:color="auto"/>
          <w:vertAlign w:val="baseline"/>
        </w:rPr>
      </w:pPr>
      <w:r>
        <w:rPr>
          <w:rFonts w:hint="eastAsia" w:ascii="方正小标宋简体" w:hAnsi="Times New Roman" w:eastAsia="方正小标宋简体" w:cs="Times New Roman"/>
          <w:b/>
          <w:bCs w:val="0"/>
          <w:snapToGrid/>
          <w:color w:val="0C0C0C"/>
          <w:spacing w:val="0"/>
          <w:w w:val="100"/>
          <w:position w:val="0"/>
          <w:sz w:val="44"/>
          <w:szCs w:val="44"/>
          <w:u w:val="none" w:color="auto"/>
          <w:vertAlign w:val="baseline"/>
        </w:rPr>
        <w:t>申请报告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_GB2312" w:hAnsi="Times New Roman" w:eastAsia="仿宋_GB2312" w:cs="Times New Roman"/>
          <w:b/>
          <w:bCs/>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_GB2312" w:hAnsi="Times New Roman" w:eastAsia="仿宋_GB2312" w:cs="Times New Roman"/>
          <w:b/>
          <w:bCs/>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_GB2312" w:hAnsi="Times New Roman" w:eastAsia="仿宋_GB2312" w:cs="Times New Roman"/>
          <w:b/>
          <w:bCs/>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_GB2312" w:hAnsi="Times New Roman" w:eastAsia="仿宋_GB2312" w:cs="Times New Roman"/>
          <w:b/>
          <w:bCs/>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_GB2312" w:hAnsi="Times New Roman" w:eastAsia="仿宋_GB2312" w:cs="Times New Roman"/>
          <w:b/>
          <w:bCs/>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_GB2312" w:hAnsi="Times New Roman" w:eastAsia="仿宋_GB2312" w:cs="Times New Roman"/>
          <w:b/>
          <w:bCs/>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_GB2312" w:hAnsi="Times New Roman" w:eastAsia="仿宋_GB2312" w:cs="Times New Roman"/>
          <w:b/>
          <w:bCs/>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_GB2312" w:hAnsi="Times New Roman" w:eastAsia="仿宋_GB2312" w:cs="Times New Roman"/>
          <w:b/>
          <w:bCs/>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Times New Roman" w:eastAsia="黑体" w:cs="Times New Roman"/>
          <w:snapToGrid/>
          <w:color w:val="0C0C0C"/>
          <w:spacing w:val="0"/>
          <w:w w:val="100"/>
          <w:position w:val="0"/>
          <w:sz w:val="32"/>
          <w:szCs w:val="32"/>
          <w:u w:val="none" w:color="auto"/>
          <w:vertAlign w:val="baseline"/>
        </w:rPr>
      </w:pPr>
      <w:r>
        <w:rPr>
          <w:rFonts w:hint="eastAsia" w:ascii="黑体" w:hAnsi="Times New Roman" w:eastAsia="黑体" w:cs="Times New Roman"/>
          <w:snapToGrid/>
          <w:color w:val="0C0C0C"/>
          <w:spacing w:val="0"/>
          <w:w w:val="100"/>
          <w:position w:val="0"/>
          <w:sz w:val="32"/>
          <w:szCs w:val="32"/>
          <w:u w:val="none" w:color="auto"/>
          <w:vertAlign w:val="baseline"/>
        </w:rPr>
        <w:t>202</w:t>
      </w:r>
      <w:r>
        <w:rPr>
          <w:rFonts w:hint="eastAsia" w:ascii="黑体" w:hAnsi="Times New Roman" w:eastAsia="黑体" w:cs="Times New Roman"/>
          <w:snapToGrid/>
          <w:color w:val="0C0C0C"/>
          <w:spacing w:val="0"/>
          <w:w w:val="100"/>
          <w:position w:val="0"/>
          <w:sz w:val="32"/>
          <w:szCs w:val="32"/>
          <w:u w:val="none" w:color="auto"/>
          <w:vertAlign w:val="baseline"/>
          <w:lang w:val="en-US" w:eastAsia="zh-CN"/>
        </w:rPr>
        <w:t xml:space="preserve"> </w:t>
      </w:r>
      <w:r>
        <w:rPr>
          <w:rFonts w:hint="eastAsia" w:ascii="黑体" w:hAnsi="Times New Roman" w:eastAsia="黑体" w:cs="Times New Roman"/>
          <w:snapToGrid/>
          <w:color w:val="0C0C0C"/>
          <w:spacing w:val="0"/>
          <w:w w:val="100"/>
          <w:position w:val="0"/>
          <w:sz w:val="32"/>
          <w:szCs w:val="32"/>
          <w:u w:val="none" w:color="auto"/>
          <w:vertAlign w:val="baseline"/>
        </w:rPr>
        <w:t>年</w:t>
      </w:r>
      <w:r>
        <w:rPr>
          <w:rFonts w:hint="eastAsia" w:ascii="黑体" w:hAnsi="Times New Roman" w:eastAsia="黑体" w:cs="Times New Roman"/>
          <w:snapToGrid/>
          <w:color w:val="0C0C0C"/>
          <w:spacing w:val="0"/>
          <w:w w:val="100"/>
          <w:position w:val="0"/>
          <w:sz w:val="32"/>
          <w:szCs w:val="32"/>
          <w:u w:val="none" w:color="auto"/>
          <w:vertAlign w:val="baseline"/>
          <w:lang w:val="en-US" w:eastAsia="zh-CN"/>
        </w:rPr>
        <w:t xml:space="preserve"> </w:t>
      </w:r>
      <w:r>
        <w:rPr>
          <w:rFonts w:hint="eastAsia" w:ascii="黑体" w:hAnsi="Times New Roman" w:eastAsia="黑体" w:cs="Times New Roman"/>
          <w:snapToGrid/>
          <w:color w:val="0C0C0C"/>
          <w:spacing w:val="0"/>
          <w:w w:val="100"/>
          <w:position w:val="0"/>
          <w:sz w:val="32"/>
          <w:szCs w:val="32"/>
          <w:u w:val="none" w:color="auto"/>
          <w:vertAlign w:val="baseline"/>
        </w:rPr>
        <w:t>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仿宋_GB2312" w:hAnsi="Times New Roman" w:eastAsia="仿宋_GB2312" w:cs="Times New Roman"/>
          <w:snapToGrid/>
          <w:color w:val="0C0C0C"/>
          <w:spacing w:val="0"/>
          <w:w w:val="100"/>
          <w:position w:val="0"/>
          <w:sz w:val="44"/>
          <w:szCs w:val="44"/>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仿宋_GB2312" w:hAnsi="Times New Roman" w:eastAsia="仿宋_GB2312" w:cs="Times New Roman"/>
          <w:snapToGrid/>
          <w:color w:val="0C0C0C"/>
          <w:spacing w:val="0"/>
          <w:w w:val="100"/>
          <w:position w:val="0"/>
          <w:sz w:val="44"/>
          <w:szCs w:val="44"/>
          <w:u w:val="none" w:color="auto"/>
          <w:vertAlign w:val="baseline"/>
        </w:rPr>
      </w:pPr>
      <w:r>
        <w:rPr>
          <w:rFonts w:hint="eastAsia" w:ascii="仿宋_GB2312" w:hAnsi="Times New Roman" w:eastAsia="仿宋_GB2312" w:cs="Times New Roman"/>
          <w:snapToGrid/>
          <w:color w:val="0C0C0C"/>
          <w:spacing w:val="0"/>
          <w:w w:val="100"/>
          <w:position w:val="0"/>
          <w:sz w:val="44"/>
          <w:szCs w:val="44"/>
          <w:u w:val="none" w:color="auto"/>
          <w:vertAlign w:val="baseline"/>
          <w:lang w:val="en-US" w:eastAsia="zh-CN" w:bidi="ar-SA"/>
        </w:rPr>
        <w:br w:type="page"/>
      </w:r>
      <w:r>
        <w:rPr>
          <w:rFonts w:hint="eastAsia" w:ascii="方正小标宋简体" w:hAnsi="Times New Roman" w:eastAsia="方正小标宋简体" w:cs="Times New Roman"/>
          <w:snapToGrid/>
          <w:color w:val="0C0C0C"/>
          <w:spacing w:val="0"/>
          <w:w w:val="100"/>
          <w:position w:val="0"/>
          <w:sz w:val="44"/>
          <w:szCs w:val="44"/>
          <w:u w:val="none" w:color="auto"/>
          <w:vertAlign w:val="baseline"/>
        </w:rPr>
        <w:t>填写说明</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1</w:t>
      </w:r>
      <w:r>
        <w:rPr>
          <w:rFonts w:hint="eastAsia" w:ascii="Times New Roman" w:hAnsi="Times New Roman" w:eastAsia="仿宋_GB2312" w:cs="Times New Roman"/>
          <w:snapToGrid/>
          <w:color w:val="auto"/>
          <w:spacing w:val="0"/>
          <w:w w:val="100"/>
          <w:position w:val="0"/>
          <w:sz w:val="32"/>
          <w:szCs w:val="32"/>
          <w:u w:val="none" w:color="auto"/>
          <w:vertAlign w:val="baseline"/>
        </w:rPr>
        <w:t>．申报企业应按照有关要求如实编写申请报告，并提供必要的证明材料。</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2</w:t>
      </w:r>
      <w:r>
        <w:rPr>
          <w:rFonts w:hint="eastAsia" w:ascii="Times New Roman" w:hAnsi="Times New Roman" w:eastAsia="仿宋_GB2312" w:cs="Times New Roman"/>
          <w:snapToGrid/>
          <w:color w:val="auto"/>
          <w:spacing w:val="0"/>
          <w:w w:val="100"/>
          <w:position w:val="0"/>
          <w:sz w:val="32"/>
          <w:szCs w:val="32"/>
          <w:u w:val="none" w:color="auto"/>
          <w:vertAlign w:val="baseline"/>
        </w:rPr>
        <w:t>．申请报告包含但不限于下列内容：</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w:t>
      </w:r>
      <w:r>
        <w:rPr>
          <w:rFonts w:ascii="Times New Roman" w:hAnsi="Times New Roman" w:eastAsia="仿宋_GB2312" w:cs="Times New Roman"/>
          <w:snapToGrid/>
          <w:color w:val="auto"/>
          <w:spacing w:val="0"/>
          <w:w w:val="100"/>
          <w:position w:val="0"/>
          <w:sz w:val="32"/>
          <w:szCs w:val="32"/>
          <w:u w:val="none" w:color="auto"/>
          <w:vertAlign w:val="baseline"/>
        </w:rPr>
        <w:t>1</w:t>
      </w:r>
      <w:r>
        <w:rPr>
          <w:rFonts w:hint="eastAsia" w:ascii="Times New Roman" w:hAnsi="Times New Roman" w:eastAsia="仿宋_GB2312" w:cs="Times New Roman"/>
          <w:snapToGrid/>
          <w:color w:val="auto"/>
          <w:spacing w:val="0"/>
          <w:w w:val="100"/>
          <w:position w:val="0"/>
          <w:sz w:val="32"/>
          <w:szCs w:val="32"/>
          <w:u w:val="none" w:color="auto"/>
          <w:vertAlign w:val="baseline"/>
        </w:rPr>
        <w:t>）企业基本信息表</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w:t>
      </w:r>
      <w:r>
        <w:rPr>
          <w:rFonts w:ascii="Times New Roman" w:hAnsi="Times New Roman" w:eastAsia="仿宋_GB2312" w:cs="Times New Roman"/>
          <w:snapToGrid/>
          <w:color w:val="auto"/>
          <w:spacing w:val="0"/>
          <w:w w:val="100"/>
          <w:position w:val="0"/>
          <w:sz w:val="32"/>
          <w:szCs w:val="32"/>
          <w:u w:val="none" w:color="auto"/>
          <w:vertAlign w:val="baseline"/>
        </w:rPr>
        <w:t>2</w:t>
      </w:r>
      <w:r>
        <w:rPr>
          <w:rFonts w:hint="eastAsia" w:ascii="Times New Roman" w:hAnsi="Times New Roman" w:eastAsia="仿宋_GB2312" w:cs="Times New Roman"/>
          <w:snapToGrid/>
          <w:color w:val="auto"/>
          <w:spacing w:val="0"/>
          <w:w w:val="100"/>
          <w:position w:val="0"/>
          <w:sz w:val="32"/>
          <w:szCs w:val="32"/>
          <w:u w:val="none" w:color="auto"/>
          <w:vertAlign w:val="baseline"/>
        </w:rPr>
        <w:t>）企业水效分析报告</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w:t>
      </w:r>
      <w:r>
        <w:rPr>
          <w:rFonts w:ascii="Times New Roman" w:hAnsi="Times New Roman" w:eastAsia="仿宋_GB2312" w:cs="Times New Roman"/>
          <w:snapToGrid/>
          <w:color w:val="auto"/>
          <w:spacing w:val="0"/>
          <w:w w:val="100"/>
          <w:position w:val="0"/>
          <w:sz w:val="32"/>
          <w:szCs w:val="32"/>
          <w:u w:val="none" w:color="auto"/>
          <w:vertAlign w:val="baseline"/>
        </w:rPr>
        <w:t>3</w:t>
      </w:r>
      <w:r>
        <w:rPr>
          <w:rFonts w:hint="eastAsia" w:ascii="Times New Roman" w:hAnsi="Times New Roman" w:eastAsia="仿宋_GB2312" w:cs="Times New Roman"/>
          <w:snapToGrid/>
          <w:color w:val="auto"/>
          <w:spacing w:val="0"/>
          <w:w w:val="100"/>
          <w:position w:val="0"/>
          <w:sz w:val="32"/>
          <w:szCs w:val="32"/>
          <w:u w:val="none" w:color="auto"/>
          <w:vertAlign w:val="baseline"/>
        </w:rPr>
        <w:t>）企业自评表</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3</w:t>
      </w:r>
      <w:r>
        <w:rPr>
          <w:rFonts w:hint="eastAsia" w:ascii="Times New Roman" w:hAnsi="Times New Roman" w:eastAsia="仿宋_GB2312" w:cs="Times New Roman"/>
          <w:snapToGrid/>
          <w:color w:val="auto"/>
          <w:spacing w:val="0"/>
          <w:w w:val="100"/>
          <w:position w:val="0"/>
          <w:sz w:val="32"/>
          <w:szCs w:val="32"/>
          <w:u w:val="none" w:color="auto"/>
          <w:vertAlign w:val="baseline"/>
        </w:rPr>
        <w:t>．以上材料需按顺序编排，并在相应位置加盖公章。</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简体" w:hAnsi="Times New Roman" w:eastAsia="方正小标宋简体" w:cs="Times New Roman"/>
          <w:bCs/>
          <w:snapToGrid/>
          <w:color w:val="0C0C0C"/>
          <w:spacing w:val="0"/>
          <w:w w:val="100"/>
          <w:position w:val="0"/>
          <w:sz w:val="40"/>
          <w:szCs w:val="36"/>
          <w:u w:val="none" w:color="auto"/>
          <w:vertAlign w:val="baseline"/>
        </w:rPr>
      </w:pPr>
      <w:r>
        <w:rPr>
          <w:rFonts w:hint="eastAsia" w:ascii="仿宋_GB2312" w:hAnsi="Times New Roman" w:eastAsia="仿宋_GB2312" w:cs="Times New Roman"/>
          <w:b/>
          <w:bCs/>
          <w:snapToGrid/>
          <w:color w:val="0C0C0C"/>
          <w:spacing w:val="0"/>
          <w:w w:val="100"/>
          <w:position w:val="0"/>
          <w:sz w:val="36"/>
          <w:szCs w:val="36"/>
          <w:u w:val="none" w:color="auto"/>
          <w:vertAlign w:val="baseline"/>
          <w:lang w:val="en-US" w:eastAsia="zh-CN" w:bidi="ar-SA"/>
        </w:rPr>
        <w:br w:type="page"/>
      </w:r>
      <w:r>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t>企业基本信息表</w:t>
      </w:r>
    </w:p>
    <w:tbl>
      <w:tblPr>
        <w:tblStyle w:val="4"/>
        <w:tblW w:w="8715"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20"/>
        <w:gridCol w:w="127"/>
        <w:gridCol w:w="1560"/>
        <w:gridCol w:w="538"/>
        <w:gridCol w:w="2229"/>
        <w:gridCol w:w="234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b/>
                <w:bCs/>
                <w:snapToGrid/>
                <w:color w:val="0C0C0C"/>
                <w:spacing w:val="0"/>
                <w:w w:val="100"/>
                <w:position w:val="0"/>
                <w:sz w:val="24"/>
                <w:szCs w:val="24"/>
                <w:u w:val="none" w:color="auto"/>
                <w:vertAlign w:val="baseline"/>
              </w:rPr>
            </w:pPr>
            <w:r>
              <w:rPr>
                <w:rFonts w:hint="eastAsia" w:ascii="宋体" w:hAnsi="宋体" w:eastAsia="宋体" w:cs="宋体"/>
                <w:b/>
                <w:bCs/>
                <w:snapToGrid/>
                <w:color w:val="0C0C0C"/>
                <w:spacing w:val="0"/>
                <w:w w:val="100"/>
                <w:position w:val="0"/>
                <w:sz w:val="24"/>
                <w:szCs w:val="24"/>
                <w:u w:val="none" w:color="auto"/>
                <w:vertAlign w:val="baseline"/>
              </w:rPr>
              <w:t>一、企业基本信息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企业名称</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组织机构代码</w:t>
            </w:r>
          </w:p>
        </w:tc>
        <w:tc>
          <w:tcPr>
            <w:tcW w:w="20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c>
          <w:tcPr>
            <w:tcW w:w="22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邮编</w:t>
            </w:r>
          </w:p>
        </w:tc>
        <w:tc>
          <w:tcPr>
            <w:tcW w:w="23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详细地址</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法定代表人</w:t>
            </w:r>
          </w:p>
        </w:tc>
        <w:tc>
          <w:tcPr>
            <w:tcW w:w="20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c>
          <w:tcPr>
            <w:tcW w:w="22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法人代表联系电话</w:t>
            </w:r>
          </w:p>
        </w:tc>
        <w:tc>
          <w:tcPr>
            <w:tcW w:w="23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联系部门</w:t>
            </w:r>
          </w:p>
        </w:tc>
        <w:tc>
          <w:tcPr>
            <w:tcW w:w="20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c>
          <w:tcPr>
            <w:tcW w:w="22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联系人</w:t>
            </w:r>
          </w:p>
        </w:tc>
        <w:tc>
          <w:tcPr>
            <w:tcW w:w="23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联系电话</w:t>
            </w:r>
          </w:p>
        </w:tc>
        <w:tc>
          <w:tcPr>
            <w:tcW w:w="20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c>
          <w:tcPr>
            <w:tcW w:w="22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传真</w:t>
            </w:r>
          </w:p>
        </w:tc>
        <w:tc>
          <w:tcPr>
            <w:tcW w:w="23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手机</w:t>
            </w:r>
          </w:p>
        </w:tc>
        <w:tc>
          <w:tcPr>
            <w:tcW w:w="20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c>
          <w:tcPr>
            <w:tcW w:w="22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电子邮箱</w:t>
            </w:r>
          </w:p>
        </w:tc>
        <w:tc>
          <w:tcPr>
            <w:tcW w:w="23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auto"/>
                <w:spacing w:val="0"/>
                <w:w w:val="100"/>
                <w:position w:val="0"/>
                <w:sz w:val="24"/>
                <w:szCs w:val="24"/>
                <w:u w:val="none" w:color="auto"/>
                <w:vertAlign w:val="baseline"/>
              </w:rPr>
              <w:t>所属行业</w:t>
            </w:r>
          </w:p>
        </w:tc>
        <w:tc>
          <w:tcPr>
            <w:tcW w:w="20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c>
          <w:tcPr>
            <w:tcW w:w="22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auto"/>
                <w:spacing w:val="0"/>
                <w:w w:val="100"/>
                <w:position w:val="0"/>
                <w:sz w:val="24"/>
                <w:szCs w:val="24"/>
                <w:u w:val="none" w:color="auto"/>
                <w:vertAlign w:val="baseline"/>
              </w:rPr>
              <w:t>企业人数</w:t>
            </w:r>
          </w:p>
        </w:tc>
        <w:tc>
          <w:tcPr>
            <w:tcW w:w="23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企业类型</w:t>
            </w:r>
          </w:p>
        </w:tc>
        <w:tc>
          <w:tcPr>
            <w:tcW w:w="666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内资（</w:t>
            </w:r>
            <w:r>
              <w:rPr>
                <w:rFonts w:hint="eastAsia" w:ascii="宋体" w:hAnsi="宋体" w:eastAsia="宋体" w:cs="宋体"/>
                <w:snapToGrid/>
                <w:color w:val="0C0C0C"/>
                <w:spacing w:val="0"/>
                <w:w w:val="100"/>
                <w:position w:val="0"/>
                <w:sz w:val="24"/>
                <w:szCs w:val="24"/>
                <w:u w:val="none" w:color="auto"/>
                <w:vertAlign w:val="baseline"/>
                <w:lang w:bidi="ar-SA"/>
              </w:rPr>
              <w:t>☐</w:t>
            </w:r>
            <w:r>
              <w:rPr>
                <w:rFonts w:hint="eastAsia" w:ascii="宋体" w:hAnsi="宋体" w:eastAsia="宋体" w:cs="宋体"/>
                <w:snapToGrid/>
                <w:color w:val="0C0C0C"/>
                <w:spacing w:val="0"/>
                <w:w w:val="100"/>
                <w:position w:val="0"/>
                <w:sz w:val="24"/>
                <w:szCs w:val="24"/>
                <w:u w:val="none" w:color="auto"/>
                <w:vertAlign w:val="baseline"/>
              </w:rPr>
              <w:t>国有</w:t>
            </w:r>
            <w:r>
              <w:rPr>
                <w:rFonts w:hint="eastAsia" w:ascii="宋体" w:hAnsi="宋体" w:eastAsia="宋体" w:cs="宋体"/>
                <w:snapToGrid/>
                <w:color w:val="0C0C0C"/>
                <w:spacing w:val="0"/>
                <w:w w:val="100"/>
                <w:position w:val="0"/>
                <w:sz w:val="24"/>
                <w:szCs w:val="24"/>
                <w:u w:val="none" w:color="auto"/>
                <w:vertAlign w:val="baseline"/>
                <w:lang w:bidi="ar-SA"/>
              </w:rPr>
              <w:t>☐</w:t>
            </w:r>
            <w:r>
              <w:rPr>
                <w:rFonts w:hint="eastAsia" w:ascii="宋体" w:hAnsi="宋体" w:eastAsia="宋体" w:cs="宋体"/>
                <w:snapToGrid/>
                <w:color w:val="0C0C0C"/>
                <w:spacing w:val="0"/>
                <w:w w:val="100"/>
                <w:position w:val="0"/>
                <w:sz w:val="24"/>
                <w:szCs w:val="24"/>
                <w:u w:val="none" w:color="auto"/>
                <w:vertAlign w:val="baseline"/>
              </w:rPr>
              <w:t>集体</w:t>
            </w:r>
            <w:r>
              <w:rPr>
                <w:rFonts w:hint="eastAsia" w:ascii="宋体" w:hAnsi="宋体" w:eastAsia="宋体" w:cs="宋体"/>
                <w:snapToGrid/>
                <w:color w:val="0C0C0C"/>
                <w:spacing w:val="0"/>
                <w:w w:val="100"/>
                <w:position w:val="0"/>
                <w:sz w:val="24"/>
                <w:szCs w:val="24"/>
                <w:u w:val="none" w:color="auto"/>
                <w:vertAlign w:val="baseline"/>
                <w:lang w:bidi="ar-SA"/>
              </w:rPr>
              <w:t>☐</w:t>
            </w:r>
            <w:r>
              <w:rPr>
                <w:rFonts w:hint="eastAsia" w:ascii="宋体" w:hAnsi="宋体" w:eastAsia="宋体" w:cs="宋体"/>
                <w:snapToGrid/>
                <w:color w:val="0C0C0C"/>
                <w:spacing w:val="0"/>
                <w:w w:val="100"/>
                <w:position w:val="0"/>
                <w:sz w:val="24"/>
                <w:szCs w:val="24"/>
                <w:u w:val="none" w:color="auto"/>
                <w:vertAlign w:val="baseline"/>
              </w:rPr>
              <w:t>民营）</w:t>
            </w:r>
            <w:r>
              <w:rPr>
                <w:rFonts w:hint="eastAsia" w:ascii="宋体" w:hAnsi="宋体" w:eastAsia="宋体" w:cs="宋体"/>
                <w:snapToGrid/>
                <w:color w:val="0C0C0C"/>
                <w:spacing w:val="0"/>
                <w:w w:val="100"/>
                <w:position w:val="0"/>
                <w:sz w:val="24"/>
                <w:szCs w:val="24"/>
                <w:u w:val="none" w:color="auto"/>
                <w:vertAlign w:val="baseline"/>
                <w:lang w:bidi="ar-SA"/>
              </w:rPr>
              <w:t>☐</w:t>
            </w:r>
            <w:r>
              <w:rPr>
                <w:rFonts w:hint="eastAsia" w:ascii="宋体" w:hAnsi="宋体" w:eastAsia="宋体" w:cs="宋体"/>
                <w:snapToGrid/>
                <w:color w:val="0C0C0C"/>
                <w:spacing w:val="0"/>
                <w:w w:val="100"/>
                <w:position w:val="0"/>
                <w:sz w:val="24"/>
                <w:szCs w:val="24"/>
                <w:u w:val="none" w:color="auto"/>
                <w:vertAlign w:val="baseline"/>
              </w:rPr>
              <w:t>中外合资</w:t>
            </w:r>
            <w:r>
              <w:rPr>
                <w:rFonts w:hint="eastAsia" w:ascii="宋体" w:hAnsi="宋体" w:eastAsia="宋体" w:cs="宋体"/>
                <w:snapToGrid/>
                <w:color w:val="0C0C0C"/>
                <w:spacing w:val="0"/>
                <w:w w:val="100"/>
                <w:position w:val="0"/>
                <w:sz w:val="24"/>
                <w:szCs w:val="24"/>
                <w:u w:val="none" w:color="auto"/>
                <w:vertAlign w:val="baseline"/>
                <w:lang w:bidi="ar-SA"/>
              </w:rPr>
              <w:t>☐</w:t>
            </w:r>
            <w:r>
              <w:rPr>
                <w:rFonts w:hint="eastAsia" w:ascii="宋体" w:hAnsi="宋体" w:eastAsia="宋体" w:cs="宋体"/>
                <w:snapToGrid/>
                <w:color w:val="0C0C0C"/>
                <w:spacing w:val="0"/>
                <w:w w:val="100"/>
                <w:position w:val="0"/>
                <w:sz w:val="24"/>
                <w:szCs w:val="24"/>
                <w:u w:val="none" w:color="auto"/>
                <w:vertAlign w:val="baseline"/>
              </w:rPr>
              <w:t>港澳台</w:t>
            </w:r>
            <w:r>
              <w:rPr>
                <w:rFonts w:hint="eastAsia" w:ascii="宋体" w:hAnsi="宋体" w:eastAsia="宋体" w:cs="宋体"/>
                <w:snapToGrid/>
                <w:color w:val="0C0C0C"/>
                <w:spacing w:val="0"/>
                <w:w w:val="100"/>
                <w:position w:val="0"/>
                <w:sz w:val="24"/>
                <w:szCs w:val="24"/>
                <w:u w:val="none" w:color="auto"/>
                <w:vertAlign w:val="baseline"/>
                <w:lang w:bidi="ar-SA"/>
              </w:rPr>
              <w:t>☐</w:t>
            </w:r>
            <w:r>
              <w:rPr>
                <w:rFonts w:hint="eastAsia" w:ascii="宋体" w:hAnsi="宋体" w:eastAsia="宋体" w:cs="宋体"/>
                <w:snapToGrid/>
                <w:color w:val="0C0C0C"/>
                <w:spacing w:val="0"/>
                <w:w w:val="100"/>
                <w:position w:val="0"/>
                <w:sz w:val="24"/>
                <w:szCs w:val="24"/>
                <w:u w:val="none" w:color="auto"/>
                <w:vertAlign w:val="baseline"/>
              </w:rPr>
              <w:t>外商独资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b/>
                <w:bCs/>
                <w:snapToGrid/>
                <w:color w:val="0C0C0C"/>
                <w:spacing w:val="0"/>
                <w:w w:val="100"/>
                <w:position w:val="0"/>
                <w:sz w:val="24"/>
                <w:szCs w:val="24"/>
                <w:u w:val="none" w:color="auto"/>
                <w:vertAlign w:val="baseline"/>
              </w:rPr>
            </w:pPr>
            <w:r>
              <w:rPr>
                <w:rFonts w:hint="eastAsia" w:ascii="宋体" w:hAnsi="宋体" w:eastAsia="宋体" w:cs="宋体"/>
                <w:b/>
                <w:bCs/>
                <w:snapToGrid/>
                <w:color w:val="0C0C0C"/>
                <w:spacing w:val="0"/>
                <w:w w:val="100"/>
                <w:position w:val="0"/>
                <w:sz w:val="24"/>
                <w:szCs w:val="24"/>
                <w:u w:val="none" w:color="auto"/>
                <w:vertAlign w:val="baseline"/>
              </w:rPr>
              <w:t>二、企业水效指标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60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主要产品</w:t>
            </w:r>
          </w:p>
        </w:tc>
        <w:tc>
          <w:tcPr>
            <w:tcW w:w="5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60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主要水源</w:t>
            </w:r>
          </w:p>
        </w:tc>
        <w:tc>
          <w:tcPr>
            <w:tcW w:w="5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singl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60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20</w:t>
            </w:r>
            <w:r>
              <w:rPr>
                <w:rFonts w:hint="eastAsia" w:ascii="宋体" w:hAnsi="宋体" w:eastAsia="宋体" w:cs="宋体"/>
                <w:snapToGrid/>
                <w:color w:val="0C0C0C"/>
                <w:spacing w:val="0"/>
                <w:w w:val="100"/>
                <w:position w:val="0"/>
                <w:sz w:val="24"/>
                <w:szCs w:val="24"/>
                <w:u w:val="none" w:color="auto"/>
                <w:vertAlign w:val="baseline"/>
                <w:lang w:val="en-US" w:eastAsia="zh-CN"/>
              </w:rPr>
              <w:t>22</w:t>
            </w:r>
            <w:r>
              <w:rPr>
                <w:rFonts w:hint="eastAsia" w:ascii="宋体" w:hAnsi="宋体" w:eastAsia="宋体" w:cs="宋体"/>
                <w:snapToGrid/>
                <w:color w:val="0C0C0C"/>
                <w:spacing w:val="0"/>
                <w:w w:val="100"/>
                <w:position w:val="0"/>
                <w:sz w:val="24"/>
                <w:szCs w:val="24"/>
                <w:u w:val="none" w:color="auto"/>
                <w:vertAlign w:val="baseline"/>
              </w:rPr>
              <w:t>年总产值（万元）</w:t>
            </w:r>
          </w:p>
        </w:tc>
        <w:tc>
          <w:tcPr>
            <w:tcW w:w="5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60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20</w:t>
            </w:r>
            <w:r>
              <w:rPr>
                <w:rFonts w:hint="eastAsia" w:ascii="宋体" w:hAnsi="宋体" w:eastAsia="宋体" w:cs="宋体"/>
                <w:snapToGrid/>
                <w:color w:val="0C0C0C"/>
                <w:spacing w:val="0"/>
                <w:w w:val="100"/>
                <w:position w:val="0"/>
                <w:sz w:val="24"/>
                <w:szCs w:val="24"/>
                <w:u w:val="none" w:color="auto"/>
                <w:vertAlign w:val="baseline"/>
                <w:lang w:val="en-US" w:eastAsia="zh-CN"/>
              </w:rPr>
              <w:t>22</w:t>
            </w:r>
            <w:r>
              <w:rPr>
                <w:rFonts w:hint="eastAsia" w:ascii="宋体" w:hAnsi="宋体" w:eastAsia="宋体" w:cs="宋体"/>
                <w:snapToGrid/>
                <w:color w:val="0C0C0C"/>
                <w:spacing w:val="0"/>
                <w:w w:val="100"/>
                <w:position w:val="0"/>
                <w:sz w:val="24"/>
                <w:szCs w:val="24"/>
                <w:u w:val="none" w:color="auto"/>
                <w:vertAlign w:val="baseline"/>
              </w:rPr>
              <w:t>年取水量（m</w:t>
            </w:r>
            <w:r>
              <w:rPr>
                <w:rFonts w:hint="eastAsia" w:ascii="宋体" w:hAnsi="宋体" w:eastAsia="宋体" w:cs="宋体"/>
                <w:snapToGrid/>
                <w:color w:val="0C0C0C"/>
                <w:spacing w:val="0"/>
                <w:w w:val="100"/>
                <w:position w:val="0"/>
                <w:sz w:val="24"/>
                <w:szCs w:val="24"/>
                <w:u w:val="none" w:color="auto"/>
                <w:vertAlign w:val="superscript"/>
              </w:rPr>
              <w:t>3</w:t>
            </w:r>
            <w:r>
              <w:rPr>
                <w:rFonts w:hint="eastAsia" w:ascii="宋体" w:hAnsi="宋体" w:eastAsia="宋体" w:cs="宋体"/>
                <w:snapToGrid/>
                <w:color w:val="0C0C0C"/>
                <w:spacing w:val="0"/>
                <w:w w:val="100"/>
                <w:position w:val="0"/>
                <w:sz w:val="24"/>
                <w:szCs w:val="24"/>
                <w:u w:val="none" w:color="auto"/>
                <w:vertAlign w:val="baseline"/>
              </w:rPr>
              <w:t>）</w:t>
            </w:r>
          </w:p>
        </w:tc>
        <w:tc>
          <w:tcPr>
            <w:tcW w:w="5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近三年企业单位产品用水量指标（请注明单位）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20</w:t>
            </w:r>
            <w:r>
              <w:rPr>
                <w:rFonts w:hint="eastAsia" w:ascii="宋体" w:hAnsi="宋体" w:eastAsia="宋体" w:cs="宋体"/>
                <w:snapToGrid/>
                <w:color w:val="0C0C0C"/>
                <w:spacing w:val="0"/>
                <w:w w:val="100"/>
                <w:position w:val="0"/>
                <w:sz w:val="24"/>
                <w:szCs w:val="24"/>
                <w:u w:val="none" w:color="auto"/>
                <w:vertAlign w:val="baseline"/>
                <w:lang w:val="en-US" w:eastAsia="zh-CN"/>
              </w:rPr>
              <w:t>20</w:t>
            </w:r>
            <w:r>
              <w:rPr>
                <w:rFonts w:hint="eastAsia" w:ascii="宋体" w:hAnsi="宋体" w:eastAsia="宋体" w:cs="宋体"/>
                <w:snapToGrid/>
                <w:color w:val="0C0C0C"/>
                <w:spacing w:val="0"/>
                <w:w w:val="100"/>
                <w:position w:val="0"/>
                <w:sz w:val="24"/>
                <w:szCs w:val="24"/>
                <w:u w:val="none" w:color="auto"/>
                <w:vertAlign w:val="baseline"/>
              </w:rPr>
              <w:t>年</w:t>
            </w:r>
          </w:p>
        </w:tc>
        <w:tc>
          <w:tcPr>
            <w:tcW w:w="5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napToGrid/>
                <w:color w:val="auto"/>
                <w:spacing w:val="0"/>
                <w:w w:val="100"/>
                <w:position w:val="0"/>
                <w:sz w:val="24"/>
                <w:szCs w:val="24"/>
                <w:u w:val="none" w:color="auto"/>
                <w:vertAlign w:val="baseli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20</w:t>
            </w:r>
            <w:r>
              <w:rPr>
                <w:rFonts w:hint="eastAsia" w:ascii="宋体" w:hAnsi="宋体" w:eastAsia="宋体" w:cs="宋体"/>
                <w:snapToGrid/>
                <w:color w:val="0C0C0C"/>
                <w:spacing w:val="0"/>
                <w:w w:val="100"/>
                <w:position w:val="0"/>
                <w:sz w:val="24"/>
                <w:szCs w:val="24"/>
                <w:u w:val="none" w:color="auto"/>
                <w:vertAlign w:val="baseline"/>
                <w:lang w:val="en-US" w:eastAsia="zh-CN"/>
              </w:rPr>
              <w:t>21</w:t>
            </w:r>
            <w:r>
              <w:rPr>
                <w:rFonts w:hint="eastAsia" w:ascii="宋体" w:hAnsi="宋体" w:eastAsia="宋体" w:cs="宋体"/>
                <w:snapToGrid/>
                <w:color w:val="0C0C0C"/>
                <w:spacing w:val="0"/>
                <w:w w:val="100"/>
                <w:position w:val="0"/>
                <w:sz w:val="24"/>
                <w:szCs w:val="24"/>
                <w:u w:val="none" w:color="auto"/>
                <w:vertAlign w:val="baseline"/>
              </w:rPr>
              <w:t>年</w:t>
            </w:r>
          </w:p>
        </w:tc>
        <w:tc>
          <w:tcPr>
            <w:tcW w:w="5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napToGrid/>
                <w:color w:val="auto"/>
                <w:spacing w:val="0"/>
                <w:w w:val="100"/>
                <w:position w:val="0"/>
                <w:sz w:val="24"/>
                <w:szCs w:val="24"/>
                <w:u w:val="none" w:color="auto"/>
                <w:vertAlign w:val="baseli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20</w:t>
            </w:r>
            <w:r>
              <w:rPr>
                <w:rFonts w:hint="eastAsia" w:ascii="宋体" w:hAnsi="宋体" w:eastAsia="宋体" w:cs="宋体"/>
                <w:snapToGrid/>
                <w:color w:val="0C0C0C"/>
                <w:spacing w:val="0"/>
                <w:w w:val="100"/>
                <w:position w:val="0"/>
                <w:sz w:val="24"/>
                <w:szCs w:val="24"/>
                <w:u w:val="none" w:color="auto"/>
                <w:vertAlign w:val="baseline"/>
                <w:lang w:val="en-US" w:eastAsia="zh-CN"/>
              </w:rPr>
              <w:t>22</w:t>
            </w:r>
            <w:bookmarkStart w:id="0" w:name="_GoBack"/>
            <w:bookmarkEnd w:id="0"/>
            <w:r>
              <w:rPr>
                <w:rFonts w:hint="eastAsia" w:ascii="宋体" w:hAnsi="宋体" w:eastAsia="宋体" w:cs="宋体"/>
                <w:snapToGrid/>
                <w:color w:val="0C0C0C"/>
                <w:spacing w:val="0"/>
                <w:w w:val="100"/>
                <w:position w:val="0"/>
                <w:sz w:val="24"/>
                <w:szCs w:val="24"/>
                <w:u w:val="none" w:color="auto"/>
                <w:vertAlign w:val="baseline"/>
              </w:rPr>
              <w:t>年</w:t>
            </w:r>
          </w:p>
        </w:tc>
        <w:tc>
          <w:tcPr>
            <w:tcW w:w="5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材料真实性承诺：</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我单位郑重承诺：本次申报省级节水标杆企业所提交的相关数据和信息均真实、有效，愿接受并积极配合主管部门的监督抽查和核验。如有违反，愿承担由此产生的相应责任。</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0" w:firstLineChars="200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单位负责人（签字）：</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 xml:space="preserve">                                     （申报单位公章）</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 xml:space="preserve">                                       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240"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推荐单位意见：</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宋体" w:hAnsi="宋体" w:eastAsia="宋体" w:cs="宋体"/>
                <w:snapToGrid/>
                <w:color w:val="0C0C0C"/>
                <w:spacing w:val="0"/>
                <w:w w:val="100"/>
                <w:position w:val="0"/>
                <w:sz w:val="24"/>
                <w:szCs w:val="24"/>
                <w:u w:val="none" w:color="auto"/>
                <w:vertAlign w:val="baseline"/>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1440" w:firstLineChars="600"/>
              <w:jc w:val="left"/>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（水利部门公章）             （工信部门公章）</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snapToGrid/>
                <w:color w:val="0C0C0C"/>
                <w:spacing w:val="0"/>
                <w:w w:val="100"/>
                <w:position w:val="0"/>
                <w:sz w:val="24"/>
                <w:szCs w:val="24"/>
                <w:u w:val="none" w:color="auto"/>
                <w:vertAlign w:val="baseline"/>
              </w:rPr>
            </w:pPr>
            <w:r>
              <w:rPr>
                <w:rFonts w:hint="eastAsia" w:ascii="宋体" w:hAnsi="宋体" w:eastAsia="宋体" w:cs="宋体"/>
                <w:snapToGrid/>
                <w:color w:val="0C0C0C"/>
                <w:spacing w:val="0"/>
                <w:w w:val="100"/>
                <w:position w:val="0"/>
                <w:sz w:val="24"/>
                <w:szCs w:val="24"/>
                <w:u w:val="none" w:color="auto"/>
                <w:vertAlign w:val="baseline"/>
              </w:rPr>
              <w:t xml:space="preserve">                                       年    月    日</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Times New Roman" w:eastAsia="方正小标宋简体" w:cs="Times New Roman"/>
          <w:snapToGrid/>
          <w:color w:val="auto"/>
          <w:spacing w:val="0"/>
          <w:w w:val="100"/>
          <w:position w:val="0"/>
          <w:sz w:val="44"/>
          <w:szCs w:val="32"/>
          <w:u w:val="none" w:color="auto"/>
          <w:vertAlign w:val="baseline"/>
        </w:rPr>
      </w:pPr>
      <w:r>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t>企业水效分析报告（格式）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黑体" w:hAnsi="Times New Roman" w:eastAsia="黑体" w:cs="Times New Roman"/>
          <w:snapToGrid/>
          <w:color w:val="auto"/>
          <w:spacing w:val="0"/>
          <w:w w:val="100"/>
          <w:position w:val="0"/>
          <w:sz w:val="32"/>
          <w:szCs w:val="32"/>
          <w:u w:val="none" w:color="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黑体" w:hAnsi="Times New Roman" w:eastAsia="黑体" w:cs="Times New Roman"/>
          <w:snapToGrid/>
          <w:color w:val="auto"/>
          <w:spacing w:val="0"/>
          <w:w w:val="100"/>
          <w:position w:val="0"/>
          <w:sz w:val="32"/>
          <w:szCs w:val="32"/>
          <w:u w:val="none" w:color="auto"/>
          <w:vertAlign w:val="baseline"/>
        </w:rPr>
      </w:pPr>
      <w:r>
        <w:rPr>
          <w:rFonts w:hint="eastAsia" w:ascii="黑体" w:hAnsi="Times New Roman" w:eastAsia="黑体" w:cs="Times New Roman"/>
          <w:snapToGrid/>
          <w:color w:val="auto"/>
          <w:spacing w:val="0"/>
          <w:w w:val="100"/>
          <w:position w:val="0"/>
          <w:sz w:val="32"/>
          <w:szCs w:val="32"/>
          <w:u w:val="none" w:color="auto"/>
          <w:vertAlign w:val="baseline"/>
        </w:rPr>
        <w:t>一、基本情况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（一）企业基本情况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1</w:t>
      </w:r>
      <w:r>
        <w:rPr>
          <w:rFonts w:hint="eastAsia" w:ascii="Times New Roman" w:hAnsi="Times New Roman" w:eastAsia="仿宋_GB2312" w:cs="Times New Roman"/>
          <w:snapToGrid/>
          <w:color w:val="auto"/>
          <w:spacing w:val="0"/>
          <w:w w:val="100"/>
          <w:position w:val="0"/>
          <w:sz w:val="32"/>
          <w:szCs w:val="32"/>
          <w:u w:val="none" w:color="auto"/>
          <w:vertAlign w:val="baseline"/>
        </w:rPr>
        <w:t>．企业规模：包括企业地理位置（流域）、近三年的生产规模、产品结构、历年产量产值、组织结构、员工人数；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2</w:t>
      </w:r>
      <w:r>
        <w:rPr>
          <w:rFonts w:hint="eastAsia" w:ascii="Times New Roman" w:hAnsi="Times New Roman" w:eastAsia="仿宋_GB2312" w:cs="Times New Roman"/>
          <w:snapToGrid/>
          <w:color w:val="auto"/>
          <w:spacing w:val="0"/>
          <w:w w:val="100"/>
          <w:position w:val="0"/>
          <w:sz w:val="32"/>
          <w:szCs w:val="32"/>
          <w:u w:val="none" w:color="auto"/>
          <w:vertAlign w:val="baseline"/>
        </w:rPr>
        <w:t>．生产情况：包括企业生产的主要原材料消耗、能源消耗、主要用水环节和用水设备等；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3</w:t>
      </w:r>
      <w:r>
        <w:rPr>
          <w:rFonts w:hint="eastAsia" w:ascii="Times New Roman" w:hAnsi="Times New Roman" w:eastAsia="仿宋_GB2312" w:cs="Times New Roman"/>
          <w:snapToGrid/>
          <w:color w:val="auto"/>
          <w:spacing w:val="0"/>
          <w:w w:val="100"/>
          <w:position w:val="0"/>
          <w:sz w:val="32"/>
          <w:szCs w:val="32"/>
          <w:u w:val="none" w:color="auto"/>
          <w:vertAlign w:val="baseline"/>
        </w:rPr>
        <w:t>．取用水情况：包括企业的取水水源（常规水资源、非常规水资源）、取水量、排水量、用水计量设备配备、用水计量、水质数据监测等情况。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（二）申请省级节水标杆企业的相关生产情况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黑体" w:hAnsi="Times New Roman" w:eastAsia="黑体" w:cs="Times New Roman"/>
          <w:snapToGrid/>
          <w:color w:val="auto"/>
          <w:spacing w:val="0"/>
          <w:w w:val="100"/>
          <w:position w:val="0"/>
          <w:sz w:val="32"/>
          <w:szCs w:val="32"/>
          <w:u w:val="none" w:color="auto"/>
          <w:vertAlign w:val="baseline"/>
        </w:rPr>
      </w:pPr>
      <w:r>
        <w:rPr>
          <w:rFonts w:hint="eastAsia" w:ascii="黑体" w:hAnsi="Times New Roman" w:eastAsia="黑体" w:cs="Times New Roman"/>
          <w:snapToGrid/>
          <w:color w:val="auto"/>
          <w:spacing w:val="0"/>
          <w:w w:val="100"/>
          <w:position w:val="0"/>
          <w:sz w:val="32"/>
          <w:szCs w:val="32"/>
          <w:u w:val="none" w:color="auto"/>
          <w:vertAlign w:val="baseline"/>
        </w:rPr>
        <w:t>二、工艺及技术水平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（一）主要工艺流程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包括企业生产主要工艺流程，包括工艺流程图等。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（二）主要用水设备规模及其技术水平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包括企业循环水系统、冷却塔、换热器、锅炉、制冷、制氧、软化处理、污水处理等主要用水设备的设备配置、服务区域、运行情况、处理能力等，以及主要用水设备的技术水平情况。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（三）与国内外同类企业相比在节水方面的突出做法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采取的先进节水工艺技术和装备情况、节水技术改造项目情况、节水管理措施等。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黑体" w:hAnsi="Times New Roman" w:eastAsia="黑体" w:cs="Times New Roman"/>
          <w:snapToGrid/>
          <w:color w:val="auto"/>
          <w:spacing w:val="0"/>
          <w:w w:val="100"/>
          <w:position w:val="0"/>
          <w:sz w:val="32"/>
          <w:szCs w:val="32"/>
          <w:u w:val="none" w:color="auto"/>
          <w:vertAlign w:val="baseline"/>
        </w:rPr>
      </w:pPr>
      <w:r>
        <w:rPr>
          <w:rFonts w:hint="eastAsia" w:ascii="黑体" w:hAnsi="Times New Roman" w:eastAsia="黑体" w:cs="Times New Roman"/>
          <w:snapToGrid/>
          <w:color w:val="auto"/>
          <w:spacing w:val="0"/>
          <w:w w:val="100"/>
          <w:position w:val="0"/>
          <w:sz w:val="32"/>
          <w:szCs w:val="32"/>
          <w:u w:val="none" w:color="auto"/>
          <w:vertAlign w:val="baseline"/>
        </w:rPr>
        <w:t>三、取用水情况及水效指标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（一）主要用水工序、用水设备的取用水情况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包括企业生产主要用水工序、用水设备的取水量、排水量、水质情况等。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（二）近三年单位产品取水量及水效指标。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水效指标主要包括单位产品取水量、重复利用率、循环利用率、废水回用率、用水综合漏失率等。具体指标要求及报表格式依据以下标准：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 24789-2009 </w:t>
      </w:r>
      <w:r>
        <w:rPr>
          <w:rFonts w:hint="eastAsia" w:ascii="Times New Roman" w:hAnsi="Times New Roman" w:eastAsia="仿宋_GB2312" w:cs="Times New Roman"/>
          <w:snapToGrid/>
          <w:color w:val="auto"/>
          <w:spacing w:val="0"/>
          <w:w w:val="100"/>
          <w:position w:val="0"/>
          <w:sz w:val="32"/>
          <w:szCs w:val="32"/>
          <w:u w:val="none" w:color="auto"/>
          <w:vertAlign w:val="baseline"/>
        </w:rPr>
        <w:t>用水单位水计量器具配备和管理通则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7119-2018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节水型企业评价导则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GB/T 26925-2011 节水型企业 火力发电行业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26924-2011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钢铁行业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GB/T 34608-2017</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 铁矿采选行业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26923-2011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纺织染整行业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37832-2019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化纤长丝织造行业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26927-2011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造纸行业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26926-2011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石油炼制行业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34610-2017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炼焦行业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37759-2019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现代煤化工行业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32164-2015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乙烯行业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33232-2016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氧化铝行业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33233-2016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电解铝行业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37271-2018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氯碱行业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36895-2018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氮肥行业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GB/T 37332-2019</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 船舶行业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GB/T 38907-2020</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 多晶硅行业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32165-2015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味精行业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 xml:space="preserve">GB/T 35576-2017 </w:t>
      </w:r>
      <w:r>
        <w:rPr>
          <w:rFonts w:hint="eastAsia" w:ascii="Times New Roman" w:hAnsi="Times New Roman" w:eastAsia="仿宋_GB2312" w:cs="Times New Roman"/>
          <w:snapToGrid/>
          <w:color w:val="auto"/>
          <w:spacing w:val="0"/>
          <w:w w:val="100"/>
          <w:position w:val="0"/>
          <w:sz w:val="32"/>
          <w:szCs w:val="32"/>
          <w:u w:val="none" w:color="auto"/>
          <w:vertAlign w:val="baseline"/>
        </w:rPr>
        <w:t>节水型企业</w:t>
      </w: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rPr>
        <w:t>啤酒行业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jc w:val="both"/>
        <w:textAlignment w:val="auto"/>
        <w:outlineLvl w:val="9"/>
        <w:rPr>
          <w:rFonts w:hint="eastAsia" w:ascii="仿宋_GB2312" w:hAnsi="Times New Roman" w:eastAsia="仿宋_GB2312" w:cs="Times New Roman"/>
          <w:snapToGrid/>
          <w:color w:val="auto"/>
          <w:spacing w:val="0"/>
          <w:w w:val="100"/>
          <w:kern w:val="2"/>
          <w:position w:val="0"/>
          <w:sz w:val="30"/>
          <w:szCs w:val="32"/>
          <w:u w:val="none" w:color="auto"/>
          <w:vertAlign w:val="baseline"/>
          <w:lang w:val="en-US" w:eastAsia="zh-CN"/>
        </w:rPr>
      </w:pPr>
      <w:r>
        <w:rPr>
          <w:rFonts w:hint="eastAsia" w:ascii="Times New Roman" w:hAnsi="Times New Roman" w:eastAsia="仿宋_GB2312" w:cs="Times New Roman"/>
          <w:snapToGrid/>
          <w:color w:val="auto"/>
          <w:spacing w:val="0"/>
          <w:w w:val="100"/>
          <w:kern w:val="2"/>
          <w:position w:val="0"/>
          <w:sz w:val="32"/>
          <w:szCs w:val="32"/>
          <w:u w:val="none" w:color="auto"/>
          <w:vertAlign w:val="baseline"/>
          <w:lang w:val="en-US" w:eastAsia="zh-CN"/>
        </w:rPr>
        <w:t>DB61/T 943-2020</w:t>
      </w:r>
      <w:r>
        <w:rPr>
          <w:rFonts w:hint="eastAsia" w:ascii="仿宋_GB2312" w:hAnsi="Times New Roman" w:eastAsia="仿宋_GB2312" w:cs="Times New Roman"/>
          <w:snapToGrid/>
          <w:color w:val="auto"/>
          <w:spacing w:val="0"/>
          <w:w w:val="100"/>
          <w:kern w:val="2"/>
          <w:position w:val="0"/>
          <w:sz w:val="30"/>
          <w:szCs w:val="32"/>
          <w:u w:val="none" w:color="auto"/>
          <w:vertAlign w:val="baseline"/>
          <w:lang w:val="en-US" w:eastAsia="zh-CN"/>
        </w:rPr>
        <w:t xml:space="preserve"> </w:t>
      </w:r>
      <w:r>
        <w:rPr>
          <w:rFonts w:hint="eastAsia" w:ascii="Times New Roman" w:hAnsi="Times New Roman" w:eastAsia="仿宋_GB2312" w:cs="Times New Roman"/>
          <w:snapToGrid/>
          <w:color w:val="auto"/>
          <w:spacing w:val="0"/>
          <w:w w:val="100"/>
          <w:kern w:val="2"/>
          <w:position w:val="0"/>
          <w:sz w:val="32"/>
          <w:szCs w:val="32"/>
          <w:u w:val="none" w:color="auto"/>
          <w:vertAlign w:val="baseline"/>
          <w:lang w:val="en-US" w:eastAsia="zh-CN"/>
        </w:rPr>
        <w:t>陕西省行业用水定额</w:t>
      </w:r>
      <w:r>
        <w:rPr>
          <w:rFonts w:hint="eastAsia" w:ascii="仿宋_GB2312" w:hAnsi="Times New Roman" w:eastAsia="仿宋_GB2312" w:cs="Times New Roman"/>
          <w:snapToGrid/>
          <w:color w:val="auto"/>
          <w:spacing w:val="0"/>
          <w:w w:val="100"/>
          <w:kern w:val="2"/>
          <w:position w:val="0"/>
          <w:sz w:val="30"/>
          <w:szCs w:val="32"/>
          <w:u w:val="none" w:color="auto"/>
          <w:vertAlign w:val="baseline"/>
          <w:lang w:val="en-US" w:eastAsia="zh-CN"/>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jc w:val="both"/>
        <w:textAlignment w:val="auto"/>
        <w:outlineLvl w:val="9"/>
        <w:rPr>
          <w:rFonts w:hint="eastAsia" w:ascii="Times New Roman" w:hAnsi="Times New Roman" w:eastAsia="仿宋_GB2312" w:cs="Times New Roman"/>
          <w:snapToGrid/>
          <w:color w:val="auto"/>
          <w:spacing w:val="0"/>
          <w:w w:val="100"/>
          <w:kern w:val="2"/>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kern w:val="2"/>
          <w:position w:val="0"/>
          <w:sz w:val="32"/>
          <w:szCs w:val="32"/>
          <w:u w:val="none" w:color="auto"/>
          <w:vertAlign w:val="baseline"/>
          <w:lang w:val="en-US" w:eastAsia="zh-CN"/>
        </w:rPr>
        <w:t>注：（1）对《节水型企业 火力发电行业》等18个行业国标和《陕西省行业用水定额》重叠部分内容，需对照取更为严格的量化指标要求（已在企业自评表中列明要求）。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jc w:val="both"/>
        <w:textAlignment w:val="auto"/>
        <w:outlineLvl w:val="9"/>
        <w:rPr>
          <w:rFonts w:hint="eastAsia" w:ascii="Times New Roman" w:hAnsi="Times New Roman" w:eastAsia="仿宋_GB2312" w:cs="Times New Roman"/>
          <w:snapToGrid/>
          <w:color w:val="auto"/>
          <w:spacing w:val="0"/>
          <w:w w:val="100"/>
          <w:kern w:val="2"/>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kern w:val="2"/>
          <w:position w:val="0"/>
          <w:sz w:val="32"/>
          <w:szCs w:val="32"/>
          <w:u w:val="none" w:color="auto"/>
          <w:vertAlign w:val="baseline"/>
          <w:lang w:val="en-US" w:eastAsia="zh-CN"/>
        </w:rPr>
        <w:t>（2）其他行业节水型企业国家标准出台前，可先按照《陕西省行业用水定额》(DB61/T 943-2020)标准计算本企业的技术考核指标值，对照定额先进值和领跑值，用于节水标杆企业的技术指标评定执行。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黑体" w:hAnsi="Times New Roman" w:eastAsia="黑体" w:cs="Times New Roman"/>
          <w:snapToGrid/>
          <w:color w:val="auto"/>
          <w:spacing w:val="0"/>
          <w:w w:val="100"/>
          <w:position w:val="0"/>
          <w:sz w:val="32"/>
          <w:szCs w:val="32"/>
          <w:u w:val="none" w:color="auto"/>
          <w:vertAlign w:val="baseline"/>
        </w:rPr>
      </w:pPr>
      <w:r>
        <w:rPr>
          <w:rFonts w:hint="eastAsia" w:ascii="黑体" w:hAnsi="Times New Roman" w:eastAsia="黑体" w:cs="Times New Roman"/>
          <w:snapToGrid/>
          <w:color w:val="auto"/>
          <w:spacing w:val="0"/>
          <w:w w:val="100"/>
          <w:position w:val="0"/>
          <w:sz w:val="32"/>
          <w:szCs w:val="32"/>
          <w:u w:val="none" w:color="auto"/>
          <w:vertAlign w:val="baseline"/>
        </w:rPr>
        <w:t>四、水效提升经验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（一）企业节水管理经验。介绍企业在节水方面采取的管理措施、方法以及制定的相应管理制度以及取得的效果。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（二）企业节水技术改造经验。介绍企业采用的先进节水技术、装备和产品，采取的优化运行、水重复利用等方面的节水措施以及取得的节水效益。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（三）重大节水工程。介绍企业实施的重大节水技术改造工程，包括种类、数量以及因此取得的节水效益。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黑体" w:hAnsi="Times New Roman" w:eastAsia="黑体" w:cs="Times New Roman"/>
          <w:snapToGrid/>
          <w:color w:val="auto"/>
          <w:spacing w:val="0"/>
          <w:w w:val="100"/>
          <w:position w:val="0"/>
          <w:sz w:val="32"/>
          <w:szCs w:val="32"/>
          <w:u w:val="none" w:color="auto"/>
          <w:vertAlign w:val="baseline"/>
        </w:rPr>
      </w:pPr>
      <w:r>
        <w:rPr>
          <w:rFonts w:hint="eastAsia" w:ascii="黑体" w:hAnsi="Times New Roman" w:eastAsia="黑体" w:cs="Times New Roman"/>
          <w:snapToGrid/>
          <w:color w:val="auto"/>
          <w:spacing w:val="0"/>
          <w:w w:val="100"/>
          <w:position w:val="0"/>
          <w:sz w:val="32"/>
          <w:szCs w:val="32"/>
          <w:u w:val="none" w:color="auto"/>
          <w:vertAlign w:val="baseline"/>
        </w:rPr>
        <w:t>五、未来三年拟采取的主要水效提升措施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未来三年拟采取的主要水效提升措施，如节水技术改造项目（如水重复利用、非常规水利用等）、节水管理措施（如用水管理负责人制度、合同节水管理等）。请分项简述建设内容、预期投资和预期节水效果。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黑体" w:hAnsi="Times New Roman" w:eastAsia="黑体" w:cs="Times New Roman"/>
          <w:snapToGrid/>
          <w:color w:val="auto"/>
          <w:spacing w:val="0"/>
          <w:w w:val="100"/>
          <w:position w:val="0"/>
          <w:sz w:val="32"/>
          <w:szCs w:val="32"/>
          <w:u w:val="none" w:color="auto"/>
          <w:vertAlign w:val="baseline"/>
        </w:rPr>
      </w:pPr>
      <w:r>
        <w:rPr>
          <w:rFonts w:hint="eastAsia" w:ascii="黑体" w:hAnsi="Times New Roman" w:eastAsia="黑体" w:cs="Times New Roman"/>
          <w:snapToGrid/>
          <w:color w:val="auto"/>
          <w:spacing w:val="0"/>
          <w:w w:val="100"/>
          <w:position w:val="0"/>
          <w:sz w:val="32"/>
          <w:szCs w:val="32"/>
          <w:u w:val="none" w:color="auto"/>
          <w:vertAlign w:val="baseline"/>
        </w:rPr>
        <w:t>六、证明材料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此部分包括但不限于以下材料：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rPr>
        <w:t>（一）企业营业执照复印件，企业组织机构代码证复印件</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rPr>
        <w:t>（二）企业取水相关证明材料（取水许可证或用水合同协议、废水达标排放、近三年用水无超计划等。若地方部门并无相关证明，可由企业书面做出相应承诺）</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rPr>
        <w:t>（三）企业用水相关材料（企业用水记录、统计报表、费用账单、水计量器具台账</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、水计量器具一览表、技术档案</w:t>
      </w:r>
      <w:r>
        <w:rPr>
          <w:rFonts w:hint="eastAsia" w:ascii="Times New Roman" w:hAnsi="Times New Roman" w:eastAsia="仿宋_GB2312" w:cs="Times New Roman"/>
          <w:snapToGrid/>
          <w:color w:val="auto"/>
          <w:spacing w:val="0"/>
          <w:w w:val="100"/>
          <w:position w:val="0"/>
          <w:sz w:val="32"/>
          <w:szCs w:val="32"/>
          <w:u w:val="none" w:color="auto"/>
          <w:vertAlign w:val="baseline"/>
        </w:rPr>
        <w:t>、供排水管网图、维修及校验记录等</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相关材料</w:t>
      </w:r>
      <w:r>
        <w:rPr>
          <w:rFonts w:hint="eastAsia" w:ascii="Times New Roman" w:hAnsi="Times New Roman" w:eastAsia="仿宋_GB2312" w:cs="Times New Roman"/>
          <w:snapToGrid/>
          <w:color w:val="auto"/>
          <w:spacing w:val="0"/>
          <w:w w:val="100"/>
          <w:position w:val="0"/>
          <w:sz w:val="32"/>
          <w:szCs w:val="32"/>
          <w:u w:val="none" w:color="auto"/>
          <w:vertAlign w:val="baseline"/>
        </w:rPr>
        <w:t>）</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rPr>
        <w:t>（四）企业用水设备相关材料（用水设备设计图纸、设备配置情况、运行记录、节水设施现场图片资料等）</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（五）企业节水管理相关材料（水平衡测试报告、节水管理制度文件、节水规划和年度节水计划文件、节水统计报表等）。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2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六</w:t>
      </w:r>
      <w:r>
        <w:rPr>
          <w:rFonts w:hint="eastAsia" w:ascii="Times New Roman" w:hAnsi="Times New Roman" w:eastAsia="仿宋_GB2312" w:cs="Times New Roman"/>
          <w:snapToGrid/>
          <w:color w:val="auto"/>
          <w:spacing w:val="0"/>
          <w:w w:val="100"/>
          <w:position w:val="0"/>
          <w:sz w:val="32"/>
          <w:szCs w:val="32"/>
          <w:u w:val="none" w:color="auto"/>
          <w:vertAlign w:val="baseline"/>
        </w:rPr>
        <w:t>）企业废水排放符合标准要求相关材料（由所在地环保部门出具）。</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Times New Roman" w:eastAsia="方正小标宋简体" w:cs="Times New Roman"/>
          <w:snapToGrid/>
          <w:color w:val="auto"/>
          <w:spacing w:val="0"/>
          <w:w w:val="100"/>
          <w:position w:val="0"/>
          <w:sz w:val="44"/>
          <w:szCs w:val="32"/>
          <w:u w:val="none" w:color="auto"/>
          <w:vertAlign w:val="baseline"/>
        </w:rPr>
      </w:pPr>
      <w:r>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t>企业</w:t>
      </w:r>
      <w:r>
        <w:rPr>
          <w:rFonts w:hint="eastAsia" w:ascii="方正小标宋简体" w:hAnsi="Times New Roman" w:eastAsia="方正小标宋简体" w:cs="Times New Roman"/>
          <w:b/>
          <w:bCs/>
          <w:snapToGrid/>
          <w:color w:val="auto"/>
          <w:spacing w:val="0"/>
          <w:w w:val="100"/>
          <w:position w:val="0"/>
          <w:sz w:val="44"/>
          <w:szCs w:val="32"/>
          <w:u w:val="none" w:color="auto"/>
          <w:vertAlign w:val="baseline"/>
          <w:lang w:val="en-US" w:eastAsia="zh-CN"/>
        </w:rPr>
        <w:t>自评表</w:t>
      </w:r>
      <w:r>
        <w:rPr>
          <w:rFonts w:hint="eastAsia" w:ascii="方正小标宋简体" w:hAnsi="Times New Roman" w:eastAsia="方正小标宋简体" w:cs="Times New Roman"/>
          <w:b/>
          <w:bCs/>
          <w:snapToGrid/>
          <w:color w:val="auto"/>
          <w:spacing w:val="0"/>
          <w:w w:val="100"/>
          <w:position w:val="0"/>
          <w:sz w:val="44"/>
          <w:szCs w:val="32"/>
          <w:u w:val="none" w:color="auto"/>
          <w:vertAlign w:val="baseline"/>
        </w:rPr>
        <w:t>（格式）</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黑体" w:hAnsi="Times New Roman" w:eastAsia="黑体" w:cs="Times New Roman"/>
          <w:snapToGrid/>
          <w:color w:val="auto"/>
          <w:spacing w:val="0"/>
          <w:w w:val="100"/>
          <w:position w:val="0"/>
          <w:sz w:val="32"/>
          <w:szCs w:val="32"/>
          <w:u w:val="none" w:color="auto"/>
          <w:vertAlign w:val="baseline"/>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黑体" w:hAnsi="Times New Roman" w:eastAsia="黑体" w:cs="Times New Roman"/>
          <w:snapToGrid/>
          <w:color w:val="auto"/>
          <w:spacing w:val="0"/>
          <w:w w:val="100"/>
          <w:position w:val="0"/>
          <w:sz w:val="32"/>
          <w:szCs w:val="32"/>
          <w:u w:val="none" w:color="auto"/>
          <w:vertAlign w:val="baseline"/>
        </w:rPr>
      </w:pPr>
      <w:r>
        <w:rPr>
          <w:rFonts w:hint="eastAsia" w:ascii="黑体" w:hAnsi="Times New Roman" w:eastAsia="黑体" w:cs="Times New Roman"/>
          <w:snapToGrid/>
          <w:color w:val="auto"/>
          <w:spacing w:val="0"/>
          <w:w w:val="100"/>
          <w:position w:val="0"/>
          <w:sz w:val="32"/>
          <w:szCs w:val="32"/>
          <w:u w:val="none" w:color="auto"/>
          <w:vertAlign w:val="baseline"/>
        </w:rPr>
        <w:t>一、自评总则</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1</w:t>
      </w:r>
      <w:r>
        <w:rPr>
          <w:rFonts w:hint="eastAsia" w:ascii="Times New Roman" w:hAnsi="Times New Roman" w:eastAsia="仿宋_GB2312" w:cs="Times New Roman"/>
          <w:snapToGrid/>
          <w:color w:val="auto"/>
          <w:spacing w:val="0"/>
          <w:w w:val="100"/>
          <w:position w:val="0"/>
          <w:sz w:val="32"/>
          <w:szCs w:val="32"/>
          <w:u w:val="none" w:color="auto"/>
          <w:vertAlign w:val="baseline"/>
        </w:rPr>
        <w:t>．省级节水标杆企业自评表分为一票否决指标和量化评价指标。</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2</w:t>
      </w:r>
      <w:r>
        <w:rPr>
          <w:rFonts w:hint="eastAsia" w:ascii="Times New Roman" w:hAnsi="Times New Roman" w:eastAsia="仿宋_GB2312" w:cs="Times New Roman"/>
          <w:snapToGrid/>
          <w:color w:val="auto"/>
          <w:spacing w:val="0"/>
          <w:w w:val="100"/>
          <w:position w:val="0"/>
          <w:sz w:val="32"/>
          <w:szCs w:val="32"/>
          <w:u w:val="none" w:color="auto"/>
          <w:vertAlign w:val="baseline"/>
        </w:rPr>
        <w:t>．一票否决指标如有不满足项，取消该企业评选资格，不参加后续量化打分。</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3</w:t>
      </w:r>
      <w:r>
        <w:rPr>
          <w:rFonts w:hint="eastAsia" w:ascii="Times New Roman" w:hAnsi="Times New Roman" w:eastAsia="仿宋_GB2312" w:cs="Times New Roman"/>
          <w:snapToGrid/>
          <w:color w:val="auto"/>
          <w:spacing w:val="0"/>
          <w:w w:val="100"/>
          <w:position w:val="0"/>
          <w:sz w:val="32"/>
          <w:szCs w:val="32"/>
          <w:u w:val="none" w:color="auto"/>
          <w:vertAlign w:val="baseline"/>
        </w:rPr>
        <w:t>．量化评价分管理考核指标和技术考核指标。管理考核指标总分</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需</w:t>
      </w:r>
      <w:r>
        <w:rPr>
          <w:rFonts w:hint="eastAsia" w:ascii="Times New Roman" w:hAnsi="Times New Roman" w:eastAsia="仿宋_GB2312" w:cs="Times New Roman"/>
          <w:snapToGrid/>
          <w:color w:val="auto"/>
          <w:spacing w:val="0"/>
          <w:w w:val="100"/>
          <w:position w:val="0"/>
          <w:sz w:val="32"/>
          <w:szCs w:val="32"/>
          <w:u w:val="none" w:color="auto"/>
          <w:vertAlign w:val="baseline"/>
        </w:rPr>
        <w:t>达到</w:t>
      </w:r>
      <w:r>
        <w:rPr>
          <w:rFonts w:ascii="Times New Roman" w:hAnsi="Times New Roman" w:eastAsia="仿宋_GB2312" w:cs="Times New Roman"/>
          <w:snapToGrid/>
          <w:color w:val="auto"/>
          <w:spacing w:val="0"/>
          <w:w w:val="100"/>
          <w:position w:val="0"/>
          <w:sz w:val="32"/>
          <w:szCs w:val="32"/>
          <w:u w:val="none" w:color="auto"/>
          <w:vertAlign w:val="baseline"/>
        </w:rPr>
        <w:t>48</w:t>
      </w:r>
      <w:r>
        <w:rPr>
          <w:rFonts w:hint="eastAsia" w:ascii="Times New Roman" w:hAnsi="Times New Roman" w:eastAsia="仿宋_GB2312" w:cs="Times New Roman"/>
          <w:snapToGrid/>
          <w:color w:val="auto"/>
          <w:spacing w:val="0"/>
          <w:w w:val="100"/>
          <w:position w:val="0"/>
          <w:sz w:val="32"/>
          <w:szCs w:val="32"/>
          <w:u w:val="none" w:color="auto"/>
          <w:vertAlign w:val="baseline"/>
        </w:rPr>
        <w:t>分，且技术考核指标</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需</w:t>
      </w:r>
      <w:r>
        <w:rPr>
          <w:rFonts w:hint="eastAsia" w:ascii="Times New Roman" w:hAnsi="Times New Roman" w:eastAsia="仿宋_GB2312" w:cs="Times New Roman"/>
          <w:snapToGrid/>
          <w:color w:val="auto"/>
          <w:spacing w:val="0"/>
          <w:w w:val="100"/>
          <w:position w:val="0"/>
          <w:sz w:val="32"/>
          <w:szCs w:val="32"/>
          <w:u w:val="none" w:color="auto"/>
          <w:vertAlign w:val="baseline"/>
        </w:rPr>
        <w:t>达到最低限值。</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黑体" w:hAnsi="Times New Roman" w:eastAsia="黑体" w:cs="Times New Roman"/>
          <w:snapToGrid/>
          <w:color w:val="auto"/>
          <w:spacing w:val="0"/>
          <w:w w:val="100"/>
          <w:position w:val="0"/>
          <w:sz w:val="32"/>
          <w:szCs w:val="32"/>
          <w:u w:val="none" w:color="auto"/>
          <w:vertAlign w:val="baseline"/>
          <w:lang w:val="en-US" w:eastAsia="zh-CN"/>
        </w:rPr>
        <w:t>二</w:t>
      </w:r>
      <w:r>
        <w:rPr>
          <w:rFonts w:hint="eastAsia" w:ascii="黑体" w:hAnsi="Times New Roman" w:eastAsia="黑体" w:cs="Times New Roman"/>
          <w:snapToGrid/>
          <w:color w:val="auto"/>
          <w:spacing w:val="0"/>
          <w:w w:val="100"/>
          <w:position w:val="0"/>
          <w:sz w:val="32"/>
          <w:szCs w:val="32"/>
          <w:u w:val="none" w:color="auto"/>
          <w:vertAlign w:val="baseline"/>
        </w:rPr>
        <w:t>、一票否决指标</w:t>
      </w:r>
    </w:p>
    <w:tbl>
      <w:tblPr>
        <w:tblStyle w:val="4"/>
        <w:tblW w:w="889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4"/>
        <w:gridCol w:w="6660"/>
        <w:gridCol w:w="147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tblHead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序号</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评价指标</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评价情况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54"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有取用水资源的合法手续，取用水手续齐全（并附证明）</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是</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2</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近三年无超计划超定额用水（并附证明）</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是</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2"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近三年内未发生重大安全和环境事故，无违法行为，未被列入企业经营异常名录或严重违法失信企业名单</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是</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按照规定周期开展过水平衡测试或用水审计(水平衡测试报告水或用水审计报告应通过主管部门的专家评审文件或能够证明其效力的文件)</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是</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5</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未使用国家明令禁止或列入禁止、淘汰目录的用水设备和器具</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是</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6</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建立健全节水管理制度，各生产环节有配套的节水措施</w:t>
            </w:r>
            <w:r>
              <w:rPr>
                <w:rFonts w:hint="eastAsia" w:ascii="Times New Roman" w:hAnsi="Times New Roman" w:eastAsia="宋体" w:cs="Times New Roman"/>
                <w:snapToGrid/>
                <w:color w:val="auto"/>
                <w:spacing w:val="0"/>
                <w:w w:val="100"/>
                <w:position w:val="0"/>
                <w:sz w:val="24"/>
                <w:szCs w:val="24"/>
                <w:u w:val="none" w:color="auto"/>
                <w:vertAlign w:val="baseline"/>
                <w:lang w:eastAsia="zh-CN"/>
              </w:rPr>
              <w:t>；生活用水和生产用水分别计量付费；自制蒸汽单位应将供气锅炉蒸汽冷凝水回收至锅炉水补水，外购蒸汽单位应当充分利用蒸汽冷凝水，严禁直接排放；</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是</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7</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新建、改建、扩建项目时，节水设施应与主体工程同时设计、同时施工、同时投入运行，做到用水计划到位、节水目标到位、管水制度到位、节水措施到位（节水“三同时、四到位”制度）</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是</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55"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8</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水计量器具配备满足国家标准《用水单位水计量器具配备和管理通则》（</w:t>
            </w:r>
            <w:r>
              <w:rPr>
                <w:rFonts w:ascii="Times New Roman" w:hAnsi="Times New Roman" w:eastAsia="宋体" w:cs="Times New Roman"/>
                <w:snapToGrid/>
                <w:color w:val="auto"/>
                <w:spacing w:val="0"/>
                <w:w w:val="100"/>
                <w:position w:val="0"/>
                <w:sz w:val="24"/>
                <w:szCs w:val="24"/>
                <w:u w:val="none" w:color="auto"/>
                <w:vertAlign w:val="baseline"/>
              </w:rPr>
              <w:t>GB24789</w:t>
            </w:r>
            <w:r>
              <w:rPr>
                <w:rFonts w:hint="eastAsia" w:ascii="Times New Roman" w:hAnsi="Times New Roman" w:eastAsia="宋体" w:cs="Times New Roman"/>
                <w:snapToGrid/>
                <w:color w:val="auto"/>
                <w:spacing w:val="0"/>
                <w:w w:val="100"/>
                <w:position w:val="0"/>
                <w:sz w:val="24"/>
                <w:szCs w:val="24"/>
                <w:u w:val="none" w:color="auto"/>
                <w:vertAlign w:val="baseline"/>
              </w:rPr>
              <w:t>）要求</w:t>
            </w:r>
            <w:r>
              <w:rPr>
                <w:rFonts w:hint="eastAsia" w:ascii="Times New Roman" w:hAnsi="Times New Roman" w:eastAsia="宋体" w:cs="Times New Roman"/>
                <w:snapToGrid/>
                <w:color w:val="auto"/>
                <w:spacing w:val="0"/>
                <w:w w:val="100"/>
                <w:position w:val="0"/>
                <w:sz w:val="24"/>
                <w:szCs w:val="24"/>
                <w:u w:val="none" w:color="auto"/>
                <w:vertAlign w:val="baseline"/>
                <w:lang w:eastAsia="zh-CN"/>
              </w:rPr>
              <w:t>，</w:t>
            </w:r>
            <w:r>
              <w:rPr>
                <w:rFonts w:hint="eastAsia" w:ascii="Times New Roman" w:hAnsi="Times New Roman" w:eastAsia="宋体" w:cs="Times New Roman"/>
                <w:snapToGrid/>
                <w:color w:val="auto"/>
                <w:spacing w:val="0"/>
                <w:w w:val="100"/>
                <w:position w:val="0"/>
                <w:sz w:val="24"/>
                <w:szCs w:val="24"/>
                <w:u w:val="none" w:color="auto"/>
                <w:vertAlign w:val="baseline"/>
              </w:rPr>
              <w:t>依法检定或校准</w:t>
            </w:r>
            <w:r>
              <w:rPr>
                <w:rFonts w:ascii="Times New Roman" w:hAnsi="Times New Roman" w:eastAsia="宋体" w:cs="Times New Roman"/>
                <w:snapToGrid/>
                <w:color w:val="auto"/>
                <w:spacing w:val="0"/>
                <w:w w:val="100"/>
                <w:position w:val="0"/>
                <w:sz w:val="24"/>
                <w:szCs w:val="24"/>
                <w:u w:val="none" w:color="auto"/>
                <w:vertAlign w:val="baseline"/>
              </w:rPr>
              <w:t>（并附水计量器具规格型号清单）</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是</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55"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9</w:t>
            </w:r>
          </w:p>
        </w:tc>
        <w:tc>
          <w:tcPr>
            <w:tcW w:w="6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ascii="Times New Roman" w:hAnsi="Times New Roman" w:eastAsia="宋体" w:cs="Times New Roman"/>
                <w:snapToGrid/>
                <w:color w:val="auto"/>
                <w:spacing w:val="0"/>
                <w:w w:val="100"/>
                <w:position w:val="0"/>
                <w:sz w:val="24"/>
                <w:szCs w:val="24"/>
                <w:u w:val="none" w:color="auto"/>
                <w:vertAlign w:val="baseline"/>
              </w:rPr>
              <w:t>企业废水排放符合标准要求（并附地方环保证明或地方排污许可证）</w:t>
            </w:r>
            <w:r>
              <w:rPr>
                <w:rFonts w:hint="eastAsia" w:ascii="Times New Roman" w:hAnsi="Times New Roman" w:eastAsia="宋体" w:cs="Times New Roman"/>
                <w:snapToGrid/>
                <w:color w:val="auto"/>
                <w:spacing w:val="0"/>
                <w:w w:val="100"/>
                <w:position w:val="0"/>
                <w:sz w:val="24"/>
                <w:szCs w:val="24"/>
                <w:u w:val="none" w:color="auto"/>
                <w:vertAlign w:val="baseline"/>
                <w:lang w:eastAsia="zh-CN"/>
              </w:rPr>
              <w:t>；工艺用水及直接冷却水不直排，应回用或重复利用</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Segoe UI Symbol" w:hAnsi="Segoe UI Symbol" w:eastAsia="宋体" w:cs="Segoe UI Symbol"/>
                <w:snapToGrid/>
                <w:color w:val="auto"/>
                <w:spacing w:val="0"/>
                <w:w w:val="100"/>
                <w:position w:val="0"/>
                <w:sz w:val="24"/>
                <w:szCs w:val="24"/>
                <w:u w:val="none" w:color="auto"/>
                <w:vertAlign w:val="baseline"/>
                <w:lang w:bidi="ar-SA"/>
              </w:rPr>
            </w:pP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是</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default" w:ascii="Segoe UI Symbol" w:hAnsi="Segoe UI Symbol" w:eastAsia="宋体" w:cs="Segoe UI Symbol"/>
                <w:snapToGrid/>
                <w:color w:val="auto"/>
                <w:spacing w:val="0"/>
                <w:w w:val="100"/>
                <w:position w:val="0"/>
                <w:sz w:val="24"/>
                <w:szCs w:val="24"/>
                <w:u w:val="none" w:color="auto"/>
                <w:vertAlign w:val="baseline"/>
                <w:lang w:bidi="ar-SA"/>
              </w:rPr>
              <w:t>☐</w:t>
            </w:r>
            <w:r>
              <w:rPr>
                <w:rFonts w:hint="eastAsia" w:ascii="Times New Roman" w:hAnsi="Times New Roman" w:eastAsia="宋体" w:cs="Times New Roman"/>
                <w:snapToGrid/>
                <w:color w:val="auto"/>
                <w:spacing w:val="0"/>
                <w:w w:val="100"/>
                <w:position w:val="0"/>
                <w:sz w:val="24"/>
                <w:szCs w:val="24"/>
                <w:u w:val="none" w:color="auto"/>
                <w:vertAlign w:val="baseline"/>
              </w:rPr>
              <w:t>否</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黑体" w:hAnsi="Times New Roman" w:eastAsia="黑体" w:cs="Times New Roman"/>
          <w:snapToGrid/>
          <w:color w:val="auto"/>
          <w:spacing w:val="0"/>
          <w:w w:val="100"/>
          <w:position w:val="0"/>
          <w:sz w:val="32"/>
          <w:szCs w:val="32"/>
          <w:u w:val="none" w:color="auto"/>
          <w:vertAlign w:val="baseline"/>
          <w:lang w:val="en-US" w:eastAsia="zh-CN"/>
        </w:rPr>
        <w:t>三</w:t>
      </w:r>
      <w:r>
        <w:rPr>
          <w:rFonts w:hint="eastAsia" w:ascii="黑体" w:hAnsi="Times New Roman" w:eastAsia="黑体" w:cs="Times New Roman"/>
          <w:snapToGrid/>
          <w:color w:val="auto"/>
          <w:spacing w:val="0"/>
          <w:w w:val="100"/>
          <w:position w:val="0"/>
          <w:sz w:val="32"/>
          <w:szCs w:val="32"/>
          <w:u w:val="none" w:color="auto"/>
          <w:vertAlign w:val="baseline"/>
        </w:rPr>
        <w:t>、量化评价指标</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ascii="Times New Roman" w:hAnsi="Times New Roman" w:eastAsia="仿宋_GB2312" w:cs="Times New Roman"/>
          <w:snapToGrid/>
          <w:color w:val="auto"/>
          <w:spacing w:val="0"/>
          <w:w w:val="100"/>
          <w:position w:val="0"/>
          <w:sz w:val="32"/>
          <w:szCs w:val="32"/>
          <w:u w:val="none" w:color="auto"/>
          <w:vertAlign w:val="baseline"/>
        </w:rPr>
        <w:t>1</w:t>
      </w:r>
      <w:r>
        <w:rPr>
          <w:rFonts w:hint="eastAsia" w:ascii="Times New Roman" w:hAnsi="Times New Roman" w:eastAsia="仿宋_GB2312" w:cs="Times New Roman"/>
          <w:snapToGrid/>
          <w:color w:val="auto"/>
          <w:spacing w:val="0"/>
          <w:w w:val="100"/>
          <w:position w:val="0"/>
          <w:sz w:val="32"/>
          <w:szCs w:val="32"/>
          <w:u w:val="none" w:color="auto"/>
          <w:vertAlign w:val="baseline"/>
        </w:rPr>
        <w:t>．管理考核指标</w:t>
      </w:r>
    </w:p>
    <w:tbl>
      <w:tblPr>
        <w:tblStyle w:val="4"/>
        <w:tblW w:w="8911" w:type="dxa"/>
        <w:tblInd w:w="0" w:type="dxa"/>
        <w:tblLayout w:type="fixed"/>
        <w:tblCellMar>
          <w:top w:w="0" w:type="dxa"/>
          <w:left w:w="108" w:type="dxa"/>
          <w:bottom w:w="0" w:type="dxa"/>
          <w:right w:w="108" w:type="dxa"/>
        </w:tblCellMar>
      </w:tblPr>
      <w:tblGrid>
        <w:gridCol w:w="553"/>
        <w:gridCol w:w="823"/>
        <w:gridCol w:w="1461"/>
        <w:gridCol w:w="2466"/>
        <w:gridCol w:w="1627"/>
        <w:gridCol w:w="488"/>
        <w:gridCol w:w="785"/>
        <w:gridCol w:w="708"/>
      </w:tblGrid>
      <w:tr>
        <w:tblPrEx>
          <w:tblLayout w:type="fixed"/>
          <w:tblCellMar>
            <w:top w:w="0" w:type="dxa"/>
            <w:left w:w="108" w:type="dxa"/>
            <w:bottom w:w="0" w:type="dxa"/>
            <w:right w:w="108" w:type="dxa"/>
          </w:tblCellMar>
        </w:tblPrEx>
        <w:trPr>
          <w:cantSplit/>
          <w:trHeight w:val="755" w:hRule="atLeast"/>
          <w:tblHeader/>
        </w:trPr>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序号</w:t>
            </w:r>
          </w:p>
        </w:tc>
        <w:tc>
          <w:tcPr>
            <w:tcW w:w="823"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指标</w:t>
            </w:r>
          </w:p>
        </w:tc>
        <w:tc>
          <w:tcPr>
            <w:tcW w:w="3927" w:type="dxa"/>
            <w:gridSpan w:val="2"/>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考核方法</w:t>
            </w:r>
          </w:p>
        </w:tc>
        <w:tc>
          <w:tcPr>
            <w:tcW w:w="48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总分</w:t>
            </w:r>
          </w:p>
        </w:tc>
        <w:tc>
          <w:tcPr>
            <w:tcW w:w="78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自评</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得分</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自评</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说明</w:t>
            </w:r>
          </w:p>
        </w:tc>
      </w:tr>
      <w:tr>
        <w:tblPrEx>
          <w:tblLayout w:type="fixed"/>
          <w:tblCellMar>
            <w:top w:w="0" w:type="dxa"/>
            <w:left w:w="108" w:type="dxa"/>
            <w:bottom w:w="0" w:type="dxa"/>
            <w:right w:w="108" w:type="dxa"/>
          </w:tblCellMar>
        </w:tblPrEx>
        <w:trPr>
          <w:cantSplit/>
          <w:trHeight w:val="2045" w:hRule="atLeast"/>
        </w:trPr>
        <w:tc>
          <w:tcPr>
            <w:tcW w:w="553" w:type="dxa"/>
            <w:vMerge w:val="restart"/>
            <w:tcBorders>
              <w:top w:val="nil"/>
              <w:left w:val="single" w:color="000000" w:sz="4" w:space="0"/>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w:t>
            </w:r>
          </w:p>
        </w:tc>
        <w:tc>
          <w:tcPr>
            <w:tcW w:w="823" w:type="dxa"/>
            <w:vMerge w:val="restart"/>
            <w:tcBorders>
              <w:top w:val="single" w:color="auto" w:sz="4" w:space="0"/>
              <w:left w:val="nil"/>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管理</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制度</w:t>
            </w:r>
          </w:p>
        </w:tc>
        <w:tc>
          <w:tcPr>
            <w:tcW w:w="1461"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有科学合理的节水管理网络和岗位责任制。</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①有节水管理制度、节水管理网络；</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②有岗位责任管理制度、有岗位责任奖惩制度。</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查阅文件、网络图和工作记录。责任落实奖惩依据及记录。</w:t>
            </w:r>
          </w:p>
        </w:tc>
        <w:tc>
          <w:tcPr>
            <w:tcW w:w="48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w:t>
            </w:r>
          </w:p>
        </w:tc>
        <w:tc>
          <w:tcPr>
            <w:tcW w:w="78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562" w:hRule="atLeast"/>
        </w:trPr>
        <w:tc>
          <w:tcPr>
            <w:tcW w:w="553" w:type="dxa"/>
            <w:vMerge w:val="continue"/>
            <w:tcBorders>
              <w:top w:val="nil"/>
              <w:left w:val="single" w:color="000000" w:sz="4" w:space="0"/>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823" w:type="dxa"/>
            <w:vMerge w:val="continue"/>
            <w:tcBorders>
              <w:top w:val="single" w:color="auto" w:sz="4" w:space="0"/>
              <w:left w:val="nil"/>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461" w:type="dxa"/>
            <w:tcBorders>
              <w:top w:val="single" w:color="auto" w:sz="4" w:space="0"/>
              <w:left w:val="nil"/>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有制定节水规划和年度节水计划。</w:t>
            </w:r>
          </w:p>
        </w:tc>
        <w:tc>
          <w:tcPr>
            <w:tcW w:w="2466"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①制定节水规划，有节水目标和任务，并分解到各部门；</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②制定年度节水计划；</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③有年度节水工作总结。</w:t>
            </w:r>
          </w:p>
        </w:tc>
        <w:tc>
          <w:tcPr>
            <w:tcW w:w="1627"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查阅有关文件和记录</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以及查节水规划、年度节水计划的落实情况。</w:t>
            </w:r>
          </w:p>
        </w:tc>
        <w:tc>
          <w:tcPr>
            <w:tcW w:w="488" w:type="dxa"/>
            <w:tcBorders>
              <w:top w:val="single" w:color="auto" w:sz="4" w:space="0"/>
              <w:left w:val="nil"/>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6</w:t>
            </w:r>
          </w:p>
        </w:tc>
        <w:tc>
          <w:tcPr>
            <w:tcW w:w="785" w:type="dxa"/>
            <w:tcBorders>
              <w:top w:val="single" w:color="auto" w:sz="4" w:space="0"/>
              <w:left w:val="nil"/>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auto" w:sz="4" w:space="0"/>
              <w:left w:val="nil"/>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308" w:hRule="atLeast"/>
        </w:trPr>
        <w:tc>
          <w:tcPr>
            <w:tcW w:w="553" w:type="dxa"/>
            <w:vMerge w:val="continue"/>
            <w:tcBorders>
              <w:top w:val="nil"/>
              <w:left w:val="single" w:color="000000" w:sz="4" w:space="0"/>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823" w:type="dxa"/>
            <w:vMerge w:val="continue"/>
            <w:tcBorders>
              <w:top w:val="single" w:color="auto" w:sz="4" w:space="0"/>
              <w:left w:val="nil"/>
              <w:bottom w:val="single" w:color="000000"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有健全的节水统计制度，定期向相关部门报送节水统计报表。</w:t>
            </w:r>
          </w:p>
        </w:tc>
        <w:tc>
          <w:tcPr>
            <w:tcW w:w="2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①有节水用水统计制度；</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②定期向相关部门报送节水用水统计报表；</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③有定期统计分析报告。</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查阅有关资料。</w:t>
            </w:r>
          </w:p>
        </w:tc>
        <w:tc>
          <w:tcPr>
            <w:tcW w:w="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6</w:t>
            </w:r>
          </w:p>
        </w:tc>
        <w:tc>
          <w:tcPr>
            <w:tcW w:w="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454" w:hRule="atLeast"/>
        </w:trPr>
        <w:tc>
          <w:tcPr>
            <w:tcW w:w="55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2</w:t>
            </w: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管理机构和人员</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有主要领导负责用水、节水工作。</w:t>
            </w:r>
          </w:p>
        </w:tc>
        <w:tc>
          <w:tcPr>
            <w:tcW w:w="2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①有企业主要领导负责节水工作；</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②企业主要领导熟悉和经常性组织节水工作。</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查阅有关文件及会议记录。</w:t>
            </w:r>
          </w:p>
        </w:tc>
        <w:tc>
          <w:tcPr>
            <w:tcW w:w="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w:t>
            </w:r>
          </w:p>
        </w:tc>
        <w:tc>
          <w:tcPr>
            <w:tcW w:w="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197"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有用水、节水管理部门和专（兼）职用水、节水管理人员。</w:t>
            </w:r>
          </w:p>
        </w:tc>
        <w:tc>
          <w:tcPr>
            <w:tcW w:w="2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①设有企业节水管理部门；</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②有专（兼）职用水、节水管理人员。</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查阅企业主管部门文件。</w:t>
            </w:r>
          </w:p>
        </w:tc>
        <w:tc>
          <w:tcPr>
            <w:tcW w:w="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w:t>
            </w:r>
          </w:p>
        </w:tc>
        <w:tc>
          <w:tcPr>
            <w:tcW w:w="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253" w:hRule="atLeast"/>
        </w:trPr>
        <w:tc>
          <w:tcPr>
            <w:tcW w:w="553" w:type="dxa"/>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p>
        </w:tc>
        <w:tc>
          <w:tcPr>
            <w:tcW w:w="823" w:type="dxa"/>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管网（设备）管理</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有详细的供水管网图、排水管网图和计量网络图。</w:t>
            </w:r>
          </w:p>
        </w:tc>
        <w:tc>
          <w:tcPr>
            <w:tcW w:w="2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①有详细供水、排水管网图；</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②有详细供水计量网络图；</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③有用水、节水设备操作规程。</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查阅有关文件、图纸及更新增补资料，查看现场。</w:t>
            </w:r>
          </w:p>
        </w:tc>
        <w:tc>
          <w:tcPr>
            <w:tcW w:w="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p>
        </w:tc>
        <w:tc>
          <w:tcPr>
            <w:tcW w:w="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827" w:hRule="atLeast"/>
        </w:trPr>
        <w:tc>
          <w:tcPr>
            <w:tcW w:w="553"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823"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46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有日常巡查和保修检修制度，定期对管网和设备进行检修。</w:t>
            </w:r>
          </w:p>
        </w:tc>
        <w:tc>
          <w:tcPr>
            <w:tcW w:w="246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①有日常巡查和保修检修制度；</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②定期对管网和设备进行检修。</w:t>
            </w:r>
          </w:p>
        </w:tc>
        <w:tc>
          <w:tcPr>
            <w:tcW w:w="162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查阅设备巡查记录和落实情况。查阅年度管网查漏计划及执行记录，查阅管网漏点的检修记录。</w:t>
            </w:r>
          </w:p>
        </w:tc>
        <w:tc>
          <w:tcPr>
            <w:tcW w:w="48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w:t>
            </w:r>
          </w:p>
        </w:tc>
        <w:tc>
          <w:tcPr>
            <w:tcW w:w="78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130" w:hRule="atLeast"/>
        </w:trPr>
        <w:tc>
          <w:tcPr>
            <w:tcW w:w="553" w:type="dxa"/>
            <w:vMerge w:val="restart"/>
            <w:tcBorders>
              <w:top w:val="single" w:color="000000" w:sz="4" w:space="0"/>
              <w:left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w:t>
            </w:r>
          </w:p>
        </w:tc>
        <w:tc>
          <w:tcPr>
            <w:tcW w:w="823" w:type="dxa"/>
            <w:vMerge w:val="restart"/>
            <w:tcBorders>
              <w:top w:val="single" w:color="000000" w:sz="4" w:space="0"/>
              <w:left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水计量管理</w:t>
            </w:r>
          </w:p>
        </w:tc>
        <w:tc>
          <w:tcPr>
            <w:tcW w:w="146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原始记录和统计台帐完整规范并定期进行分析。</w:t>
            </w:r>
          </w:p>
        </w:tc>
        <w:tc>
          <w:tcPr>
            <w:tcW w:w="246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①有完整规范供水计量原始纪录；</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②有完整规范供水计量统计台帐；</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③有定期原始记录和统计分析报告。</w:t>
            </w:r>
          </w:p>
        </w:tc>
        <w:tc>
          <w:tcPr>
            <w:tcW w:w="162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查阅台账和分析报告，核实数据。</w:t>
            </w:r>
          </w:p>
        </w:tc>
        <w:tc>
          <w:tcPr>
            <w:tcW w:w="48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p>
        </w:tc>
        <w:tc>
          <w:tcPr>
            <w:tcW w:w="78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1605" w:hRule="atLeast"/>
        </w:trPr>
        <w:tc>
          <w:tcPr>
            <w:tcW w:w="553" w:type="dxa"/>
            <w:vMerge w:val="continue"/>
            <w:tcBorders>
              <w:left w:val="single" w:color="000000" w:sz="4" w:space="0"/>
              <w:bottom w:val="single" w:color="auto" w:sz="8"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823" w:type="dxa"/>
            <w:vMerge w:val="continue"/>
            <w:tcBorders>
              <w:left w:val="single" w:color="000000" w:sz="4" w:space="0"/>
              <w:bottom w:val="single" w:color="auto" w:sz="8"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1461"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内部实行定额管理，节奖超罚。</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①有内部用水定额管理制度；</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②有内部节水管理考核奖惩制度。</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查阅定额管理节奖超罚文件和资料。</w:t>
            </w:r>
          </w:p>
        </w:tc>
        <w:tc>
          <w:tcPr>
            <w:tcW w:w="48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w:t>
            </w:r>
          </w:p>
        </w:tc>
        <w:tc>
          <w:tcPr>
            <w:tcW w:w="78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727" w:hRule="atLeast"/>
        </w:trPr>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5</w:t>
            </w:r>
          </w:p>
        </w:tc>
        <w:tc>
          <w:tcPr>
            <w:tcW w:w="823"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水平衡测试</w:t>
            </w:r>
          </w:p>
        </w:tc>
        <w:tc>
          <w:tcPr>
            <w:tcW w:w="1461"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按规定周期进行水平衡测试。</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①定期开展水平衡测试、有水平衡测试报告；</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②开展供水管网检测漏；</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③制定基于水平衡测试的节水整改优化方案。</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查阅水平衡测试报告书及有关文件。查阅水平衡测试问题的整改落实情况。</w:t>
            </w:r>
          </w:p>
        </w:tc>
        <w:tc>
          <w:tcPr>
            <w:tcW w:w="48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6</w:t>
            </w:r>
          </w:p>
        </w:tc>
        <w:tc>
          <w:tcPr>
            <w:tcW w:w="78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396" w:hRule="atLeast"/>
        </w:trPr>
        <w:tc>
          <w:tcPr>
            <w:tcW w:w="55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6</w:t>
            </w:r>
          </w:p>
        </w:tc>
        <w:tc>
          <w:tcPr>
            <w:tcW w:w="823"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生产工艺和设备</w:t>
            </w:r>
          </w:p>
        </w:tc>
        <w:tc>
          <w:tcPr>
            <w:tcW w:w="1461"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开展节水技术改造。</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①有节水改造项目立项报告和实施计划；</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②有节水技术改造项目实施方案；</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③有节水项目实施情况分析报告和项目清单。</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查阅有关工作记录。项目立项及实施情况，项目效果及收益情况。</w:t>
            </w:r>
          </w:p>
        </w:tc>
        <w:tc>
          <w:tcPr>
            <w:tcW w:w="48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6</w:t>
            </w:r>
          </w:p>
        </w:tc>
        <w:tc>
          <w:tcPr>
            <w:tcW w:w="78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1963" w:hRule="atLeast"/>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82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461" w:type="dxa"/>
            <w:tcBorders>
              <w:top w:val="nil"/>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使用节水新技术、新工艺、新设备。</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①使用节水新技术、新工艺、新设备；</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②节水设备运行正常、管理维护好。</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节水设备管理好且运行正常，查阅有关记录，查看现场。</w:t>
            </w:r>
          </w:p>
        </w:tc>
        <w:tc>
          <w:tcPr>
            <w:tcW w:w="48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w:t>
            </w:r>
          </w:p>
        </w:tc>
        <w:tc>
          <w:tcPr>
            <w:tcW w:w="78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699" w:hRule="atLeast"/>
        </w:trPr>
        <w:tc>
          <w:tcPr>
            <w:tcW w:w="55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7</w:t>
            </w:r>
          </w:p>
        </w:tc>
        <w:tc>
          <w:tcPr>
            <w:tcW w:w="823"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节水</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宣传</w:t>
            </w:r>
          </w:p>
        </w:tc>
        <w:tc>
          <w:tcPr>
            <w:tcW w:w="1461"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经常性开展节水宣传教育。</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①经常性开展内部节水宣传和张贴宣传标识、社会节水宣传活动；</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②定期开展节水教育培训和知识竞赛活动；</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③参与节水标准制修订工作。</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查看相关资料。</w:t>
            </w:r>
          </w:p>
        </w:tc>
        <w:tc>
          <w:tcPr>
            <w:tcW w:w="48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p>
        </w:tc>
        <w:tc>
          <w:tcPr>
            <w:tcW w:w="78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1689" w:hRule="atLeast"/>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82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461"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职工有节水意识。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①有发表节水文章和论文；</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②有全员岗位节水“金点子”及奖励制度；</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③有节水宣传标识。</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查看相关资料。</w:t>
            </w:r>
          </w:p>
        </w:tc>
        <w:tc>
          <w:tcPr>
            <w:tcW w:w="48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p>
        </w:tc>
        <w:tc>
          <w:tcPr>
            <w:tcW w:w="78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454" w:hRule="atLeast"/>
        </w:trPr>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8</w:t>
            </w:r>
          </w:p>
        </w:tc>
        <w:tc>
          <w:tcPr>
            <w:tcW w:w="823"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水源</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结构</w:t>
            </w:r>
          </w:p>
        </w:tc>
        <w:tc>
          <w:tcPr>
            <w:tcW w:w="3927" w:type="dxa"/>
            <w:gridSpan w:val="2"/>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企业有使用地下水的情况。</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查看取水许可证等相关资料</w:t>
            </w:r>
          </w:p>
        </w:tc>
        <w:tc>
          <w:tcPr>
            <w:tcW w:w="48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p>
        </w:tc>
        <w:tc>
          <w:tcPr>
            <w:tcW w:w="78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r>
      <w:tr>
        <w:tblPrEx>
          <w:tblLayout w:type="fixed"/>
          <w:tblCellMar>
            <w:top w:w="0" w:type="dxa"/>
            <w:left w:w="108" w:type="dxa"/>
            <w:bottom w:w="0" w:type="dxa"/>
            <w:right w:w="108" w:type="dxa"/>
          </w:tblCellMar>
        </w:tblPrEx>
        <w:trPr>
          <w:cantSplit/>
          <w:trHeight w:val="2070" w:hRule="atLeast"/>
        </w:trPr>
        <w:tc>
          <w:tcPr>
            <w:tcW w:w="8911"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w:t>
            </w: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rPr>
              <w:t>：自评打分依据：</w:t>
            </w: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rPr>
              <w:t>）企业管理考核的计分标准满分为</w:t>
            </w:r>
            <w:r>
              <w:rPr>
                <w:rFonts w:ascii="Times New Roman" w:hAnsi="Times New Roman" w:eastAsia="宋体" w:cs="Times New Roman"/>
                <w:snapToGrid/>
                <w:color w:val="auto"/>
                <w:spacing w:val="0"/>
                <w:w w:val="100"/>
                <w:position w:val="0"/>
                <w:sz w:val="24"/>
                <w:szCs w:val="24"/>
                <w:u w:val="none" w:color="auto"/>
                <w:vertAlign w:val="baseline"/>
              </w:rPr>
              <w:t>60</w:t>
            </w:r>
            <w:r>
              <w:rPr>
                <w:rFonts w:hint="eastAsia" w:ascii="Times New Roman" w:hAnsi="Times New Roman" w:eastAsia="宋体" w:cs="Times New Roman"/>
                <w:snapToGrid/>
                <w:color w:val="auto"/>
                <w:spacing w:val="0"/>
                <w:w w:val="100"/>
                <w:position w:val="0"/>
                <w:sz w:val="24"/>
                <w:szCs w:val="24"/>
                <w:u w:val="none" w:color="auto"/>
                <w:vertAlign w:val="baseline"/>
              </w:rPr>
              <w:t>分，得分在</w:t>
            </w:r>
            <w:r>
              <w:rPr>
                <w:rFonts w:ascii="Times New Roman" w:hAnsi="Times New Roman" w:eastAsia="宋体" w:cs="Times New Roman"/>
                <w:snapToGrid/>
                <w:color w:val="auto"/>
                <w:spacing w:val="0"/>
                <w:w w:val="100"/>
                <w:position w:val="0"/>
                <w:sz w:val="24"/>
                <w:szCs w:val="24"/>
                <w:u w:val="none" w:color="auto"/>
                <w:vertAlign w:val="baseline"/>
              </w:rPr>
              <w:t>48</w:t>
            </w:r>
            <w:r>
              <w:rPr>
                <w:rFonts w:hint="eastAsia" w:ascii="Times New Roman" w:hAnsi="Times New Roman" w:eastAsia="宋体" w:cs="Times New Roman"/>
                <w:snapToGrid/>
                <w:color w:val="auto"/>
                <w:spacing w:val="0"/>
                <w:w w:val="100"/>
                <w:position w:val="0"/>
                <w:sz w:val="24"/>
                <w:szCs w:val="24"/>
                <w:u w:val="none" w:color="auto"/>
                <w:vertAlign w:val="baseline"/>
              </w:rPr>
              <w:t>分以上（含</w:t>
            </w:r>
            <w:r>
              <w:rPr>
                <w:rFonts w:ascii="Times New Roman" w:hAnsi="Times New Roman" w:eastAsia="宋体" w:cs="Times New Roman"/>
                <w:snapToGrid/>
                <w:color w:val="auto"/>
                <w:spacing w:val="0"/>
                <w:w w:val="100"/>
                <w:position w:val="0"/>
                <w:sz w:val="24"/>
                <w:szCs w:val="24"/>
                <w:u w:val="none" w:color="auto"/>
                <w:vertAlign w:val="baseline"/>
              </w:rPr>
              <w:t>48</w:t>
            </w:r>
            <w:r>
              <w:rPr>
                <w:rFonts w:hint="eastAsia" w:ascii="Times New Roman" w:hAnsi="Times New Roman" w:eastAsia="宋体" w:cs="Times New Roman"/>
                <w:snapToGrid/>
                <w:color w:val="auto"/>
                <w:spacing w:val="0"/>
                <w:w w:val="100"/>
                <w:position w:val="0"/>
                <w:sz w:val="24"/>
                <w:szCs w:val="24"/>
                <w:u w:val="none" w:color="auto"/>
                <w:vertAlign w:val="baseline"/>
              </w:rPr>
              <w:t>分）的企业达到企业管理考核指标的要求；</w:t>
            </w: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rPr>
              <w:t>）针对第</w:t>
            </w: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5</w:t>
            </w: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6</w:t>
            </w:r>
            <w:r>
              <w:rPr>
                <w:rFonts w:hint="eastAsia" w:ascii="Times New Roman" w:hAnsi="Times New Roman" w:eastAsia="宋体" w:cs="Times New Roman"/>
                <w:snapToGrid/>
                <w:color w:val="auto"/>
                <w:spacing w:val="0"/>
                <w:w w:val="100"/>
                <w:position w:val="0"/>
                <w:sz w:val="24"/>
                <w:szCs w:val="24"/>
                <w:u w:val="none" w:color="auto"/>
                <w:vertAlign w:val="baseline"/>
              </w:rPr>
              <w:t>项、第</w:t>
            </w:r>
            <w:r>
              <w:rPr>
                <w:rFonts w:ascii="Times New Roman" w:hAnsi="Times New Roman" w:eastAsia="宋体" w:cs="Times New Roman"/>
                <w:snapToGrid/>
                <w:color w:val="auto"/>
                <w:spacing w:val="0"/>
                <w:w w:val="100"/>
                <w:position w:val="0"/>
                <w:sz w:val="24"/>
                <w:szCs w:val="24"/>
                <w:u w:val="none" w:color="auto"/>
                <w:vertAlign w:val="baseline"/>
              </w:rPr>
              <w:t>3</w:t>
            </w:r>
            <w:r>
              <w:rPr>
                <w:rFonts w:hint="eastAsia" w:ascii="Times New Roman" w:hAnsi="Times New Roman" w:eastAsia="宋体" w:cs="Times New Roman"/>
                <w:snapToGrid/>
                <w:color w:val="auto"/>
                <w:spacing w:val="0"/>
                <w:w w:val="100"/>
                <w:position w:val="0"/>
                <w:sz w:val="24"/>
                <w:szCs w:val="24"/>
                <w:u w:val="none" w:color="auto"/>
                <w:vertAlign w:val="baseline"/>
              </w:rPr>
              <w:t>项第</w:t>
            </w: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rPr>
              <w:t>条、第</w:t>
            </w:r>
            <w:r>
              <w:rPr>
                <w:rFonts w:ascii="Times New Roman" w:hAnsi="Times New Roman" w:eastAsia="宋体" w:cs="Times New Roman"/>
                <w:snapToGrid/>
                <w:color w:val="auto"/>
                <w:spacing w:val="0"/>
                <w:w w:val="100"/>
                <w:position w:val="0"/>
                <w:sz w:val="24"/>
                <w:szCs w:val="24"/>
                <w:u w:val="none" w:color="auto"/>
                <w:vertAlign w:val="baseline"/>
              </w:rPr>
              <w:t>4</w:t>
            </w:r>
            <w:r>
              <w:rPr>
                <w:rFonts w:hint="eastAsia" w:ascii="Times New Roman" w:hAnsi="Times New Roman" w:eastAsia="宋体" w:cs="Times New Roman"/>
                <w:snapToGrid/>
                <w:color w:val="auto"/>
                <w:spacing w:val="0"/>
                <w:w w:val="100"/>
                <w:position w:val="0"/>
                <w:sz w:val="24"/>
                <w:szCs w:val="24"/>
                <w:u w:val="none" w:color="auto"/>
                <w:vertAlign w:val="baseline"/>
              </w:rPr>
              <w:t>项第</w:t>
            </w: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rPr>
              <w:t>条的考核中，缺一项扣</w:t>
            </w: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rPr>
              <w:t>分；</w:t>
            </w:r>
            <w:r>
              <w:rPr>
                <w:rFonts w:ascii="Times New Roman" w:hAnsi="Times New Roman" w:eastAsia="宋体" w:cs="Times New Roman"/>
                <w:snapToGrid/>
                <w:color w:val="auto"/>
                <w:spacing w:val="0"/>
                <w:w w:val="100"/>
                <w:position w:val="0"/>
                <w:sz w:val="24"/>
                <w:szCs w:val="24"/>
                <w:u w:val="none" w:color="auto"/>
                <w:vertAlign w:val="baseline"/>
              </w:rPr>
              <w:t>3</w:t>
            </w:r>
            <w:r>
              <w:rPr>
                <w:rFonts w:hint="eastAsia" w:ascii="Times New Roman" w:hAnsi="Times New Roman" w:eastAsia="宋体" w:cs="Times New Roman"/>
                <w:snapToGrid/>
                <w:color w:val="auto"/>
                <w:spacing w:val="0"/>
                <w:w w:val="100"/>
                <w:position w:val="0"/>
                <w:sz w:val="24"/>
                <w:szCs w:val="24"/>
                <w:u w:val="none" w:color="auto"/>
                <w:vertAlign w:val="baseline"/>
              </w:rPr>
              <w:t>）其他项（除第</w:t>
            </w:r>
            <w:r>
              <w:rPr>
                <w:rFonts w:ascii="Times New Roman" w:hAnsi="Times New Roman" w:eastAsia="宋体" w:cs="Times New Roman"/>
                <w:snapToGrid/>
                <w:color w:val="auto"/>
                <w:spacing w:val="0"/>
                <w:w w:val="100"/>
                <w:position w:val="0"/>
                <w:sz w:val="24"/>
                <w:szCs w:val="24"/>
                <w:u w:val="none" w:color="auto"/>
                <w:vertAlign w:val="baseline"/>
              </w:rPr>
              <w:t>8</w:t>
            </w:r>
            <w:r>
              <w:rPr>
                <w:rFonts w:hint="eastAsia" w:ascii="Times New Roman" w:hAnsi="Times New Roman" w:eastAsia="宋体" w:cs="Times New Roman"/>
                <w:snapToGrid/>
                <w:color w:val="auto"/>
                <w:spacing w:val="0"/>
                <w:w w:val="100"/>
                <w:position w:val="0"/>
                <w:sz w:val="24"/>
                <w:szCs w:val="24"/>
                <w:u w:val="none" w:color="auto"/>
                <w:vertAlign w:val="baseline"/>
              </w:rPr>
              <w:t>项外）考核中相关文件、资料、记录等齐全完善的满分，缺一项扣</w:t>
            </w: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rPr>
              <w:t>分；</w:t>
            </w:r>
            <w:r>
              <w:rPr>
                <w:rFonts w:ascii="Times New Roman" w:hAnsi="Times New Roman" w:eastAsia="宋体" w:cs="Times New Roman"/>
                <w:snapToGrid/>
                <w:color w:val="auto"/>
                <w:spacing w:val="0"/>
                <w:w w:val="100"/>
                <w:position w:val="0"/>
                <w:sz w:val="24"/>
                <w:szCs w:val="24"/>
                <w:u w:val="none" w:color="auto"/>
                <w:vertAlign w:val="baseline"/>
              </w:rPr>
              <w:t>4</w:t>
            </w:r>
            <w:r>
              <w:rPr>
                <w:rFonts w:hint="eastAsia" w:ascii="Times New Roman" w:hAnsi="Times New Roman" w:eastAsia="宋体" w:cs="Times New Roman"/>
                <w:snapToGrid/>
                <w:color w:val="auto"/>
                <w:spacing w:val="0"/>
                <w:w w:val="100"/>
                <w:position w:val="0"/>
                <w:sz w:val="24"/>
                <w:szCs w:val="24"/>
                <w:u w:val="none" w:color="auto"/>
                <w:vertAlign w:val="baseline"/>
              </w:rPr>
              <w:t>）第</w:t>
            </w:r>
            <w:r>
              <w:rPr>
                <w:rFonts w:ascii="Times New Roman" w:hAnsi="Times New Roman" w:eastAsia="宋体" w:cs="Times New Roman"/>
                <w:snapToGrid/>
                <w:color w:val="auto"/>
                <w:spacing w:val="0"/>
                <w:w w:val="100"/>
                <w:position w:val="0"/>
                <w:sz w:val="24"/>
                <w:szCs w:val="24"/>
                <w:u w:val="none" w:color="auto"/>
                <w:vertAlign w:val="baseline"/>
              </w:rPr>
              <w:t>8</w:t>
            </w:r>
            <w:r>
              <w:rPr>
                <w:rFonts w:hint="eastAsia" w:ascii="Times New Roman" w:hAnsi="Times New Roman" w:eastAsia="宋体" w:cs="Times New Roman"/>
                <w:snapToGrid/>
                <w:color w:val="auto"/>
                <w:spacing w:val="0"/>
                <w:w w:val="100"/>
                <w:position w:val="0"/>
                <w:sz w:val="24"/>
                <w:szCs w:val="24"/>
                <w:u w:val="none" w:color="auto"/>
                <w:vertAlign w:val="baseline"/>
              </w:rPr>
              <w:t>项是扣分项，符合该条件扣</w:t>
            </w:r>
            <w:r>
              <w:rPr>
                <w:rFonts w:ascii="Times New Roman" w:hAnsi="Times New Roman" w:eastAsia="宋体" w:cs="Times New Roman"/>
                <w:snapToGrid/>
                <w:color w:val="auto"/>
                <w:spacing w:val="0"/>
                <w:w w:val="100"/>
                <w:position w:val="0"/>
                <w:sz w:val="24"/>
                <w:szCs w:val="24"/>
                <w:u w:val="none" w:color="auto"/>
                <w:vertAlign w:val="baseline"/>
              </w:rPr>
              <w:t>3</w:t>
            </w:r>
            <w:r>
              <w:rPr>
                <w:rFonts w:hint="eastAsia" w:ascii="Times New Roman" w:hAnsi="Times New Roman" w:eastAsia="宋体" w:cs="Times New Roman"/>
                <w:snapToGrid/>
                <w:color w:val="auto"/>
                <w:spacing w:val="0"/>
                <w:w w:val="100"/>
                <w:position w:val="0"/>
                <w:sz w:val="24"/>
                <w:szCs w:val="24"/>
                <w:u w:val="none" w:color="auto"/>
                <w:vertAlign w:val="baseline"/>
              </w:rPr>
              <w:t>分，不符合不扣分。</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w:t>
            </w: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rPr>
              <w:t>：自评说明：附上相关文件、记录等证明自评得分的材料。</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2</w:t>
      </w:r>
      <w:r>
        <w:rPr>
          <w:rFonts w:hint="eastAsia" w:ascii="Times New Roman" w:hAnsi="Times New Roman" w:eastAsia="仿宋_GB2312" w:cs="Times New Roman"/>
          <w:snapToGrid/>
          <w:color w:val="auto"/>
          <w:spacing w:val="0"/>
          <w:w w:val="100"/>
          <w:position w:val="0"/>
          <w:sz w:val="32"/>
          <w:szCs w:val="32"/>
          <w:u w:val="none" w:color="auto"/>
          <w:vertAlign w:val="baseline"/>
        </w:rPr>
        <w:t>．技术考核指标</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火力发电、钢铁、铁矿采选、纺织染整、化纤长丝织造、造纸、石油炼制、炼焦、现代煤化工、乙烯、氧化铝、电解铝、氯碱、氮肥、船舶、多晶硅行业、味精、啤酒等18个</w:t>
      </w:r>
      <w:r>
        <w:rPr>
          <w:rFonts w:hint="eastAsia" w:ascii="Times New Roman" w:hAnsi="Times New Roman" w:eastAsia="仿宋_GB2312" w:cs="Times New Roman"/>
          <w:snapToGrid/>
          <w:color w:val="auto"/>
          <w:spacing w:val="0"/>
          <w:w w:val="100"/>
          <w:position w:val="0"/>
          <w:sz w:val="32"/>
          <w:szCs w:val="32"/>
          <w:u w:val="none" w:color="auto"/>
          <w:vertAlign w:val="baseline"/>
        </w:rPr>
        <w:t>行业企业</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按照标准要求</w:t>
      </w:r>
      <w:r>
        <w:rPr>
          <w:rFonts w:hint="eastAsia" w:ascii="Times New Roman" w:hAnsi="Times New Roman" w:eastAsia="仿宋_GB2312" w:cs="Times New Roman"/>
          <w:snapToGrid/>
          <w:color w:val="auto"/>
          <w:spacing w:val="0"/>
          <w:w w:val="100"/>
          <w:position w:val="0"/>
          <w:sz w:val="32"/>
          <w:szCs w:val="32"/>
          <w:u w:val="none" w:color="auto"/>
          <w:vertAlign w:val="baseline"/>
        </w:rPr>
        <w:t>计算本企业的技术考核指标值，并给出相应的计算过程。</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rPr>
        <w:t>其他行业可按照《陕西省行业用水定额》(DB61/T 943-2020)标准计算本企业的技术考核指标值</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对照定额先进值和领跑值，用于节水标杆企业的技术指标评定</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ascii="Times New Roman" w:hAnsi="Times New Roman" w:eastAsia="仿宋_GB2312" w:cs="Times New Roman"/>
          <w:snapToGrid/>
          <w:color w:val="auto"/>
          <w:spacing w:val="0"/>
          <w:w w:val="100"/>
          <w:position w:val="0"/>
          <w:sz w:val="32"/>
          <w:szCs w:val="32"/>
          <w:u w:val="none" w:color="auto"/>
          <w:vertAlign w:val="baseline"/>
        </w:rPr>
        <w:t>1</w:t>
      </w:r>
      <w:r>
        <w:rPr>
          <w:rFonts w:hint="eastAsia" w:ascii="Times New Roman" w:hAnsi="Times New Roman" w:eastAsia="仿宋_GB2312" w:cs="Times New Roman"/>
          <w:snapToGrid/>
          <w:color w:val="auto"/>
          <w:spacing w:val="0"/>
          <w:w w:val="100"/>
          <w:position w:val="0"/>
          <w:sz w:val="32"/>
          <w:szCs w:val="32"/>
          <w:u w:val="none" w:color="auto"/>
          <w:vertAlign w:val="baseline"/>
        </w:rPr>
        <w:t>）技术考核要求（火力发电行业）</w:t>
      </w:r>
    </w:p>
    <w:tbl>
      <w:tblPr>
        <w:tblStyle w:val="4"/>
        <w:tblW w:w="8697" w:type="dxa"/>
        <w:jc w:val="center"/>
        <w:tblInd w:w="101"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67"/>
        <w:gridCol w:w="2335"/>
        <w:gridCol w:w="1673"/>
        <w:gridCol w:w="1187"/>
        <w:gridCol w:w="1240"/>
        <w:gridCol w:w="99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14"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考核内容</w:t>
            </w:r>
          </w:p>
        </w:tc>
        <w:tc>
          <w:tcPr>
            <w:tcW w:w="23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单位</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技术指标</w:t>
            </w:r>
          </w:p>
        </w:tc>
        <w:tc>
          <w:tcPr>
            <w:tcW w:w="34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78" w:hRule="atLeast"/>
          <w:jc w:val="center"/>
        </w:trPr>
        <w:tc>
          <w:tcPr>
            <w:tcW w:w="12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取水量</w:t>
            </w:r>
          </w:p>
        </w:tc>
        <w:tc>
          <w:tcPr>
            <w:tcW w:w="233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单位发电量取水量/</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［m³/(MW·h)］</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机组冷却形式</w:t>
            </w: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单机容量</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＜300MW</w:t>
            </w:r>
          </w:p>
        </w:tc>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单机容量</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300MW级</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单机容量</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600MW级及以上</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92"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23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循环冷却</w:t>
            </w: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≤1.85</w:t>
            </w:r>
          </w:p>
        </w:tc>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ascii="Times New Roman" w:hAnsi="Times New Roman" w:eastAsia="宋体" w:cs="Times New Roman"/>
                <w:snapToGrid/>
                <w:color w:val="auto"/>
                <w:spacing w:val="0"/>
                <w:w w:val="100"/>
                <w:position w:val="0"/>
                <w:sz w:val="24"/>
                <w:szCs w:val="24"/>
                <w:u w:val="none" w:color="auto"/>
                <w:vertAlign w:val="baseline"/>
              </w:rPr>
              <w:t>≤1.7</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ascii="Times New Roman" w:hAnsi="Times New Roman" w:eastAsia="宋体" w:cs="Times New Roman"/>
                <w:snapToGrid/>
                <w:color w:val="auto"/>
                <w:spacing w:val="0"/>
                <w:w w:val="100"/>
                <w:position w:val="0"/>
                <w:sz w:val="24"/>
                <w:szCs w:val="24"/>
                <w:u w:val="none" w:color="auto"/>
                <w:vertAlign w:val="baseline"/>
              </w:rPr>
              <w:t>≤1.6</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92"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23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直流冷却</w:t>
            </w: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≤0.41</w:t>
            </w:r>
          </w:p>
        </w:tc>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≤0.34</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≤0.33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92"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23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空气冷却</w:t>
            </w: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ascii="Times New Roman" w:hAnsi="Times New Roman" w:eastAsia="宋体" w:cs="Times New Roman"/>
                <w:snapToGrid/>
                <w:color w:val="auto"/>
                <w:spacing w:val="0"/>
                <w:w w:val="100"/>
                <w:position w:val="0"/>
                <w:sz w:val="24"/>
                <w:szCs w:val="24"/>
                <w:u w:val="none" w:color="auto"/>
                <w:vertAlign w:val="baseline"/>
              </w:rPr>
              <w:t>≤0.</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32</w:t>
            </w:r>
          </w:p>
        </w:tc>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ascii="Times New Roman" w:hAnsi="Times New Roman" w:eastAsia="宋体" w:cs="Times New Roman"/>
                <w:snapToGrid/>
                <w:color w:val="auto"/>
                <w:spacing w:val="0"/>
                <w:w w:val="100"/>
                <w:position w:val="0"/>
                <w:sz w:val="24"/>
                <w:szCs w:val="24"/>
                <w:u w:val="none" w:color="auto"/>
                <w:vertAlign w:val="baseline"/>
              </w:rPr>
              <w:t>≤0.3</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≤0.</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2</w:t>
            </w:r>
            <w:r>
              <w:rPr>
                <w:rFonts w:ascii="Times New Roman" w:hAnsi="Times New Roman" w:eastAsia="宋体" w:cs="Times New Roman"/>
                <w:snapToGrid/>
                <w:color w:val="auto"/>
                <w:spacing w:val="0"/>
                <w:w w:val="100"/>
                <w:position w:val="0"/>
                <w:sz w:val="24"/>
                <w:szCs w:val="24"/>
                <w:u w:val="none" w:color="auto"/>
                <w:vertAlign w:val="baseline"/>
              </w:rPr>
              <w:t>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01" w:hRule="atLeast"/>
          <w:jc w:val="center"/>
        </w:trPr>
        <w:tc>
          <w:tcPr>
            <w:tcW w:w="12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重复利用</w:t>
            </w:r>
          </w:p>
        </w:tc>
        <w:tc>
          <w:tcPr>
            <w:tcW w:w="23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循环冷却水排污水回用率/％</w:t>
            </w:r>
          </w:p>
        </w:tc>
        <w:tc>
          <w:tcPr>
            <w:tcW w:w="50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＞90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87"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23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全厂废水回用率/％</w:t>
            </w:r>
          </w:p>
        </w:tc>
        <w:tc>
          <w:tcPr>
            <w:tcW w:w="50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＞85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79" w:hRule="atLeast"/>
          <w:jc w:val="center"/>
        </w:trPr>
        <w:tc>
          <w:tcPr>
            <w:tcW w:w="8697"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注1：各参数计算方法参见GB/T 26925-2011</w:t>
            </w: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节水型企业 火力发电行业</w:t>
            </w: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注2：循环冷却不包含海水循环冷却，海水循环冷却按直流冷却对待。</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2</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）技术考核要求（钢铁行业）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41"/>
        <w:gridCol w:w="3484"/>
        <w:gridCol w:w="1318"/>
        <w:gridCol w:w="167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3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取水量</w:t>
            </w:r>
          </w:p>
        </w:tc>
        <w:tc>
          <w:tcPr>
            <w:tcW w:w="3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吨钢取水量</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3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直接冷却水循环率</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≥95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废水回用率</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≥75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≥97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34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GB/T 26924-2011</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钢铁行业》。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3</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）技术考核要求（铁矿采选行业）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3189"/>
        <w:gridCol w:w="2336"/>
        <w:gridCol w:w="1318"/>
        <w:gridCol w:w="167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磁铁矿选矿工艺取水量（阶段磨矿—磁选）</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吨原矿水量</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0.65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赤铁矿选矿工艺取水量（阶段磨矿—磁选—反浮选）</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吨原矿水量</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0.70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混合矿选矿工艺取水量（阶段磨矿—磁选—反浮选）</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吨原矿水量</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0.70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露天采矿工艺取水量</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吨采剥量取水量</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0.003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地下采矿工艺取水量</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吨出矿取水量</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0.04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重复利用</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3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pP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注：各参数计算方法参见GB/T 34608-2017《节水型企业 铁矿采选行业》。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4</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）技术考核要求（纺织染整行业）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70"/>
        <w:gridCol w:w="3480"/>
        <w:gridCol w:w="1860"/>
        <w:gridCol w:w="1712"/>
      </w:tblGrid>
      <w:tr>
        <w:tblPrEx>
          <w:tblLayout w:type="fixed"/>
          <w:tblCellMar>
            <w:top w:w="0" w:type="dxa"/>
            <w:left w:w="108" w:type="dxa"/>
            <w:bottom w:w="0" w:type="dxa"/>
            <w:right w:w="108" w:type="dxa"/>
          </w:tblCellMar>
        </w:tblPrEx>
        <w:trPr>
          <w:trHeight w:val="454"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3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70" w:type="dxa"/>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单位产品取水量</w:t>
            </w:r>
          </w:p>
        </w:tc>
        <w:tc>
          <w:tcPr>
            <w:tcW w:w="3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rPr>
              <w:t>、棉、麻、化纤及混纺机织物</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m3/100m</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70" w:type="dxa"/>
            <w:vMerge w:val="continue"/>
            <w:tcBorders>
              <w:left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3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rPr>
              <w:t>、丝绸机织物</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m3/100m</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7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3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r>
              <w:rPr>
                <w:rFonts w:hint="eastAsia" w:ascii="Times New Roman" w:hAnsi="Times New Roman" w:eastAsia="宋体" w:cs="Times New Roman"/>
                <w:snapToGrid/>
                <w:color w:val="auto"/>
                <w:spacing w:val="0"/>
                <w:w w:val="100"/>
                <w:position w:val="0"/>
                <w:sz w:val="24"/>
                <w:szCs w:val="24"/>
                <w:u w:val="none" w:color="auto"/>
                <w:vertAlign w:val="baseline"/>
              </w:rPr>
              <w:t>、针织物及纱线</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70" w:type="dxa"/>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3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70" w:type="dxa"/>
            <w:vMerge w:val="continue"/>
            <w:tcBorders>
              <w:left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3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rPr>
              <w:t>、间接冷却水循环率</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≥95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44" w:hRule="atLeast"/>
          <w:jc w:val="center"/>
        </w:trPr>
        <w:tc>
          <w:tcPr>
            <w:tcW w:w="1470" w:type="dxa"/>
            <w:vMerge w:val="continue"/>
            <w:tcBorders>
              <w:left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3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r>
              <w:rPr>
                <w:rFonts w:hint="eastAsia" w:ascii="Times New Roman" w:hAnsi="Times New Roman" w:eastAsia="宋体" w:cs="Times New Roman"/>
                <w:snapToGrid/>
                <w:color w:val="auto"/>
                <w:spacing w:val="0"/>
                <w:w w:val="100"/>
                <w:position w:val="0"/>
                <w:sz w:val="24"/>
                <w:szCs w:val="24"/>
                <w:u w:val="none" w:color="auto"/>
                <w:vertAlign w:val="baseline"/>
              </w:rPr>
              <w:t>、冷凝水回用率</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10" w:hRule="atLeast"/>
          <w:jc w:val="center"/>
        </w:trPr>
        <w:tc>
          <w:tcPr>
            <w:tcW w:w="147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3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4</w:t>
            </w:r>
            <w:r>
              <w:rPr>
                <w:rFonts w:hint="eastAsia" w:ascii="Times New Roman" w:hAnsi="Times New Roman" w:eastAsia="宋体" w:cs="Times New Roman"/>
                <w:snapToGrid/>
                <w:color w:val="auto"/>
                <w:spacing w:val="0"/>
                <w:w w:val="100"/>
                <w:position w:val="0"/>
                <w:sz w:val="24"/>
                <w:szCs w:val="24"/>
                <w:u w:val="none" w:color="auto"/>
                <w:vertAlign w:val="baseline"/>
              </w:rPr>
              <w:t>、废水回用率</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≥20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18"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3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46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w:t>
            </w:r>
            <w:r>
              <w:rPr>
                <w:rFonts w:ascii="Times New Roman" w:hAnsi="Times New Roman" w:eastAsia="宋体" w:cs="Times New Roman"/>
                <w:snapToGrid/>
                <w:color w:val="auto"/>
                <w:spacing w:val="0"/>
                <w:w w:val="100"/>
                <w:position w:val="0"/>
                <w:sz w:val="24"/>
                <w:szCs w:val="24"/>
                <w:u w:val="none" w:color="auto"/>
                <w:vertAlign w:val="baseline"/>
              </w:rPr>
              <w:t>a.</w:t>
            </w:r>
            <w:r>
              <w:rPr>
                <w:rFonts w:hint="eastAsia" w:ascii="Times New Roman" w:hAnsi="Times New Roman" w:eastAsia="宋体" w:cs="Times New Roman"/>
                <w:snapToGrid/>
                <w:color w:val="auto"/>
                <w:spacing w:val="0"/>
                <w:w w:val="100"/>
                <w:position w:val="0"/>
                <w:sz w:val="24"/>
                <w:szCs w:val="24"/>
                <w:u w:val="none" w:color="auto"/>
                <w:vertAlign w:val="baseline"/>
              </w:rPr>
              <w:t>各参数计算方法参见</w:t>
            </w:r>
            <w:r>
              <w:rPr>
                <w:rFonts w:ascii="Times New Roman" w:hAnsi="Times New Roman" w:eastAsia="宋体" w:cs="Times New Roman"/>
                <w:snapToGrid/>
                <w:color w:val="auto"/>
                <w:spacing w:val="0"/>
                <w:w w:val="100"/>
                <w:position w:val="0"/>
                <w:sz w:val="24"/>
                <w:szCs w:val="24"/>
                <w:u w:val="none" w:color="auto"/>
                <w:vertAlign w:val="baseline"/>
              </w:rPr>
              <w:t>GB/T 26923-2011</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纺织染整行业》。</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b.</w:t>
            </w:r>
            <w:r>
              <w:rPr>
                <w:rFonts w:hint="eastAsia" w:ascii="Times New Roman" w:hAnsi="Times New Roman" w:eastAsia="宋体" w:cs="Times New Roman"/>
                <w:snapToGrid/>
                <w:color w:val="auto"/>
                <w:spacing w:val="0"/>
                <w:w w:val="100"/>
                <w:position w:val="0"/>
                <w:sz w:val="24"/>
                <w:szCs w:val="24"/>
                <w:u w:val="none" w:color="auto"/>
                <w:vertAlign w:val="baseline"/>
              </w:rPr>
              <w:t>以棉色布为标准品，将标准品折合系数为</w:t>
            </w: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rPr>
              <w:t>，机织物百米基准值为布幅宽度</w:t>
            </w:r>
            <w:r>
              <w:rPr>
                <w:rFonts w:ascii="Times New Roman" w:hAnsi="Times New Roman" w:eastAsia="宋体" w:cs="Times New Roman"/>
                <w:snapToGrid/>
                <w:color w:val="auto"/>
                <w:spacing w:val="0"/>
                <w:w w:val="100"/>
                <w:position w:val="0"/>
                <w:sz w:val="24"/>
                <w:szCs w:val="24"/>
                <w:u w:val="none" w:color="auto"/>
                <w:vertAlign w:val="baseline"/>
              </w:rPr>
              <w:t>106cm</w:t>
            </w:r>
            <w:r>
              <w:rPr>
                <w:rFonts w:hint="eastAsia" w:ascii="Times New Roman" w:hAnsi="Times New Roman" w:eastAsia="宋体" w:cs="Times New Roman"/>
                <w:snapToGrid/>
                <w:color w:val="auto"/>
                <w:spacing w:val="0"/>
                <w:w w:val="100"/>
                <w:position w:val="0"/>
                <w:sz w:val="24"/>
                <w:szCs w:val="24"/>
                <w:u w:val="none" w:color="auto"/>
                <w:vertAlign w:val="baseline"/>
              </w:rPr>
              <w:t>、布重</w:t>
            </w:r>
            <w:r>
              <w:rPr>
                <w:rFonts w:ascii="Times New Roman" w:hAnsi="Times New Roman" w:eastAsia="宋体" w:cs="Times New Roman"/>
                <w:snapToGrid/>
                <w:color w:val="auto"/>
                <w:spacing w:val="0"/>
                <w:w w:val="100"/>
                <w:position w:val="0"/>
                <w:sz w:val="24"/>
                <w:szCs w:val="24"/>
                <w:u w:val="none" w:color="auto"/>
                <w:vertAlign w:val="baseline"/>
              </w:rPr>
              <w:t xml:space="preserve">12.00kg/100m </w:t>
            </w:r>
            <w:r>
              <w:rPr>
                <w:rFonts w:hint="eastAsia" w:ascii="Times New Roman" w:hAnsi="Times New Roman" w:eastAsia="宋体" w:cs="Times New Roman"/>
                <w:snapToGrid/>
                <w:color w:val="auto"/>
                <w:spacing w:val="0"/>
                <w:w w:val="100"/>
                <w:position w:val="0"/>
                <w:sz w:val="24"/>
                <w:szCs w:val="24"/>
                <w:u w:val="none" w:color="auto"/>
                <w:vertAlign w:val="baseline"/>
              </w:rPr>
              <w:t>的合格产品，当棉机织产品布幅宽度或布重不同时，计算其产品产量可按附录</w:t>
            </w:r>
            <w:r>
              <w:rPr>
                <w:rFonts w:ascii="Times New Roman" w:hAnsi="Times New Roman" w:eastAsia="宋体" w:cs="Times New Roman"/>
                <w:snapToGrid/>
                <w:color w:val="auto"/>
                <w:spacing w:val="0"/>
                <w:w w:val="100"/>
                <w:position w:val="0"/>
                <w:sz w:val="24"/>
                <w:szCs w:val="24"/>
                <w:u w:val="none" w:color="auto"/>
                <w:vertAlign w:val="baseline"/>
              </w:rPr>
              <w:t>C——</w:t>
            </w:r>
            <w:r>
              <w:rPr>
                <w:rFonts w:hint="eastAsia" w:ascii="Times New Roman" w:hAnsi="Times New Roman" w:eastAsia="宋体" w:cs="Times New Roman"/>
                <w:snapToGrid/>
                <w:color w:val="auto"/>
                <w:spacing w:val="0"/>
                <w:w w:val="100"/>
                <w:position w:val="0"/>
                <w:sz w:val="24"/>
                <w:szCs w:val="24"/>
                <w:u w:val="none" w:color="auto"/>
                <w:vertAlign w:val="baseline"/>
              </w:rPr>
              <w:t>基准棉印染产品产量计算公式进行相应的换算。其他产品，可根据织物的长度、幅宽、厚度等数据按照</w:t>
            </w:r>
            <w:r>
              <w:rPr>
                <w:rFonts w:ascii="Times New Roman" w:hAnsi="Times New Roman" w:eastAsia="宋体" w:cs="Times New Roman"/>
                <w:snapToGrid/>
                <w:color w:val="auto"/>
                <w:spacing w:val="0"/>
                <w:w w:val="100"/>
                <w:position w:val="0"/>
                <w:sz w:val="24"/>
                <w:szCs w:val="24"/>
                <w:u w:val="none" w:color="auto"/>
                <w:vertAlign w:val="baseline"/>
              </w:rPr>
              <w:t>FZ/T 01002-2010</w:t>
            </w:r>
            <w:r>
              <w:rPr>
                <w:rFonts w:hint="eastAsia" w:ascii="Times New Roman" w:hAnsi="Times New Roman" w:eastAsia="宋体" w:cs="Times New Roman"/>
                <w:snapToGrid/>
                <w:color w:val="auto"/>
                <w:spacing w:val="0"/>
                <w:w w:val="100"/>
                <w:position w:val="0"/>
                <w:sz w:val="24"/>
                <w:szCs w:val="24"/>
                <w:u w:val="none" w:color="auto"/>
                <w:vertAlign w:val="baseline"/>
              </w:rPr>
              <w:t>《印染企业综合能耗计算办法及基本定额》中附录</w:t>
            </w:r>
            <w:r>
              <w:rPr>
                <w:rFonts w:ascii="Times New Roman" w:hAnsi="Times New Roman" w:eastAsia="宋体" w:cs="Times New Roman"/>
                <w:snapToGrid/>
                <w:color w:val="auto"/>
                <w:spacing w:val="0"/>
                <w:w w:val="100"/>
                <w:position w:val="0"/>
                <w:sz w:val="24"/>
                <w:szCs w:val="24"/>
                <w:u w:val="none" w:color="auto"/>
                <w:vertAlign w:val="baseline"/>
              </w:rPr>
              <w:t>B</w:t>
            </w:r>
            <w:r>
              <w:rPr>
                <w:rFonts w:hint="eastAsia" w:ascii="Times New Roman" w:hAnsi="Times New Roman" w:eastAsia="宋体" w:cs="Times New Roman"/>
                <w:snapToGrid/>
                <w:color w:val="auto"/>
                <w:spacing w:val="0"/>
                <w:w w:val="100"/>
                <w:position w:val="0"/>
                <w:sz w:val="24"/>
                <w:szCs w:val="24"/>
                <w:u w:val="none" w:color="auto"/>
                <w:vertAlign w:val="baseline"/>
              </w:rPr>
              <w:t>的规定进行换算。</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c.</w:t>
            </w:r>
            <w:r>
              <w:rPr>
                <w:rFonts w:hint="eastAsia" w:ascii="Times New Roman" w:hAnsi="Times New Roman" w:eastAsia="宋体" w:cs="Times New Roman"/>
                <w:snapToGrid/>
                <w:color w:val="auto"/>
                <w:spacing w:val="0"/>
                <w:w w:val="100"/>
                <w:position w:val="0"/>
                <w:sz w:val="24"/>
                <w:szCs w:val="24"/>
                <w:u w:val="none" w:color="auto"/>
                <w:vertAlign w:val="baseline"/>
              </w:rPr>
              <w:t>毛织物单位产品取水量考核指标另行制定。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5</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）技术考核要求（化纤长丝织造行业）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899"/>
        <w:gridCol w:w="1557"/>
        <w:gridCol w:w="1967"/>
        <w:gridCol w:w="1406"/>
        <w:gridCol w:w="169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2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3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3" w:hRule="atLeast"/>
          <w:jc w:val="center"/>
        </w:trPr>
        <w:tc>
          <w:tcPr>
            <w:tcW w:w="18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单位产品取水量</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喷水织造</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涤纶长丝织物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m3/100m</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≤0.9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08" w:hRule="atLeast"/>
          <w:jc w:val="center"/>
        </w:trPr>
        <w:tc>
          <w:tcPr>
            <w:tcW w:w="18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锦纶长丝织物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m3/100m</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≤0.8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2" w:hRule="atLeast"/>
          <w:jc w:val="center"/>
        </w:trPr>
        <w:tc>
          <w:tcPr>
            <w:tcW w:w="18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非喷水织造</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涤纶、锦纶、人造丝织物</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m3/100m</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≤0.3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8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3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≥70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8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直接冷却水循环率</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≥70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8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蒸汽冷凝水回用率</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≥85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8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废水回用率</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35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GB/T37832-2019</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化纤长丝织造行业》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ascii="Times New Roman" w:hAnsi="Times New Roman" w:eastAsia="仿宋_GB2312" w:cs="Times New Roman"/>
          <w:snapToGrid/>
          <w:color w:val="auto"/>
          <w:spacing w:val="0"/>
          <w:w w:val="100"/>
          <w:position w:val="0"/>
          <w:sz w:val="32"/>
          <w:szCs w:val="32"/>
          <w:u w:val="none" w:color="auto"/>
          <w:vertAlign w:val="baseline"/>
        </w:rPr>
        <w:t xml:space="preserve">    </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6）技术考核要求（造纸行业）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61"/>
        <w:gridCol w:w="4685"/>
        <w:gridCol w:w="1168"/>
        <w:gridCol w:w="110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单位产品取水量</w:t>
            </w: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1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漂白化学木（竹）浆</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m3/Adt</w:t>
            </w: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70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本色化学木（竹）浆</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化学机械木浆</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30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漂白化学非木（麦草、芦苇、甘蔗渣）浆</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脱墨废纸浆</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未脱墨废纸浆</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新闻纸</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印刷书写纸</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30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生活用纸</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包装用纸</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白纸板</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30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箱纸板</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瓦楞原纸</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纸浆</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70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纸及纸板</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85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31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w:t>
            </w:r>
            <w:r>
              <w:rPr>
                <w:rFonts w:ascii="Times New Roman" w:hAnsi="Times New Roman" w:eastAsia="宋体" w:cs="Times New Roman"/>
                <w:snapToGrid/>
                <w:color w:val="auto"/>
                <w:spacing w:val="0"/>
                <w:w w:val="100"/>
                <w:position w:val="0"/>
                <w:sz w:val="24"/>
                <w:szCs w:val="24"/>
                <w:u w:val="none" w:color="auto"/>
                <w:vertAlign w:val="baseline"/>
              </w:rPr>
              <w:t>a.</w:t>
            </w:r>
            <w:r>
              <w:rPr>
                <w:rFonts w:hint="eastAsia" w:ascii="Times New Roman" w:hAnsi="Times New Roman" w:eastAsia="宋体" w:cs="Times New Roman"/>
                <w:snapToGrid/>
                <w:color w:val="auto"/>
                <w:spacing w:val="0"/>
                <w:w w:val="100"/>
                <w:position w:val="0"/>
                <w:sz w:val="24"/>
                <w:szCs w:val="24"/>
                <w:u w:val="none" w:color="auto"/>
                <w:vertAlign w:val="baseline"/>
              </w:rPr>
              <w:t>各参数计算方法参见</w:t>
            </w:r>
            <w:r>
              <w:rPr>
                <w:rFonts w:ascii="Times New Roman" w:hAnsi="Times New Roman" w:eastAsia="宋体" w:cs="Times New Roman"/>
                <w:snapToGrid/>
                <w:color w:val="auto"/>
                <w:spacing w:val="0"/>
                <w:w w:val="100"/>
                <w:position w:val="0"/>
                <w:sz w:val="24"/>
                <w:szCs w:val="24"/>
                <w:u w:val="none" w:color="auto"/>
                <w:vertAlign w:val="baseline"/>
              </w:rPr>
              <w:t>GB/T 26927-2011</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造纸行业》。</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b.</w:t>
            </w:r>
            <w:r>
              <w:rPr>
                <w:rFonts w:hint="eastAsia" w:ascii="Times New Roman" w:hAnsi="Times New Roman" w:eastAsia="宋体" w:cs="Times New Roman"/>
                <w:snapToGrid/>
                <w:color w:val="auto"/>
                <w:spacing w:val="0"/>
                <w:w w:val="100"/>
                <w:position w:val="0"/>
                <w:sz w:val="24"/>
                <w:szCs w:val="24"/>
                <w:u w:val="none" w:color="auto"/>
                <w:vertAlign w:val="baseline"/>
              </w:rPr>
              <w:t>经抄浆机生产浆板时，允许在本定额的基础上增加</w:t>
            </w:r>
            <w:r>
              <w:rPr>
                <w:rFonts w:ascii="Times New Roman" w:hAnsi="Times New Roman" w:eastAsia="宋体" w:cs="Times New Roman"/>
                <w:snapToGrid/>
                <w:color w:val="auto"/>
                <w:spacing w:val="0"/>
                <w:w w:val="100"/>
                <w:position w:val="0"/>
                <w:sz w:val="24"/>
                <w:szCs w:val="24"/>
                <w:u w:val="none" w:color="auto"/>
                <w:vertAlign w:val="baseline"/>
              </w:rPr>
              <w:t>10m3/t</w:t>
            </w:r>
            <w:r>
              <w:rPr>
                <w:rFonts w:hint="eastAsia" w:ascii="Times New Roman" w:hAnsi="Times New Roman" w:eastAsia="宋体" w:cs="Times New Roman"/>
                <w:snapToGrid/>
                <w:color w:val="auto"/>
                <w:spacing w:val="0"/>
                <w:w w:val="100"/>
                <w:position w:val="0"/>
                <w:sz w:val="24"/>
                <w:szCs w:val="24"/>
                <w:u w:val="none" w:color="auto"/>
                <w:vertAlign w:val="baseline"/>
              </w:rPr>
              <w:t>。</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c.</w:t>
            </w:r>
            <w:r>
              <w:rPr>
                <w:rFonts w:hint="eastAsia" w:ascii="Times New Roman" w:hAnsi="Times New Roman" w:eastAsia="宋体" w:cs="Times New Roman"/>
                <w:snapToGrid/>
                <w:color w:val="auto"/>
                <w:spacing w:val="0"/>
                <w:w w:val="100"/>
                <w:position w:val="0"/>
                <w:sz w:val="24"/>
                <w:szCs w:val="24"/>
                <w:u w:val="none" w:color="auto"/>
                <w:vertAlign w:val="baseline"/>
              </w:rPr>
              <w:t>生产漂白脱墨废纸浆时，允许在本定额的基础上增加</w:t>
            </w:r>
            <w:r>
              <w:rPr>
                <w:rFonts w:ascii="Times New Roman" w:hAnsi="Times New Roman" w:eastAsia="宋体" w:cs="Times New Roman"/>
                <w:snapToGrid/>
                <w:color w:val="auto"/>
                <w:spacing w:val="0"/>
                <w:w w:val="100"/>
                <w:position w:val="0"/>
                <w:sz w:val="24"/>
                <w:szCs w:val="24"/>
                <w:u w:val="none" w:color="auto"/>
                <w:vertAlign w:val="baseline"/>
              </w:rPr>
              <w:t>10m3/t</w:t>
            </w:r>
            <w:r>
              <w:rPr>
                <w:rFonts w:hint="eastAsia" w:ascii="Times New Roman" w:hAnsi="Times New Roman" w:eastAsia="宋体" w:cs="Times New Roman"/>
                <w:snapToGrid/>
                <w:color w:val="auto"/>
                <w:spacing w:val="0"/>
                <w:w w:val="100"/>
                <w:position w:val="0"/>
                <w:sz w:val="24"/>
                <w:szCs w:val="24"/>
                <w:u w:val="none" w:color="auto"/>
                <w:vertAlign w:val="baseline"/>
              </w:rPr>
              <w:t>。</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d.</w:t>
            </w:r>
            <w:r>
              <w:rPr>
                <w:rFonts w:hint="eastAsia" w:ascii="Times New Roman" w:hAnsi="Times New Roman" w:eastAsia="宋体" w:cs="Times New Roman"/>
                <w:snapToGrid/>
                <w:color w:val="auto"/>
                <w:spacing w:val="0"/>
                <w:w w:val="100"/>
                <w:position w:val="0"/>
                <w:sz w:val="24"/>
                <w:szCs w:val="24"/>
                <w:u w:val="none" w:color="auto"/>
                <w:vertAlign w:val="baseline"/>
              </w:rPr>
              <w:t>生产涂布类纸及纸板时，允许在本定额的基础上增加</w:t>
            </w:r>
            <w:r>
              <w:rPr>
                <w:rFonts w:ascii="Times New Roman" w:hAnsi="Times New Roman" w:eastAsia="宋体" w:cs="Times New Roman"/>
                <w:snapToGrid/>
                <w:color w:val="auto"/>
                <w:spacing w:val="0"/>
                <w:w w:val="100"/>
                <w:position w:val="0"/>
                <w:sz w:val="24"/>
                <w:szCs w:val="24"/>
                <w:u w:val="none" w:color="auto"/>
                <w:vertAlign w:val="baseline"/>
              </w:rPr>
              <w:t>10m3/t</w:t>
            </w:r>
            <w:r>
              <w:rPr>
                <w:rFonts w:hint="eastAsia" w:ascii="Times New Roman" w:hAnsi="Times New Roman" w:eastAsia="宋体" w:cs="Times New Roman"/>
                <w:snapToGrid/>
                <w:color w:val="auto"/>
                <w:spacing w:val="0"/>
                <w:w w:val="100"/>
                <w:position w:val="0"/>
                <w:sz w:val="24"/>
                <w:szCs w:val="24"/>
                <w:u w:val="none" w:color="auto"/>
                <w:vertAlign w:val="baseline"/>
              </w:rPr>
              <w:t>。</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e.</w:t>
            </w:r>
            <w:r>
              <w:rPr>
                <w:rFonts w:hint="eastAsia" w:ascii="Times New Roman" w:hAnsi="Times New Roman" w:eastAsia="宋体" w:cs="Times New Roman"/>
                <w:snapToGrid/>
                <w:color w:val="auto"/>
                <w:spacing w:val="0"/>
                <w:w w:val="100"/>
                <w:position w:val="0"/>
                <w:sz w:val="24"/>
                <w:szCs w:val="24"/>
                <w:u w:val="none" w:color="auto"/>
                <w:vertAlign w:val="baseline"/>
              </w:rPr>
              <w:t>纸浆的计量单位为吨风干浆（含水</w:t>
            </w:r>
            <w:r>
              <w:rPr>
                <w:rFonts w:ascii="Times New Roman" w:hAnsi="Times New Roman" w:eastAsia="宋体" w:cs="Times New Roman"/>
                <w:snapToGrid/>
                <w:color w:val="auto"/>
                <w:spacing w:val="0"/>
                <w:w w:val="100"/>
                <w:position w:val="0"/>
                <w:sz w:val="24"/>
                <w:szCs w:val="24"/>
                <w:u w:val="none" w:color="auto"/>
                <w:vertAlign w:val="baseline"/>
              </w:rPr>
              <w:t>10%</w:t>
            </w:r>
            <w:r>
              <w:rPr>
                <w:rFonts w:hint="eastAsia" w:ascii="Times New Roman" w:hAnsi="Times New Roman" w:eastAsia="宋体" w:cs="Times New Roman"/>
                <w:snapToGrid/>
                <w:color w:val="auto"/>
                <w:spacing w:val="0"/>
                <w:w w:val="100"/>
                <w:position w:val="0"/>
                <w:sz w:val="24"/>
                <w:szCs w:val="24"/>
                <w:u w:val="none" w:color="auto"/>
                <w:vertAlign w:val="baseline"/>
              </w:rPr>
              <w:t>）。</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f.</w:t>
            </w:r>
            <w:r>
              <w:rPr>
                <w:rFonts w:hint="eastAsia" w:ascii="Times New Roman" w:hAnsi="Times New Roman" w:eastAsia="宋体" w:cs="Times New Roman"/>
                <w:snapToGrid/>
                <w:color w:val="auto"/>
                <w:spacing w:val="0"/>
                <w:w w:val="100"/>
                <w:position w:val="0"/>
                <w:sz w:val="24"/>
                <w:szCs w:val="24"/>
                <w:u w:val="none" w:color="auto"/>
                <w:vertAlign w:val="baseline"/>
              </w:rPr>
              <w:t>纸浆、纸、纸板的取水量定额指标分别计。</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g.</w:t>
            </w:r>
            <w:r>
              <w:rPr>
                <w:rFonts w:hint="eastAsia" w:ascii="Times New Roman" w:hAnsi="Times New Roman" w:eastAsia="宋体" w:cs="Times New Roman"/>
                <w:snapToGrid/>
                <w:color w:val="auto"/>
                <w:spacing w:val="0"/>
                <w:w w:val="100"/>
                <w:position w:val="0"/>
                <w:sz w:val="24"/>
                <w:szCs w:val="24"/>
                <w:u w:val="none" w:color="auto"/>
                <w:vertAlign w:val="baseline"/>
              </w:rPr>
              <w:t>高得率半化学本色木浆及草浆按本色化学木浆执行，机械木浆按化学机械木浆执行。</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h.</w:t>
            </w:r>
            <w:r>
              <w:rPr>
                <w:rFonts w:hint="eastAsia" w:ascii="Times New Roman" w:hAnsi="Times New Roman" w:eastAsia="宋体" w:cs="Times New Roman"/>
                <w:snapToGrid/>
                <w:color w:val="auto"/>
                <w:spacing w:val="0"/>
                <w:w w:val="100"/>
                <w:position w:val="0"/>
                <w:sz w:val="24"/>
                <w:szCs w:val="24"/>
                <w:u w:val="none" w:color="auto"/>
                <w:vertAlign w:val="baseline"/>
              </w:rPr>
              <w:t>此表不包括特殊浆种、薄页纸及特种纸的取水量。</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7</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）技术考核要求（石油炼制行业）</w:t>
      </w:r>
    </w:p>
    <w:tbl>
      <w:tblPr>
        <w:tblStyle w:val="4"/>
        <w:tblW w:w="8518" w:type="dxa"/>
        <w:jc w:val="center"/>
        <w:tblInd w:w="108"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1700"/>
        <w:gridCol w:w="3117"/>
        <w:gridCol w:w="1367"/>
        <w:gridCol w:w="2334"/>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取水量</w:t>
            </w: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加工吨原</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料</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油取水量</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0.</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41</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97.5</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浓缩倍数</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倍</w:t>
            </w: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4.0</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软化水、除盐水制取系数</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1.1</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蒸汽冷凝水回收率</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60</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含硫污水汽提净化水回用率</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60</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污</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废</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水回用率</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50</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7</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17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排水</w:t>
            </w:r>
          </w:p>
        </w:tc>
        <w:tc>
          <w:tcPr>
            <w:tcW w:w="31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加工吨原</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料</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油排水量</w:t>
            </w:r>
          </w:p>
        </w:tc>
        <w:tc>
          <w:tcPr>
            <w:tcW w:w="13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233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0.35</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1493" w:hRule="atLeast"/>
          <w:jc w:val="center"/>
        </w:trPr>
        <w:tc>
          <w:tcPr>
            <w:tcW w:w="8518" w:type="dxa"/>
            <w:gridSpan w:val="4"/>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注</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1</w:t>
            </w:r>
            <w:r>
              <w:rPr>
                <w:rFonts w:hint="eastAsia" w:ascii="Times New Roman" w:hAnsi="Times New Roman" w:eastAsia="宋体" w:cs="Times New Roman"/>
                <w:snapToGrid/>
                <w:color w:val="auto"/>
                <w:spacing w:val="0"/>
                <w:w w:val="100"/>
                <w:position w:val="0"/>
                <w:sz w:val="24"/>
                <w:szCs w:val="24"/>
                <w:u w:val="none" w:color="auto"/>
                <w:vertAlign w:val="baseline"/>
              </w:rPr>
              <w:t>：各参数计算方法参见</w:t>
            </w:r>
            <w:r>
              <w:rPr>
                <w:rFonts w:ascii="Times New Roman" w:hAnsi="Times New Roman" w:eastAsia="宋体" w:cs="Times New Roman"/>
                <w:snapToGrid/>
                <w:color w:val="auto"/>
                <w:spacing w:val="0"/>
                <w:w w:val="100"/>
                <w:position w:val="0"/>
                <w:sz w:val="24"/>
                <w:szCs w:val="24"/>
                <w:u w:val="none" w:color="auto"/>
                <w:vertAlign w:val="baseline"/>
              </w:rPr>
              <w:t xml:space="preserve">GB/T 26926-2011 </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石油炼制行业》</w:t>
            </w:r>
            <w:r>
              <w:rPr>
                <w:rFonts w:hint="eastAsia" w:ascii="Times New Roman" w:hAnsi="Times New Roman" w:eastAsia="宋体" w:cs="Times New Roman"/>
                <w:snapToGrid/>
                <w:color w:val="auto"/>
                <w:spacing w:val="0"/>
                <w:w w:val="100"/>
                <w:position w:val="0"/>
                <w:sz w:val="24"/>
                <w:szCs w:val="24"/>
                <w:u w:val="none" w:color="auto"/>
                <w:vertAlign w:val="baseline"/>
                <w:lang w:eastAsia="zh-CN"/>
              </w:rPr>
              <w:t>。</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注2：</w:t>
            </w:r>
            <w:r>
              <w:rPr>
                <w:rFonts w:hint="eastAsia" w:ascii="Times New Roman" w:hAnsi="Times New Roman" w:eastAsia="宋体" w:cs="Times New Roman"/>
                <w:snapToGrid/>
                <w:color w:val="auto"/>
                <w:spacing w:val="0"/>
                <w:w w:val="100"/>
                <w:position w:val="0"/>
                <w:sz w:val="24"/>
                <w:szCs w:val="24"/>
                <w:u w:val="none" w:color="auto"/>
                <w:vertAlign w:val="baseline"/>
              </w:rPr>
              <w:t>表中浓缩倍数指标是按间接冷却水循环系统中补充运行过程中损失的取水量确定的，当企业的间接冷却水循环系统的补充水中含有污</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废</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水回用水时，可将浓缩倍数指标按污</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废</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水回用水水量占补充水总量的</w:t>
            </w:r>
            <w:r>
              <w:rPr>
                <w:rFonts w:ascii="Times New Roman" w:hAnsi="Times New Roman" w:eastAsia="宋体" w:cs="Times New Roman"/>
                <w:snapToGrid/>
                <w:color w:val="auto"/>
                <w:spacing w:val="0"/>
                <w:w w:val="100"/>
                <w:position w:val="0"/>
                <w:sz w:val="24"/>
                <w:szCs w:val="24"/>
                <w:u w:val="none" w:color="auto"/>
                <w:vertAlign w:val="baseline"/>
              </w:rPr>
              <w:t>10</w:t>
            </w:r>
            <w:r>
              <w:rPr>
                <w:rFonts w:hint="eastAsia" w:ascii="Times New Roman" w:hAnsi="Times New Roman" w:eastAsia="宋体" w:cs="Times New Roman"/>
                <w:snapToGrid/>
                <w:color w:val="auto"/>
                <w:spacing w:val="0"/>
                <w:w w:val="100"/>
                <w:position w:val="0"/>
                <w:sz w:val="24"/>
                <w:szCs w:val="24"/>
                <w:u w:val="none" w:color="auto"/>
                <w:vertAlign w:val="baseline"/>
              </w:rPr>
              <w:t>％递减</w:t>
            </w:r>
            <w:r>
              <w:rPr>
                <w:rFonts w:ascii="Times New Roman" w:hAnsi="Times New Roman" w:eastAsia="宋体" w:cs="Times New Roman"/>
                <w:snapToGrid/>
                <w:color w:val="auto"/>
                <w:spacing w:val="0"/>
                <w:w w:val="100"/>
                <w:position w:val="0"/>
                <w:sz w:val="24"/>
                <w:szCs w:val="24"/>
                <w:u w:val="none" w:color="auto"/>
                <w:vertAlign w:val="baseline"/>
              </w:rPr>
              <w:t>0.1</w:t>
            </w:r>
            <w:r>
              <w:rPr>
                <w:rFonts w:hint="eastAsia" w:ascii="Times New Roman" w:hAnsi="Times New Roman" w:eastAsia="宋体" w:cs="Times New Roman"/>
                <w:snapToGrid/>
                <w:color w:val="auto"/>
                <w:spacing w:val="0"/>
                <w:w w:val="100"/>
                <w:position w:val="0"/>
                <w:sz w:val="24"/>
                <w:szCs w:val="24"/>
                <w:u w:val="none" w:color="auto"/>
                <w:vertAlign w:val="baseline"/>
              </w:rPr>
              <w:t>进行确定。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8）技术考核要求（炼焦行业）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387"/>
        <w:gridCol w:w="2617"/>
        <w:gridCol w:w="1538"/>
        <w:gridCol w:w="993"/>
        <w:gridCol w:w="993"/>
        <w:gridCol w:w="9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26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5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29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6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常规焦炉</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热回收焦炉</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半焦炉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取水量</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吨焦取水量</w:t>
            </w:r>
          </w:p>
        </w:tc>
        <w:tc>
          <w:tcPr>
            <w:tcW w:w="1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1.2</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0.4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0.6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间接冷却水循环率</w:t>
            </w:r>
          </w:p>
        </w:tc>
        <w:tc>
          <w:tcPr>
            <w:tcW w:w="153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9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废水回用率</w:t>
            </w:r>
          </w:p>
        </w:tc>
        <w:tc>
          <w:tcPr>
            <w:tcW w:w="153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9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75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9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GB/T34610-2017</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炼焦行业》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9）技术考核要求（现代煤化工行业）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67"/>
        <w:gridCol w:w="3030"/>
        <w:gridCol w:w="2023"/>
        <w:gridCol w:w="936"/>
        <w:gridCol w:w="126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50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取水量</w:t>
            </w:r>
          </w:p>
        </w:tc>
        <w:tc>
          <w:tcPr>
            <w:tcW w:w="50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煤制甲醇吨产品取水量</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0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煤制乙二醇吨产品取水量</w:t>
            </w:r>
          </w:p>
        </w:tc>
        <w:tc>
          <w:tcPr>
            <w:tcW w:w="2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煤制乙二醇</w:t>
            </w:r>
          </w:p>
        </w:tc>
        <w:tc>
          <w:tcPr>
            <w:tcW w:w="9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合成气制乙二醇</w:t>
            </w: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0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煤制油吨产品取水量</w:t>
            </w:r>
          </w:p>
        </w:tc>
        <w:tc>
          <w:tcPr>
            <w:tcW w:w="2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煤炭直接液化</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6.</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煤炭间接液化</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50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煤制合成天然气吨产品取水量</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m3/kNm3</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50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煤制烯烃吨产品取水量</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50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间接冷却水循环率</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50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50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达标排放</w:t>
            </w:r>
          </w:p>
        </w:tc>
        <w:tc>
          <w:tcPr>
            <w:tcW w:w="50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废水排放达标率</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 xml:space="preserve">GB/T 37759-2019 </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现代煤化工行业》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ascii="Times New Roman" w:hAnsi="Times New Roman" w:eastAsia="仿宋_GB2312" w:cs="Times New Roman"/>
          <w:snapToGrid/>
          <w:color w:val="auto"/>
          <w:spacing w:val="0"/>
          <w:w w:val="100"/>
          <w:position w:val="0"/>
          <w:sz w:val="32"/>
          <w:szCs w:val="32"/>
          <w:u w:val="none" w:color="auto"/>
          <w:vertAlign w:val="baseline"/>
        </w:rPr>
        <w:t xml:space="preserve">   </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10）技术考核要求（乙烯行业）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40"/>
        <w:gridCol w:w="2456"/>
        <w:gridCol w:w="1457"/>
        <w:gridCol w:w="316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2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3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w:t>
            </w:r>
          </w:p>
        </w:tc>
        <w:tc>
          <w:tcPr>
            <w:tcW w:w="2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单位乙烯取水量</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3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6.5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4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化学水制取系数</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 m3</w:t>
            </w:r>
          </w:p>
        </w:tc>
        <w:tc>
          <w:tcPr>
            <w:tcW w:w="3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1.1</w:t>
            </w:r>
            <w:r>
              <w:rPr>
                <w:rFonts w:hint="eastAsia" w:ascii="Times New Roman" w:hAnsi="Times New Roman" w:eastAsia="宋体" w:cs="Times New Roman"/>
                <w:snapToGrid/>
                <w:color w:val="auto"/>
                <w:spacing w:val="0"/>
                <w:w w:val="100"/>
                <w:position w:val="0"/>
                <w:sz w:val="24"/>
                <w:szCs w:val="24"/>
                <w:u w:val="none" w:color="auto"/>
                <w:vertAlign w:val="baseline"/>
              </w:rPr>
              <w:t>（离子交换树脂工艺）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4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 m3</w:t>
            </w:r>
          </w:p>
        </w:tc>
        <w:tc>
          <w:tcPr>
            <w:tcW w:w="3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1.25</w:t>
            </w:r>
            <w:r>
              <w:rPr>
                <w:rFonts w:hint="eastAsia" w:ascii="Times New Roman" w:hAnsi="Times New Roman" w:eastAsia="宋体" w:cs="Times New Roman"/>
                <w:snapToGrid/>
                <w:color w:val="auto"/>
                <w:spacing w:val="0"/>
                <w:w w:val="100"/>
                <w:position w:val="0"/>
                <w:sz w:val="24"/>
                <w:szCs w:val="24"/>
                <w:u w:val="none" w:color="auto"/>
                <w:vertAlign w:val="baseline"/>
              </w:rPr>
              <w:t>（反渗透工艺）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2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3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循环水浓缩倍数</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倍</w:t>
            </w:r>
          </w:p>
        </w:tc>
        <w:tc>
          <w:tcPr>
            <w:tcW w:w="3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蒸汽冷凝水回收率</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3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排水</w:t>
            </w:r>
          </w:p>
        </w:tc>
        <w:tc>
          <w:tcPr>
            <w:tcW w:w="24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单位乙烯排水量</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31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489"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w:t>
            </w:r>
            <w:r>
              <w:rPr>
                <w:rFonts w:ascii="Times New Roman" w:hAnsi="Times New Roman" w:eastAsia="宋体" w:cs="Times New Roman"/>
                <w:snapToGrid/>
                <w:color w:val="auto"/>
                <w:spacing w:val="0"/>
                <w:w w:val="100"/>
                <w:position w:val="0"/>
                <w:sz w:val="24"/>
                <w:szCs w:val="24"/>
                <w:u w:val="none" w:color="auto"/>
                <w:vertAlign w:val="baseline"/>
              </w:rPr>
              <w:t>a.</w:t>
            </w:r>
            <w:r>
              <w:rPr>
                <w:rFonts w:hint="eastAsia" w:ascii="Times New Roman" w:hAnsi="Times New Roman" w:eastAsia="宋体" w:cs="Times New Roman"/>
                <w:snapToGrid/>
                <w:color w:val="auto"/>
                <w:spacing w:val="0"/>
                <w:w w:val="100"/>
                <w:position w:val="0"/>
                <w:sz w:val="24"/>
                <w:szCs w:val="24"/>
                <w:u w:val="none" w:color="auto"/>
                <w:vertAlign w:val="baseline"/>
              </w:rPr>
              <w:t>各参数计算方法参见</w:t>
            </w:r>
            <w:r>
              <w:rPr>
                <w:rFonts w:ascii="Times New Roman" w:hAnsi="Times New Roman" w:eastAsia="宋体" w:cs="Times New Roman"/>
                <w:snapToGrid/>
                <w:color w:val="auto"/>
                <w:spacing w:val="0"/>
                <w:w w:val="100"/>
                <w:position w:val="0"/>
                <w:sz w:val="24"/>
                <w:szCs w:val="24"/>
                <w:u w:val="none" w:color="auto"/>
                <w:vertAlign w:val="baseline"/>
              </w:rPr>
              <w:t>GB/T 32164-2015</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乙烯行业》。</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b.</w:t>
            </w:r>
            <w:r>
              <w:rPr>
                <w:rFonts w:hint="eastAsia" w:ascii="Times New Roman" w:hAnsi="Times New Roman" w:eastAsia="宋体" w:cs="Times New Roman"/>
                <w:snapToGrid/>
                <w:color w:val="auto"/>
                <w:spacing w:val="0"/>
                <w:w w:val="100"/>
                <w:position w:val="0"/>
                <w:sz w:val="24"/>
                <w:szCs w:val="24"/>
                <w:u w:val="none" w:color="auto"/>
                <w:vertAlign w:val="baseline"/>
              </w:rPr>
              <w:t>单位乙烯取水量的取水范围参见附录图</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D</w:t>
            </w: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rPr>
              <w:t>。</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c.</w:t>
            </w:r>
            <w:r>
              <w:rPr>
                <w:rFonts w:hint="eastAsia" w:ascii="Times New Roman" w:hAnsi="Times New Roman" w:eastAsia="宋体" w:cs="Times New Roman"/>
                <w:snapToGrid/>
                <w:color w:val="auto"/>
                <w:spacing w:val="0"/>
                <w:w w:val="100"/>
                <w:position w:val="0"/>
                <w:sz w:val="24"/>
                <w:szCs w:val="24"/>
                <w:u w:val="none" w:color="auto"/>
                <w:vertAlign w:val="baseline"/>
              </w:rPr>
              <w:t>当企业的间接冷却水循环系统的补充水中含有污</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废</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水回用水时，将循环水浓缩倍数指标按污</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废</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rPr>
              <w:t>水回用水水量占补充水总量的</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百分比数值</w:t>
            </w:r>
            <w:r>
              <w:rPr>
                <w:rFonts w:hint="eastAsia" w:ascii="Times New Roman" w:hAnsi="Times New Roman" w:eastAsia="宋体" w:cs="Times New Roman"/>
                <w:snapToGrid/>
                <w:color w:val="auto"/>
                <w:spacing w:val="0"/>
                <w:w w:val="100"/>
                <w:position w:val="0"/>
                <w:sz w:val="24"/>
                <w:szCs w:val="24"/>
                <w:u w:val="none" w:color="auto"/>
                <w:vertAlign w:val="baseline"/>
              </w:rPr>
              <w:t>进行</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削减</w:t>
            </w:r>
            <w:r>
              <w:rPr>
                <w:rFonts w:hint="eastAsia" w:ascii="Times New Roman" w:hAnsi="Times New Roman" w:eastAsia="宋体" w:cs="Times New Roman"/>
                <w:snapToGrid/>
                <w:color w:val="auto"/>
                <w:spacing w:val="0"/>
                <w:w w:val="100"/>
                <w:position w:val="0"/>
                <w:sz w:val="24"/>
                <w:szCs w:val="24"/>
                <w:u w:val="none" w:color="auto"/>
                <w:vertAlign w:val="baseline"/>
              </w:rPr>
              <w:t>。</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11）技术考核要求（氧化铝行业）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360"/>
        <w:gridCol w:w="2601"/>
        <w:gridCol w:w="762"/>
        <w:gridCol w:w="1200"/>
        <w:gridCol w:w="1301"/>
        <w:gridCol w:w="129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2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拜耳法考核值</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烧结法考核值</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联合法考核值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取水量</w:t>
            </w:r>
          </w:p>
        </w:tc>
        <w:tc>
          <w:tcPr>
            <w:tcW w:w="2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单位氧化铝产品取水量</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 3/t</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1</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1</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9</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1</w:t>
            </w:r>
            <w:r>
              <w:rPr>
                <w:rFonts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2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废水回用率</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2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GB/T33232-2016</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氧化铝行业》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12）技术考核要求（电解铝行业）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387"/>
        <w:gridCol w:w="2617"/>
        <w:gridCol w:w="1538"/>
        <w:gridCol w:w="298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取水量</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单位电解铝取水量</w:t>
            </w:r>
          </w:p>
        </w:tc>
        <w:tc>
          <w:tcPr>
            <w:tcW w:w="1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0.8（电解原铝液）</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1.1（重熔用铝锭）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 xml:space="preserve"> 92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 xml:space="preserve"> 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GB/T33233-2016</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电解铝行业》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13</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）技术考核要求（氯碱行业）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93"/>
        <w:gridCol w:w="3260"/>
        <w:gridCol w:w="1313"/>
        <w:gridCol w:w="185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3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取水量</w:t>
            </w:r>
          </w:p>
        </w:tc>
        <w:tc>
          <w:tcPr>
            <w:tcW w:w="3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吨烧碱取水量</w:t>
            </w:r>
            <w:r>
              <w:rPr>
                <w:rFonts w:ascii="Times New Roman" w:hAnsi="Times New Roman" w:eastAsia="宋体" w:cs="Times New Roman"/>
                <w:snapToGrid/>
                <w:color w:val="auto"/>
                <w:spacing w:val="0"/>
                <w:w w:val="100"/>
                <w:position w:val="0"/>
                <w:sz w:val="24"/>
                <w:szCs w:val="24"/>
                <w:u w:val="none" w:color="auto"/>
                <w:vertAlign w:val="baseline"/>
              </w:rPr>
              <w:t>(30%)</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5.5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吨电石法聚氯乙烯取水量</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6.0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吨乙烯法聚氯乙烯取水量</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8.6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3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间接冷却水循环率</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3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排水量</w:t>
            </w:r>
          </w:p>
        </w:tc>
        <w:tc>
          <w:tcPr>
            <w:tcW w:w="3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达标排放率</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 xml:space="preserve">GB/T 37271-2018 </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氯碱行业》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14）技术考核要求（氮肥行业）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89"/>
        <w:gridCol w:w="4984"/>
        <w:gridCol w:w="1183"/>
        <w:gridCol w:w="106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取水量</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以无烟块煤（型煤）为原料的吨合成氨取水量</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以粉煤、褐煤为原料的吨合成氨取水量</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12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以天然气（焦炉气）为原料的吨合成氨取水量</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7.5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吨尿素取水量</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间接冷却水循环率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达标排放</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废水排放达标率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GB/T36895-2018</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氮肥行业》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15）技术考核要求（船舶行业）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89"/>
        <w:gridCol w:w="4984"/>
        <w:gridCol w:w="1183"/>
        <w:gridCol w:w="106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取水</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金属船舶单位修正总吨取水量</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7</w:t>
            </w:r>
            <w:r>
              <w:rPr>
                <w:rFonts w:ascii="Times New Roman" w:hAnsi="Times New Roman" w:eastAsia="宋体" w:cs="Times New Roman"/>
                <w:snapToGrid/>
                <w:color w:val="auto"/>
                <w:spacing w:val="0"/>
                <w:w w:val="100"/>
                <w:position w:val="0"/>
                <w:sz w:val="24"/>
                <w:szCs w:val="24"/>
                <w:u w:val="none" w:color="auto"/>
                <w:vertAlign w:val="baseline"/>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GB/T 37332-2019《节水型企业 船舶行业》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16）技术考核要求（多晶硅行业）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89"/>
        <w:gridCol w:w="4984"/>
        <w:gridCol w:w="1183"/>
        <w:gridCol w:w="106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单位多晶硅取水量</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.54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排水</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单位多晶硅排水量</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snapToGrid/>
                <w:color w:val="auto"/>
                <w:spacing w:val="0"/>
                <w:w w:val="100"/>
                <w:position w:val="0"/>
                <w:sz w:val="24"/>
                <w:szCs w:val="24"/>
                <w:u w:val="none" w:color="auto"/>
                <w:vertAlign w:val="baseline"/>
                <w:lang w:val="en-US" w:eastAsia="zh-CN"/>
              </w:rPr>
            </w:pP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注：各参数计算方法参见GB/T 38907-2020《节水型企业 多晶硅行业》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17）技术考核要求（味精行业）</w:t>
      </w:r>
    </w:p>
    <w:tbl>
      <w:tblPr>
        <w:tblStyle w:val="4"/>
        <w:tblW w:w="8522" w:type="dxa"/>
        <w:jc w:val="center"/>
        <w:tblInd w:w="0"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108" w:type="dxa"/>
          <w:bottom w:w="0" w:type="dxa"/>
          <w:right w:w="108" w:type="dxa"/>
        </w:tblCellMar>
      </w:tblPr>
      <w:tblGrid>
        <w:gridCol w:w="2853"/>
        <w:gridCol w:w="3214"/>
        <w:gridCol w:w="1047"/>
        <w:gridCol w:w="1408"/>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3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单位产品取水量</w:t>
            </w:r>
          </w:p>
        </w:tc>
        <w:tc>
          <w:tcPr>
            <w:tcW w:w="3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吨味精取水量</w:t>
            </w:r>
          </w:p>
        </w:tc>
        <w:tc>
          <w:tcPr>
            <w:tcW w:w="1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m3/t</w:t>
            </w: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lang w:eastAsia="zh-CN"/>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2</w:t>
            </w:r>
            <w:r>
              <w:rPr>
                <w:rFonts w:hint="eastAsia" w:ascii="Times New Roman" w:hAnsi="Times New Roman" w:eastAsia="宋体" w:cs="Times New Roman"/>
                <w:snapToGrid/>
                <w:color w:val="auto"/>
                <w:spacing w:val="0"/>
                <w:w w:val="100"/>
                <w:position w:val="0"/>
                <w:sz w:val="24"/>
                <w:szCs w:val="24"/>
                <w:u w:val="none" w:color="auto"/>
                <w:vertAlign w:val="baseline"/>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85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3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92</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8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3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间接冷却水循环率</w:t>
            </w:r>
          </w:p>
        </w:tc>
        <w:tc>
          <w:tcPr>
            <w:tcW w:w="1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95</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排水</w:t>
            </w:r>
          </w:p>
        </w:tc>
        <w:tc>
          <w:tcPr>
            <w:tcW w:w="3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达标排放率</w:t>
            </w:r>
          </w:p>
        </w:tc>
        <w:tc>
          <w:tcPr>
            <w:tcW w:w="1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100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用水漏损</w:t>
            </w:r>
          </w:p>
        </w:tc>
        <w:tc>
          <w:tcPr>
            <w:tcW w:w="3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用水综合漏失率</w:t>
            </w:r>
          </w:p>
        </w:tc>
        <w:tc>
          <w:tcPr>
            <w:tcW w:w="1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3</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GB/T 32165-2015</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味精行业》。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vertAlign w:val="baseline"/>
          <w:lang w:eastAsia="zh-CN"/>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18）技术考核要求（啤酒行业）</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386"/>
        <w:gridCol w:w="2617"/>
        <w:gridCol w:w="1539"/>
        <w:gridCol w:w="298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考核内容</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技术指标</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单位</w:t>
            </w:r>
          </w:p>
        </w:tc>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考核值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取水量</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千升啤酒取水量</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m3/kL</w:t>
            </w:r>
          </w:p>
        </w:tc>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重复利用率</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70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间接冷却循环率</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320" w:lineRule="exact"/>
              <w:ind w:left="0" w:right="0" w:firstLine="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w:t>
            </w:r>
            <w:r>
              <w:rPr>
                <w:rFonts w:ascii="Times New Roman" w:hAnsi="Times New Roman" w:eastAsia="宋体" w:cs="Times New Roman"/>
                <w:snapToGrid/>
                <w:color w:val="auto"/>
                <w:spacing w:val="0"/>
                <w:w w:val="100"/>
                <w:position w:val="0"/>
                <w:sz w:val="24"/>
                <w:szCs w:val="24"/>
                <w:u w:val="none" w:color="auto"/>
                <w:vertAlign w:val="baseline"/>
              </w:rPr>
              <w:t>95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排放</w:t>
            </w:r>
          </w:p>
        </w:tc>
        <w:tc>
          <w:tcPr>
            <w:tcW w:w="2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达标排放率</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w:t>
            </w:r>
          </w:p>
        </w:tc>
        <w:tc>
          <w:tcPr>
            <w:tcW w:w="2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eastAsia="宋体" w:cs="Times New Roman"/>
                <w:snapToGrid/>
                <w:color w:val="auto"/>
                <w:spacing w:val="0"/>
                <w:w w:val="100"/>
                <w:position w:val="0"/>
                <w:sz w:val="24"/>
                <w:szCs w:val="24"/>
                <w:u w:val="none" w:color="auto"/>
                <w:vertAlign w:val="baseline"/>
              </w:rPr>
            </w:pPr>
            <w:r>
              <w:rPr>
                <w:rFonts w:ascii="Times New Roman" w:hAnsi="Times New Roman" w:eastAsia="宋体" w:cs="Times New Roman"/>
                <w:snapToGrid/>
                <w:color w:val="auto"/>
                <w:spacing w:val="0"/>
                <w:w w:val="100"/>
                <w:position w:val="0"/>
                <w:sz w:val="24"/>
                <w:szCs w:val="24"/>
                <w:u w:val="none" w:color="auto"/>
                <w:vertAlign w:val="baseline"/>
              </w:rPr>
              <w:t>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20" w:lineRule="exact"/>
              <w:ind w:left="0" w:right="0" w:firstLine="0"/>
              <w:textAlignment w:val="auto"/>
              <w:outlineLvl w:val="9"/>
              <w:rPr>
                <w:rFonts w:ascii="Times New Roman" w:hAnsi="Times New Roman" w:eastAsia="宋体" w:cs="Times New Roman"/>
                <w:snapToGrid/>
                <w:color w:val="auto"/>
                <w:spacing w:val="0"/>
                <w:w w:val="100"/>
                <w:position w:val="0"/>
                <w:sz w:val="24"/>
                <w:szCs w:val="24"/>
                <w:u w:val="none" w:color="auto"/>
                <w:vertAlign w:val="baseline"/>
              </w:rPr>
            </w:pPr>
            <w:r>
              <w:rPr>
                <w:rFonts w:hint="eastAsia" w:ascii="Times New Roman" w:hAnsi="Times New Roman" w:eastAsia="宋体" w:cs="Times New Roman"/>
                <w:snapToGrid/>
                <w:color w:val="auto"/>
                <w:spacing w:val="0"/>
                <w:w w:val="100"/>
                <w:position w:val="0"/>
                <w:sz w:val="24"/>
                <w:szCs w:val="24"/>
                <w:u w:val="none" w:color="auto"/>
                <w:vertAlign w:val="baseline"/>
              </w:rPr>
              <w:t>注：各参数计算方法参见</w:t>
            </w:r>
            <w:r>
              <w:rPr>
                <w:rFonts w:ascii="Times New Roman" w:hAnsi="Times New Roman" w:eastAsia="宋体" w:cs="Times New Roman"/>
                <w:snapToGrid/>
                <w:color w:val="auto"/>
                <w:spacing w:val="0"/>
                <w:w w:val="100"/>
                <w:position w:val="0"/>
                <w:sz w:val="24"/>
                <w:szCs w:val="24"/>
                <w:u w:val="none" w:color="auto"/>
                <w:vertAlign w:val="baseline"/>
              </w:rPr>
              <w:t>GB/T35576-2017</w:t>
            </w:r>
            <w:r>
              <w:rPr>
                <w:rFonts w:hint="eastAsia" w:ascii="Times New Roman" w:hAnsi="Times New Roman" w:eastAsia="宋体" w:cs="Times New Roman"/>
                <w:snapToGrid/>
                <w:color w:val="auto"/>
                <w:spacing w:val="0"/>
                <w:w w:val="100"/>
                <w:position w:val="0"/>
                <w:sz w:val="24"/>
                <w:szCs w:val="24"/>
                <w:u w:val="none" w:color="auto"/>
                <w:vertAlign w:val="baseline"/>
              </w:rPr>
              <w:t>《节水型企业</w:t>
            </w:r>
            <w:r>
              <w:rPr>
                <w:rFonts w:ascii="Times New Roman" w:hAnsi="Times New Roman" w:eastAsia="宋体" w:cs="Times New Roman"/>
                <w:snapToGrid/>
                <w:color w:val="auto"/>
                <w:spacing w:val="0"/>
                <w:w w:val="100"/>
                <w:position w:val="0"/>
                <w:sz w:val="24"/>
                <w:szCs w:val="24"/>
                <w:u w:val="none" w:color="auto"/>
                <w:vertAlign w:val="baseline"/>
              </w:rPr>
              <w:t xml:space="preserve">  </w:t>
            </w:r>
            <w:r>
              <w:rPr>
                <w:rFonts w:hint="eastAsia" w:ascii="Times New Roman" w:hAnsi="Times New Roman" w:eastAsia="宋体" w:cs="Times New Roman"/>
                <w:snapToGrid/>
                <w:color w:val="auto"/>
                <w:spacing w:val="0"/>
                <w:w w:val="100"/>
                <w:position w:val="0"/>
                <w:sz w:val="24"/>
                <w:szCs w:val="24"/>
                <w:u w:val="none" w:color="auto"/>
                <w:vertAlign w:val="baseline"/>
              </w:rPr>
              <w:t>啤酒行业》</w:t>
            </w:r>
          </w:p>
        </w:tc>
      </w:tr>
    </w:tbl>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pPr>
      <w:r>
        <w:rPr>
          <w:rFonts w:ascii="Times New Roman" w:hAnsi="Times New Roman" w:eastAsia="仿宋_GB2312" w:cs="Times New Roman"/>
          <w:snapToGrid/>
          <w:color w:val="auto"/>
          <w:spacing w:val="0"/>
          <w:w w:val="100"/>
          <w:position w:val="0"/>
          <w:sz w:val="32"/>
          <w:szCs w:val="32"/>
          <w:u w:val="none" w:color="auto"/>
          <w:vertAlign w:val="baseline"/>
        </w:rPr>
        <w:t xml:space="preserve">   </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rPr>
        <w:t xml:space="preserve"> </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ascii="Times New Roman" w:hAnsi="Times New Roman" w:eastAsia="仿宋_GB2312" w:cs="Times New Roman"/>
          <w:snapToGrid/>
          <w:color w:val="auto"/>
          <w:spacing w:val="0"/>
          <w:w w:val="100"/>
          <w:position w:val="0"/>
          <w:sz w:val="32"/>
          <w:szCs w:val="32"/>
          <w:u w:val="none" w:color="auto"/>
          <w:vertAlign w:val="baseli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E5093"/>
    <w:rsid w:val="01A7421E"/>
    <w:rsid w:val="1F283F90"/>
    <w:rsid w:val="1FAE3C7E"/>
    <w:rsid w:val="2D5C35BC"/>
    <w:rsid w:val="2E2626EC"/>
    <w:rsid w:val="3C3124E0"/>
    <w:rsid w:val="54FA6386"/>
    <w:rsid w:val="5BF552FB"/>
    <w:rsid w:val="5F690ACE"/>
    <w:rsid w:val="67AE5093"/>
    <w:rsid w:val="6F7B797F"/>
    <w:rsid w:val="7ACD2488"/>
    <w:rsid w:val="7CD3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2021-06-03T08:56:00Z</dcterms:created>
  <dc:creator>烟波微澜</dc:creator>
  <cp:lastModifiedBy>Lenovo</cp:lastModifiedBy>
  <dcterms:modified xsi:type="dcterms:W3CDTF">2023-03-28T07:26:27Z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