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2023年绿色智能家电下乡和家电以旧换新季报表</w:t>
      </w:r>
      <w:bookmarkEnd w:id="0"/>
    </w:p>
    <w:p>
      <w:pPr>
        <w:wordWrap/>
        <w:autoSpaceDE w:val="0"/>
        <w:autoSpaceDN w:val="0"/>
        <w:spacing w:before="380" w:after="0" w:line="220" w:lineRule="atLeast"/>
        <w:ind w:left="620" w:right="0"/>
        <w:jc w:val="both"/>
        <w:textAlignment w:val="auto"/>
        <w:rPr>
          <w:rFonts w:hint="eastAsia" w:ascii="楷体" w:hAnsi="楷体" w:eastAsia="楷体" w:cs="楷体"/>
          <w:b w:val="0"/>
          <w:i w:val="0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 w:val="0"/>
          <w:i w:val="0"/>
          <w:color w:val="000000"/>
          <w:sz w:val="28"/>
          <w:szCs w:val="28"/>
        </w:rPr>
        <w:t>填报单位：</w:t>
      </w:r>
    </w:p>
    <w:p>
      <w:pPr>
        <w:spacing w:line="220" w:lineRule="exact"/>
        <w:textAlignment w:val="bottom"/>
      </w:pPr>
    </w:p>
    <w:tbl>
      <w:tblPr>
        <w:tblStyle w:val="4"/>
        <w:tblW w:w="14137" w:type="dxa"/>
        <w:tblInd w:w="1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46"/>
        <w:gridCol w:w="926"/>
        <w:gridCol w:w="1128"/>
        <w:gridCol w:w="1157"/>
        <w:gridCol w:w="1826"/>
        <w:gridCol w:w="922"/>
        <w:gridCol w:w="1157"/>
        <w:gridCol w:w="984"/>
        <w:gridCol w:w="1128"/>
        <w:gridCol w:w="1975"/>
        <w:gridCol w:w="141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6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84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区域</w:t>
            </w:r>
          </w:p>
        </w:tc>
        <w:tc>
          <w:tcPr>
            <w:tcW w:w="50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绿色智能家电下乡</w:t>
            </w:r>
          </w:p>
        </w:tc>
        <w:tc>
          <w:tcPr>
            <w:tcW w:w="61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家电以旧换新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商务主管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部门联系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人及联系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7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84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销售量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（件）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销售额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补贴总额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绿色智能家电下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乡补贴标准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新家电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销售量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（件）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新家电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销售额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旧家电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回收量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（件）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旧家电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销售额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（万元）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家电以旧换新规则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单位、职务、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姓名、电话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例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**省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**市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10000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3000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300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……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10000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3000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10000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300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……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合计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—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0" w:lineRule="atLeast"/>
              <w:textAlignment w:val="auto"/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备注：1.“区域”精确到地市级。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2.绿色智能家电下乡“销售量”“销售额”分别为销售到县乡村的绿色智能家电数量、金额总和；  “补贴总额”为各类补贴总和。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3.家电以旧换新相关指标不限城乡地域范围。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1200" w:firstLineChars="500"/>
        <w:textAlignment w:val="auto"/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>4.请按季度填报，每季度结束后15日内反馈。表格可另附页</w:t>
      </w:r>
      <w:r>
        <w:rPr>
          <w:rFonts w:hint="eastAsia" w:ascii="Times New Roman" w:hAnsi="Times New Roman" w:eastAsia="楷体" w:cs="Times New Roman"/>
          <w:sz w:val="24"/>
          <w:szCs w:val="24"/>
          <w:lang w:eastAsia="zh-CN"/>
        </w:rPr>
        <w:t>。</w:t>
      </w:r>
    </w:p>
    <w:p/>
    <w:sectPr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13D7"/>
    <w:rsid w:val="11E8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200" w:firstLineChars="200"/>
    </w:pPr>
    <w:rPr>
      <w:rFonts w:eastAsia="楷体_GB231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2023-07-10T02:01:00Z</dcterms:created>
  <dc:creator>杨晨</dc:creator>
  <cp:lastModifiedBy>杨晨</cp:lastModifiedBy>
  <dcterms:modified xsi:type="dcterms:W3CDTF">2023-07-10T02:03:16Z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