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90" w:lineRule="exact"/>
        <w:ind w:firstLine="643" w:firstLineChars="200"/>
        <w:rPr>
          <w:rFonts w:hint="eastAsia" w:ascii="仿宋_GB2312" w:hAnsi="仿宋_GB2312" w:eastAsia="仿宋_GB2312" w:cs="仿宋_GB2312"/>
          <w:b/>
          <w:bCs/>
          <w:color w:val="000000" w:themeColor="text1"/>
          <w:kern w:val="0"/>
          <w:sz w:val="32"/>
          <w:szCs w:val="32"/>
          <w14:textFill>
            <w14:solidFill>
              <w14:schemeClr w14:val="tx1"/>
            </w14:solidFill>
          </w14:textFill>
        </w:rPr>
      </w:pPr>
      <w:bookmarkStart w:id="0" w:name="_Toc7625"/>
      <w:bookmarkStart w:id="1" w:name="_Toc5461"/>
      <w:bookmarkStart w:id="2" w:name="_Toc23985"/>
      <w:bookmarkStart w:id="3" w:name="_Toc4768"/>
      <w:bookmarkStart w:id="4" w:name="_Toc29835"/>
      <w:bookmarkStart w:id="5" w:name="_Toc21644"/>
      <w:bookmarkStart w:id="6" w:name="_Toc5662"/>
      <w:bookmarkStart w:id="7" w:name="_Toc26948"/>
      <w:bookmarkStart w:id="8" w:name="_Toc25835"/>
      <w:bookmarkStart w:id="9" w:name="_Toc22534"/>
      <w:bookmarkStart w:id="10" w:name="_Toc25613"/>
      <w:bookmarkStart w:id="11" w:name="_Toc29966"/>
      <w:bookmarkStart w:id="12" w:name="_Toc8178"/>
      <w:bookmarkStart w:id="13" w:name="_Toc12728"/>
      <w:bookmarkStart w:id="14" w:name="_Toc21841"/>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bookmarkStart w:id="181" w:name="_GoBack"/>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延安市突发事件总体应急预案</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bookmarkEnd w:id="181"/>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overflowPunct w:val="0"/>
        <w:spacing w:line="590" w:lineRule="exact"/>
        <w:ind w:firstLine="643" w:firstLineChars="200"/>
        <w:outlineLvl w:val="0"/>
        <w:rPr>
          <w:rFonts w:ascii="黑体" w:hAnsi="黑体" w:eastAsia="黑体" w:cs="黑体"/>
          <w:b/>
          <w:bCs/>
          <w:color w:val="000000" w:themeColor="text1"/>
          <w:sz w:val="32"/>
          <w:szCs w:val="32"/>
          <w14:textFill>
            <w14:solidFill>
              <w14:schemeClr w14:val="tx1"/>
            </w14:solidFill>
          </w14:textFill>
        </w:rPr>
      </w:pPr>
      <w:bookmarkStart w:id="15" w:name="_Toc8282"/>
      <w:r>
        <w:rPr>
          <w:rFonts w:hint="eastAsia" w:ascii="黑体" w:hAnsi="黑体" w:eastAsia="黑体" w:cs="黑体"/>
          <w:b/>
          <w:bCs/>
          <w:color w:val="000000" w:themeColor="text1"/>
          <w:sz w:val="32"/>
          <w:szCs w:val="32"/>
          <w14:textFill>
            <w14:solidFill>
              <w14:schemeClr w14:val="tx1"/>
            </w14:solidFill>
          </w14:textFill>
        </w:rPr>
        <w:t>1.总则</w:t>
      </w:r>
      <w:bookmarkEnd w:id="15"/>
    </w:p>
    <w:p>
      <w:pPr>
        <w:overflowPunct w:val="0"/>
        <w:spacing w:line="590" w:lineRule="exact"/>
        <w:ind w:firstLine="643" w:firstLineChars="200"/>
        <w:outlineLvl w:val="1"/>
        <w:rPr>
          <w:rFonts w:ascii="楷体_GB2312" w:hAnsi="楷体_GB2312" w:eastAsia="楷体_GB2312" w:cs="楷体_GB2312"/>
          <w:b/>
          <w:bCs/>
          <w:color w:val="000000" w:themeColor="text1"/>
          <w:kern w:val="0"/>
          <w:sz w:val="32"/>
          <w:szCs w:val="32"/>
          <w14:textFill>
            <w14:solidFill>
              <w14:schemeClr w14:val="tx1"/>
            </w14:solidFill>
          </w14:textFill>
        </w:rPr>
      </w:pPr>
      <w:bookmarkStart w:id="16" w:name="_Toc15328"/>
      <w:r>
        <w:rPr>
          <w:rFonts w:hint="eastAsia" w:ascii="楷体_GB2312" w:hAnsi="楷体_GB2312" w:eastAsia="楷体_GB2312" w:cs="楷体_GB2312"/>
          <w:b/>
          <w:bCs/>
          <w:color w:val="000000" w:themeColor="text1"/>
          <w:kern w:val="0"/>
          <w:sz w:val="32"/>
          <w:szCs w:val="32"/>
          <w14:textFill>
            <w14:solidFill>
              <w14:schemeClr w14:val="tx1"/>
            </w14:solidFill>
          </w14:textFill>
        </w:rPr>
        <w:t>1.1目的和依据</w:t>
      </w:r>
      <w:bookmarkEnd w:id="16"/>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为深入贯彻落实习近平新时代中国特色社会主义思想、习近平总书记</w:t>
      </w:r>
      <w:r>
        <w:rPr>
          <w:rFonts w:ascii="仿宋_GB2312" w:hAnsi="仿宋_GB2312" w:eastAsia="仿宋_GB2312" w:cs="仿宋_GB2312"/>
          <w:b/>
          <w:bCs/>
          <w:color w:val="000000" w:themeColor="text1"/>
          <w:kern w:val="0"/>
          <w:sz w:val="32"/>
          <w:szCs w:val="32"/>
          <w14:textFill>
            <w14:solidFill>
              <w14:schemeClr w14:val="tx1"/>
            </w14:solidFill>
          </w14:textFill>
        </w:rPr>
        <w:t>关于应急管理的重要指示精神</w:t>
      </w:r>
      <w:r>
        <w:rPr>
          <w:rFonts w:hint="eastAsia" w:ascii="仿宋_GB2312" w:hAnsi="仿宋_GB2312" w:eastAsia="仿宋_GB2312" w:cs="仿宋_GB2312"/>
          <w:b/>
          <w:bCs/>
          <w:color w:val="000000" w:themeColor="text1"/>
          <w:kern w:val="0"/>
          <w:sz w:val="32"/>
          <w:szCs w:val="32"/>
          <w14:textFill>
            <w14:solidFill>
              <w14:schemeClr w14:val="tx1"/>
            </w14:solidFill>
          </w14:textFill>
        </w:rPr>
        <w:t>以及习近平总书记关于安全生产的重要论述</w:t>
      </w:r>
      <w:r>
        <w:rPr>
          <w:rFonts w:ascii="仿宋_GB2312" w:hAnsi="仿宋_GB2312" w:eastAsia="仿宋_GB2312" w:cs="仿宋_GB2312"/>
          <w:b/>
          <w:bCs/>
          <w:color w:val="000000" w:themeColor="text1"/>
          <w:kern w:val="0"/>
          <w:sz w:val="32"/>
          <w:szCs w:val="32"/>
          <w14:textFill>
            <w14:solidFill>
              <w14:schemeClr w14:val="tx1"/>
            </w14:solidFill>
          </w14:textFill>
        </w:rPr>
        <w:t>，</w:t>
      </w:r>
      <w:r>
        <w:rPr>
          <w:rFonts w:hint="eastAsia" w:ascii="仿宋_GB2312" w:hAnsi="仿宋" w:eastAsia="仿宋_GB2312" w:cs="仿宋"/>
          <w:b/>
          <w:bCs/>
          <w:color w:val="000000" w:themeColor="text1"/>
          <w:sz w:val="32"/>
          <w:szCs w:val="32"/>
          <w14:textFill>
            <w14:solidFill>
              <w14:schemeClr w14:val="tx1"/>
            </w14:solidFill>
          </w14:textFill>
        </w:rPr>
        <w:t>贯彻党的二十大精神，推进区域应急体系和能力现代化，提高公共安全治理水平，推动公共安全治理模式向事前预防转型，以新安全格局保障新发展格局，覆盖突发事件应对全过程，社会广泛参与的突发事件应急管理体系，坚决防控突发事件风险，有效应对各类突发事件，保障人民群众身体健康和财产安全，促进社会稳定和国民经济持续快速协调健康发展</w:t>
      </w:r>
      <w:r>
        <w:rPr>
          <w:rFonts w:ascii="仿宋_GB2312" w:hAnsi="仿宋_GB2312" w:eastAsia="仿宋_GB2312" w:cs="仿宋_GB2312"/>
          <w:b/>
          <w:bCs/>
          <w:color w:val="000000" w:themeColor="text1"/>
          <w:kern w:val="0"/>
          <w:sz w:val="32"/>
          <w:szCs w:val="32"/>
          <w14:textFill>
            <w14:solidFill>
              <w14:schemeClr w14:val="tx1"/>
            </w14:solidFill>
          </w14:textFill>
        </w:rPr>
        <w:t>，依据《中华人民共和国突发事件应对法》《中华人民共和国安全生产法》</w:t>
      </w:r>
      <w:r>
        <w:rPr>
          <w:rFonts w:hint="eastAsia" w:ascii="仿宋_GB2312" w:hAnsi="仿宋_GB2312" w:eastAsia="仿宋_GB2312" w:cs="仿宋_GB2312"/>
          <w:b/>
          <w:bCs/>
          <w:color w:val="000000" w:themeColor="text1"/>
          <w:sz w:val="32"/>
          <w:szCs w:val="32"/>
          <w:lang w:bidi="zh-CN"/>
          <w14:textFill>
            <w14:solidFill>
              <w14:schemeClr w14:val="tx1"/>
            </w14:solidFill>
          </w14:textFill>
        </w:rPr>
        <w:t>《中华人民共和国消防法》《中华人民共和国传染病防治法》《中华人民共和国国家安全法》《中华人民共和国气象法》《中华人民共和国防洪法》</w:t>
      </w:r>
      <w:r>
        <w:rPr>
          <w:rFonts w:ascii="仿宋_GB2312" w:hAnsi="仿宋_GB2312" w:eastAsia="仿宋_GB2312" w:cs="仿宋_GB2312"/>
          <w:b/>
          <w:bCs/>
          <w:color w:val="000000" w:themeColor="text1"/>
          <w:kern w:val="0"/>
          <w:sz w:val="32"/>
          <w:szCs w:val="32"/>
          <w14:textFill>
            <w14:solidFill>
              <w14:schemeClr w14:val="tx1"/>
            </w14:solidFill>
          </w14:textFill>
        </w:rPr>
        <w:t>《陕西省实施&lt;中华人民共和国突发事件应对法&gt;办法》</w:t>
      </w:r>
      <w:r>
        <w:rPr>
          <w:rFonts w:hint="eastAsia" w:ascii="仿宋_GB2312" w:hAnsi="仿宋_GB2312" w:eastAsia="仿宋_GB2312" w:cs="仿宋_GB2312"/>
          <w:b/>
          <w:bCs/>
          <w:color w:val="000000" w:themeColor="text1"/>
          <w:kern w:val="0"/>
          <w:sz w:val="32"/>
          <w:szCs w:val="32"/>
          <w14:textFill>
            <w14:solidFill>
              <w14:schemeClr w14:val="tx1"/>
            </w14:solidFill>
          </w14:textFill>
        </w:rPr>
        <w:t>《陕西省突发事件应急预案管理办法》</w:t>
      </w:r>
      <w:r>
        <w:rPr>
          <w:rFonts w:ascii="仿宋_GB2312" w:hAnsi="仿宋_GB2312" w:eastAsia="仿宋_GB2312" w:cs="仿宋_GB2312"/>
          <w:b/>
          <w:bCs/>
          <w:color w:val="000000" w:themeColor="text1"/>
          <w:kern w:val="0"/>
          <w:sz w:val="32"/>
          <w:szCs w:val="32"/>
          <w14:textFill>
            <w14:solidFill>
              <w14:schemeClr w14:val="tx1"/>
            </w14:solidFill>
          </w14:textFill>
        </w:rPr>
        <w:t>《</w:t>
      </w:r>
      <w:r>
        <w:rPr>
          <w:rFonts w:hint="eastAsia" w:ascii="仿宋_GB2312" w:hAnsi="仿宋_GB2312" w:eastAsia="仿宋_GB2312" w:cs="仿宋_GB2312"/>
          <w:b/>
          <w:bCs/>
          <w:color w:val="000000" w:themeColor="text1"/>
          <w:kern w:val="0"/>
          <w:sz w:val="32"/>
          <w:szCs w:val="32"/>
          <w14:textFill>
            <w14:solidFill>
              <w14:schemeClr w14:val="tx1"/>
            </w14:solidFill>
          </w14:textFill>
        </w:rPr>
        <w:t>陕西省</w:t>
      </w:r>
      <w:r>
        <w:rPr>
          <w:rFonts w:ascii="仿宋_GB2312" w:hAnsi="仿宋_GB2312" w:eastAsia="仿宋_GB2312" w:cs="仿宋_GB2312"/>
          <w:b/>
          <w:bCs/>
          <w:color w:val="000000" w:themeColor="text1"/>
          <w:kern w:val="0"/>
          <w:sz w:val="32"/>
          <w:szCs w:val="32"/>
          <w14:textFill>
            <w14:solidFill>
              <w14:schemeClr w14:val="tx1"/>
            </w14:solidFill>
          </w14:textFill>
        </w:rPr>
        <w:t>突发事件总体应急预案》</w:t>
      </w:r>
      <w:r>
        <w:rPr>
          <w:rFonts w:hint="eastAsia" w:ascii="仿宋_GB2312" w:hAnsi="仿宋_GB2312" w:eastAsia="仿宋_GB2312" w:cs="仿宋_GB2312"/>
          <w:b/>
          <w:bCs/>
          <w:color w:val="000000" w:themeColor="text1"/>
          <w:kern w:val="0"/>
          <w:sz w:val="32"/>
          <w:szCs w:val="32"/>
          <w14:textFill>
            <w14:solidFill>
              <w14:schemeClr w14:val="tx1"/>
            </w14:solidFill>
          </w14:textFill>
        </w:rPr>
        <w:t>和</w:t>
      </w:r>
      <w:r>
        <w:rPr>
          <w:rFonts w:ascii="仿宋_GB2312" w:hAnsi="仿宋_GB2312" w:eastAsia="仿宋_GB2312" w:cs="仿宋_GB2312"/>
          <w:b/>
          <w:bCs/>
          <w:color w:val="000000" w:themeColor="text1"/>
          <w:kern w:val="0"/>
          <w:sz w:val="32"/>
          <w:szCs w:val="32"/>
          <w14:textFill>
            <w14:solidFill>
              <w14:schemeClr w14:val="tx1"/>
            </w14:solidFill>
          </w14:textFill>
        </w:rPr>
        <w:t>《延安市机构改革方案》等有关法律法规和文件制定本预案。</w:t>
      </w:r>
    </w:p>
    <w:p>
      <w:pPr>
        <w:overflowPunct w:val="0"/>
        <w:spacing w:line="590" w:lineRule="exact"/>
        <w:ind w:firstLine="643" w:firstLineChars="200"/>
        <w:outlineLvl w:val="1"/>
        <w:rPr>
          <w:rFonts w:ascii="楷体_GB2312" w:hAnsi="楷体_GB2312" w:eastAsia="楷体_GB2312" w:cs="楷体_GB2312"/>
          <w:b/>
          <w:bCs/>
          <w:color w:val="000000" w:themeColor="text1"/>
          <w:kern w:val="0"/>
          <w:sz w:val="32"/>
          <w:szCs w:val="32"/>
          <w14:textFill>
            <w14:solidFill>
              <w14:schemeClr w14:val="tx1"/>
            </w14:solidFill>
          </w14:textFill>
        </w:rPr>
      </w:pPr>
      <w:bookmarkStart w:id="17" w:name="_Toc8800"/>
      <w:bookmarkStart w:id="18" w:name="_Toc16032"/>
      <w:bookmarkStart w:id="19" w:name="_Toc26786"/>
      <w:bookmarkStart w:id="20" w:name="_Toc32686"/>
      <w:bookmarkStart w:id="21" w:name="_Toc13846"/>
      <w:bookmarkStart w:id="22" w:name="_Toc25094"/>
      <w:r>
        <w:rPr>
          <w:rFonts w:hint="eastAsia" w:ascii="楷体_GB2312" w:hAnsi="楷体_GB2312" w:eastAsia="楷体_GB2312" w:cs="楷体_GB2312"/>
          <w:b/>
          <w:bCs/>
          <w:color w:val="000000" w:themeColor="text1"/>
          <w:kern w:val="0"/>
          <w:sz w:val="32"/>
          <w:szCs w:val="32"/>
          <w14:textFill>
            <w14:solidFill>
              <w14:schemeClr w14:val="tx1"/>
            </w14:solidFill>
          </w14:textFill>
        </w:rPr>
        <w:t>1.2适用范围</w:t>
      </w:r>
      <w:bookmarkEnd w:id="17"/>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本预案是全市突发事件应急预案体系的总纲，适用于发生在延安市行政区域内或发生在其他区域对本市造成影响的，应由市政府负责应对处置的各类突发事件。</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本预案用于指导全市突发事件应急预案体系建设和各类突发事件的风险防控、监测与预警、应急准备、应急处置与救援、资源保障及恢复重建等工作。</w:t>
      </w:r>
    </w:p>
    <w:p>
      <w:pPr>
        <w:overflowPunct w:val="0"/>
        <w:spacing w:line="590" w:lineRule="exact"/>
        <w:ind w:firstLine="643" w:firstLineChars="200"/>
        <w:outlineLvl w:val="1"/>
        <w:rPr>
          <w:rFonts w:ascii="楷体_GB2312" w:hAnsi="楷体_GB2312" w:eastAsia="楷体_GB2312" w:cs="楷体_GB2312"/>
          <w:b/>
          <w:bCs/>
          <w:color w:val="000000" w:themeColor="text1"/>
          <w:kern w:val="0"/>
          <w:sz w:val="32"/>
          <w:szCs w:val="32"/>
          <w14:textFill>
            <w14:solidFill>
              <w14:schemeClr w14:val="tx1"/>
            </w14:solidFill>
          </w14:textFill>
        </w:rPr>
      </w:pPr>
      <w:bookmarkStart w:id="23" w:name="_Toc30422"/>
      <w:r>
        <w:rPr>
          <w:rFonts w:hint="eastAsia" w:ascii="楷体_GB2312" w:hAnsi="楷体_GB2312" w:eastAsia="楷体_GB2312" w:cs="楷体_GB2312"/>
          <w:b/>
          <w:bCs/>
          <w:color w:val="000000" w:themeColor="text1"/>
          <w:kern w:val="0"/>
          <w:sz w:val="32"/>
          <w:szCs w:val="32"/>
          <w14:textFill>
            <w14:solidFill>
              <w14:schemeClr w14:val="tx1"/>
            </w14:solidFill>
          </w14:textFill>
        </w:rPr>
        <w:t>1.3工作原则</w:t>
      </w:r>
      <w:bookmarkEnd w:id="23"/>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ascii="仿宋_GB2312" w:hAnsi="仿宋_GB2312" w:eastAsia="仿宋_GB2312" w:cs="仿宋_GB2312"/>
          <w:b/>
          <w:bCs/>
          <w:color w:val="000000" w:themeColor="text1"/>
          <w:kern w:val="0"/>
          <w:sz w:val="32"/>
          <w:szCs w:val="32"/>
          <w14:textFill>
            <w14:solidFill>
              <w14:schemeClr w14:val="tx1"/>
            </w14:solidFill>
          </w14:textFill>
        </w:rPr>
        <w:t>坚持</w:t>
      </w:r>
      <w:r>
        <w:rPr>
          <w:rFonts w:hint="eastAsia" w:ascii="仿宋_GB2312" w:hAnsi="仿宋_GB2312" w:eastAsia="仿宋_GB2312" w:cs="仿宋_GB2312"/>
          <w:b/>
          <w:bCs/>
          <w:color w:val="000000" w:themeColor="text1"/>
          <w:kern w:val="0"/>
          <w:sz w:val="32"/>
          <w:szCs w:val="32"/>
          <w14:textFill>
            <w14:solidFill>
              <w14:schemeClr w14:val="tx1"/>
            </w14:solidFill>
          </w14:textFill>
        </w:rPr>
        <w:t>党的</w:t>
      </w:r>
      <w:r>
        <w:rPr>
          <w:rFonts w:ascii="仿宋_GB2312" w:hAnsi="仿宋_GB2312" w:eastAsia="仿宋_GB2312" w:cs="仿宋_GB2312"/>
          <w:b/>
          <w:bCs/>
          <w:color w:val="000000" w:themeColor="text1"/>
          <w:kern w:val="0"/>
          <w:sz w:val="32"/>
          <w:szCs w:val="32"/>
          <w14:textFill>
            <w14:solidFill>
              <w14:schemeClr w14:val="tx1"/>
            </w14:solidFill>
          </w14:textFill>
        </w:rPr>
        <w:t>统一领导。</w:t>
      </w:r>
      <w:r>
        <w:rPr>
          <w:rFonts w:hint="eastAsia" w:ascii="仿宋_GB2312" w:hAnsi="仿宋_GB2312" w:eastAsia="仿宋_GB2312" w:cs="仿宋_GB2312"/>
          <w:b/>
          <w:bCs/>
          <w:color w:val="000000" w:themeColor="text1"/>
          <w:kern w:val="0"/>
          <w:sz w:val="32"/>
          <w:szCs w:val="32"/>
          <w14:textFill>
            <w14:solidFill>
              <w14:schemeClr w14:val="tx1"/>
            </w14:solidFill>
          </w14:textFill>
        </w:rPr>
        <w:t>建立健全党委领导下的应急管理行政领导责任制。</w:t>
      </w:r>
      <w:r>
        <w:rPr>
          <w:rFonts w:ascii="仿宋_GB2312" w:hAnsi="仿宋_GB2312" w:eastAsia="仿宋_GB2312" w:cs="仿宋_GB2312"/>
          <w:b/>
          <w:bCs/>
          <w:color w:val="000000" w:themeColor="text1"/>
          <w:kern w:val="0"/>
          <w:sz w:val="32"/>
          <w:szCs w:val="32"/>
          <w14:textFill>
            <w14:solidFill>
              <w14:schemeClr w14:val="tx1"/>
            </w14:solidFill>
          </w14:textFill>
        </w:rPr>
        <w:t>各行业</w:t>
      </w:r>
      <w:r>
        <w:rPr>
          <w:rFonts w:hint="eastAsia" w:ascii="仿宋_GB2312" w:hAnsi="仿宋_GB2312" w:eastAsia="仿宋_GB2312" w:cs="仿宋_GB2312"/>
          <w:b/>
          <w:bCs/>
          <w:color w:val="000000" w:themeColor="text1"/>
          <w:kern w:val="0"/>
          <w:sz w:val="32"/>
          <w:szCs w:val="32"/>
          <w14:textFill>
            <w14:solidFill>
              <w14:schemeClr w14:val="tx1"/>
            </w14:solidFill>
          </w14:textFill>
        </w:rPr>
        <w:t>（</w:t>
      </w:r>
      <w:r>
        <w:rPr>
          <w:rFonts w:ascii="仿宋_GB2312" w:hAnsi="仿宋_GB2312" w:eastAsia="仿宋_GB2312" w:cs="仿宋_GB2312"/>
          <w:b/>
          <w:bCs/>
          <w:color w:val="000000" w:themeColor="text1"/>
          <w:kern w:val="0"/>
          <w:sz w:val="32"/>
          <w:szCs w:val="32"/>
          <w14:textFill>
            <w14:solidFill>
              <w14:schemeClr w14:val="tx1"/>
            </w14:solidFill>
          </w14:textFill>
        </w:rPr>
        <w:t>领域</w:t>
      </w:r>
      <w:r>
        <w:rPr>
          <w:rFonts w:hint="eastAsia" w:ascii="仿宋_GB2312" w:hAnsi="仿宋_GB2312" w:eastAsia="仿宋_GB2312" w:cs="仿宋_GB2312"/>
          <w:b/>
          <w:bCs/>
          <w:color w:val="000000" w:themeColor="text1"/>
          <w:kern w:val="0"/>
          <w:sz w:val="32"/>
          <w:szCs w:val="32"/>
          <w14:textFill>
            <w14:solidFill>
              <w14:schemeClr w14:val="tx1"/>
            </w14:solidFill>
          </w14:textFill>
        </w:rPr>
        <w:t>）</w:t>
      </w:r>
      <w:r>
        <w:rPr>
          <w:rFonts w:ascii="仿宋_GB2312" w:hAnsi="仿宋_GB2312" w:eastAsia="仿宋_GB2312" w:cs="仿宋_GB2312"/>
          <w:b/>
          <w:bCs/>
          <w:color w:val="000000" w:themeColor="text1"/>
          <w:kern w:val="0"/>
          <w:sz w:val="32"/>
          <w:szCs w:val="32"/>
          <w14:textFill>
            <w14:solidFill>
              <w14:schemeClr w14:val="tx1"/>
            </w14:solidFill>
          </w14:textFill>
        </w:rPr>
        <w:t>主管部门分类管理、源头防控</w:t>
      </w:r>
      <w:r>
        <w:rPr>
          <w:rFonts w:hint="eastAsia" w:ascii="仿宋_GB2312" w:hAnsi="仿宋_GB2312" w:eastAsia="仿宋_GB2312" w:cs="仿宋_GB2312"/>
          <w:b/>
          <w:bCs/>
          <w:color w:val="000000" w:themeColor="text1"/>
          <w:kern w:val="0"/>
          <w:sz w:val="32"/>
          <w:szCs w:val="32"/>
          <w14:textFill>
            <w14:solidFill>
              <w14:schemeClr w14:val="tx1"/>
            </w14:solidFill>
          </w14:textFill>
        </w:rPr>
        <w:t>，充分发挥应急管理部门的综合优势和各相关部门的专业优势，衔接好“防”与“救”的责任链条，确保无缝对接，建立统一指挥、专常兼备、反应灵敏、上下联动的应急管理体制。</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坚持人民至上、生命至上。牢固树立安全发展理念，把保障人民群众生命财产安全作为首要任务，扎实做好公共安全工作，努力为人民安居乐业、社会安定有序、国家长治久安，编织全方位、立体化的公共安全网，预防和减少突发事件的发生，维护国家安全、公共安全、环境安全和社会稳定。</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坚持底线思维、风险防控。着眼最严峻、最复杂局面，强化预防与应急并重、常态风险防控与非常态事件应对相结合，建立健全突发事件风险评估体系，加强源头治理、推动事前预防，最大程度管控风险、消除隐患。</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ascii="仿宋_GB2312" w:hAnsi="仿宋_GB2312" w:eastAsia="仿宋_GB2312" w:cs="仿宋_GB2312"/>
          <w:b/>
          <w:bCs/>
          <w:color w:val="000000" w:themeColor="text1"/>
          <w:kern w:val="0"/>
          <w:sz w:val="32"/>
          <w:szCs w:val="32"/>
          <w14:textFill>
            <w14:solidFill>
              <w14:schemeClr w14:val="tx1"/>
            </w14:solidFill>
          </w14:textFill>
        </w:rPr>
        <w:t>坚持属地为主、分级负责。在</w:t>
      </w:r>
      <w:r>
        <w:rPr>
          <w:rFonts w:hint="eastAsia" w:ascii="仿宋_GB2312" w:hAnsi="仿宋_GB2312" w:eastAsia="仿宋_GB2312" w:cs="仿宋_GB2312"/>
          <w:b/>
          <w:bCs/>
          <w:color w:val="000000" w:themeColor="text1"/>
          <w:kern w:val="0"/>
          <w:sz w:val="32"/>
          <w:szCs w:val="32"/>
          <w14:textFill>
            <w14:solidFill>
              <w14:schemeClr w14:val="tx1"/>
            </w14:solidFill>
          </w14:textFill>
        </w:rPr>
        <w:t>党委统一</w:t>
      </w:r>
      <w:r>
        <w:rPr>
          <w:rFonts w:ascii="仿宋_GB2312" w:hAnsi="仿宋_GB2312" w:eastAsia="仿宋_GB2312" w:cs="仿宋_GB2312"/>
          <w:b/>
          <w:bCs/>
          <w:color w:val="000000" w:themeColor="text1"/>
          <w:kern w:val="0"/>
          <w:sz w:val="32"/>
          <w:szCs w:val="32"/>
          <w14:textFill>
            <w14:solidFill>
              <w14:schemeClr w14:val="tx1"/>
            </w14:solidFill>
          </w14:textFill>
        </w:rPr>
        <w:t>领导下，</w:t>
      </w:r>
      <w:r>
        <w:rPr>
          <w:rFonts w:hint="eastAsia" w:ascii="仿宋_GB2312" w:hAnsi="仿宋_GB2312" w:eastAsia="仿宋_GB2312" w:cs="仿宋_GB2312"/>
          <w:b/>
          <w:bCs/>
          <w:color w:val="000000" w:themeColor="text1"/>
          <w:kern w:val="0"/>
          <w:sz w:val="32"/>
          <w:szCs w:val="32"/>
          <w14:textFill>
            <w14:solidFill>
              <w14:schemeClr w14:val="tx1"/>
            </w14:solidFill>
          </w14:textFill>
        </w:rPr>
        <w:t>各级人民政府分级负责组织突发事件的应对工作。市、县级人民政府对本辖区内突发事件应对工作负责，乡镇、街办、社区等依法做好突发事件应对工作。</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ascii="仿宋_GB2312" w:hAnsi="仿宋_GB2312" w:eastAsia="仿宋_GB2312" w:cs="仿宋_GB2312"/>
          <w:b/>
          <w:bCs/>
          <w:color w:val="000000" w:themeColor="text1"/>
          <w:kern w:val="0"/>
          <w:sz w:val="32"/>
          <w:szCs w:val="32"/>
          <w14:textFill>
            <w14:solidFill>
              <w14:schemeClr w14:val="tx1"/>
            </w14:solidFill>
          </w14:textFill>
        </w:rPr>
        <w:t>坚持</w:t>
      </w:r>
      <w:r>
        <w:rPr>
          <w:rFonts w:hint="eastAsia" w:ascii="仿宋_GB2312" w:hAnsi="仿宋_GB2312" w:eastAsia="仿宋_GB2312" w:cs="仿宋_GB2312"/>
          <w:b/>
          <w:bCs/>
          <w:color w:val="000000" w:themeColor="text1"/>
          <w:kern w:val="0"/>
          <w:sz w:val="32"/>
          <w:szCs w:val="32"/>
          <w14:textFill>
            <w14:solidFill>
              <w14:schemeClr w14:val="tx1"/>
            </w14:solidFill>
          </w14:textFill>
        </w:rPr>
        <w:t>快速反应、</w:t>
      </w:r>
      <w:r>
        <w:rPr>
          <w:rFonts w:ascii="仿宋_GB2312" w:hAnsi="仿宋_GB2312" w:eastAsia="仿宋_GB2312" w:cs="仿宋_GB2312"/>
          <w:b/>
          <w:bCs/>
          <w:color w:val="000000" w:themeColor="text1"/>
          <w:kern w:val="0"/>
          <w:sz w:val="32"/>
          <w:szCs w:val="32"/>
          <w14:textFill>
            <w14:solidFill>
              <w14:schemeClr w14:val="tx1"/>
            </w14:solidFill>
          </w14:textFill>
        </w:rPr>
        <w:t>高效应对。</w:t>
      </w:r>
      <w:r>
        <w:rPr>
          <w:rFonts w:hint="eastAsia" w:ascii="仿宋_GB2312" w:hAnsi="仿宋_GB2312" w:eastAsia="仿宋_GB2312" w:cs="仿宋_GB2312"/>
          <w:b/>
          <w:bCs/>
          <w:color w:val="000000" w:themeColor="text1"/>
          <w:kern w:val="0"/>
          <w:sz w:val="32"/>
          <w:szCs w:val="32"/>
          <w14:textFill>
            <w14:solidFill>
              <w14:schemeClr w14:val="tx1"/>
            </w14:solidFill>
          </w14:textFill>
        </w:rPr>
        <w:t>建立健全</w:t>
      </w:r>
      <w:r>
        <w:rPr>
          <w:rFonts w:ascii="仿宋_GB2312" w:hAnsi="仿宋_GB2312" w:eastAsia="仿宋_GB2312" w:cs="仿宋_GB2312"/>
          <w:b/>
          <w:bCs/>
          <w:color w:val="000000" w:themeColor="text1"/>
          <w:kern w:val="0"/>
          <w:sz w:val="32"/>
          <w:szCs w:val="32"/>
          <w14:textFill>
            <w14:solidFill>
              <w14:schemeClr w14:val="tx1"/>
            </w14:solidFill>
          </w14:textFill>
        </w:rPr>
        <w:t>综合性消防救援队伍为主力、以</w:t>
      </w:r>
      <w:r>
        <w:rPr>
          <w:rFonts w:hint="eastAsia" w:ascii="仿宋_GB2312" w:hAnsi="仿宋_GB2312" w:eastAsia="仿宋_GB2312" w:cs="仿宋_GB2312"/>
          <w:b/>
          <w:bCs/>
          <w:color w:val="000000" w:themeColor="text1"/>
          <w:kern w:val="0"/>
          <w:sz w:val="32"/>
          <w:szCs w:val="32"/>
          <w14:textFill>
            <w14:solidFill>
              <w14:schemeClr w14:val="tx1"/>
            </w14:solidFill>
          </w14:textFill>
        </w:rPr>
        <w:t>驻地军队及</w:t>
      </w:r>
      <w:r>
        <w:rPr>
          <w:rFonts w:ascii="仿宋_GB2312" w:hAnsi="仿宋_GB2312" w:eastAsia="仿宋_GB2312" w:cs="仿宋_GB2312"/>
          <w:b/>
          <w:bCs/>
          <w:color w:val="000000" w:themeColor="text1"/>
          <w:kern w:val="0"/>
          <w:sz w:val="32"/>
          <w:szCs w:val="32"/>
          <w14:textFill>
            <w14:solidFill>
              <w14:schemeClr w14:val="tx1"/>
            </w14:solidFill>
          </w14:textFill>
        </w:rPr>
        <w:t>武警力量为突击、以专业救援队伍为骨干、</w:t>
      </w:r>
      <w:r>
        <w:rPr>
          <w:rFonts w:ascii="仿宋_GB2312" w:hAnsi="仿宋_GB2312" w:eastAsia="仿宋_GB2312" w:cs="仿宋_GB2312"/>
          <w:b/>
          <w:bCs/>
          <w:color w:val="000000" w:themeColor="text1"/>
          <w:spacing w:val="-6"/>
          <w:kern w:val="0"/>
          <w:sz w:val="32"/>
          <w:szCs w:val="32"/>
          <w14:textFill>
            <w14:solidFill>
              <w14:schemeClr w14:val="tx1"/>
            </w14:solidFill>
          </w14:textFill>
        </w:rPr>
        <w:t>以社会力量为辅助</w:t>
      </w:r>
      <w:r>
        <w:rPr>
          <w:rFonts w:hint="eastAsia" w:ascii="仿宋_GB2312" w:hAnsi="仿宋_GB2312" w:eastAsia="仿宋_GB2312" w:cs="仿宋_GB2312"/>
          <w:b/>
          <w:bCs/>
          <w:color w:val="000000" w:themeColor="text1"/>
          <w:spacing w:val="-6"/>
          <w:kern w:val="0"/>
          <w:sz w:val="32"/>
          <w:szCs w:val="32"/>
          <w14:textFill>
            <w14:solidFill>
              <w14:schemeClr w14:val="tx1"/>
            </w14:solidFill>
          </w14:textFill>
        </w:rPr>
        <w:t>、以基层应急队伍为先期</w:t>
      </w:r>
      <w:r>
        <w:rPr>
          <w:rFonts w:ascii="仿宋_GB2312" w:hAnsi="仿宋_GB2312" w:eastAsia="仿宋_GB2312" w:cs="仿宋_GB2312"/>
          <w:b/>
          <w:bCs/>
          <w:color w:val="000000" w:themeColor="text1"/>
          <w:spacing w:val="-6"/>
          <w:kern w:val="0"/>
          <w:sz w:val="32"/>
          <w:szCs w:val="32"/>
          <w14:textFill>
            <w14:solidFill>
              <w14:schemeClr w14:val="tx1"/>
            </w14:solidFill>
          </w14:textFill>
        </w:rPr>
        <w:t>的应急力量体系，健全</w:t>
      </w:r>
      <w:r>
        <w:rPr>
          <w:rFonts w:hint="eastAsia" w:ascii="仿宋_GB2312" w:hAnsi="仿宋_GB2312" w:eastAsia="仿宋_GB2312" w:cs="仿宋_GB2312"/>
          <w:b/>
          <w:bCs/>
          <w:color w:val="000000" w:themeColor="text1"/>
          <w:spacing w:val="-6"/>
          <w:kern w:val="0"/>
          <w:sz w:val="32"/>
          <w:szCs w:val="32"/>
          <w14:textFill>
            <w14:solidFill>
              <w14:schemeClr w14:val="tx1"/>
            </w14:solidFill>
          </w14:textFill>
        </w:rPr>
        <w:t>完善各类力量</w:t>
      </w:r>
      <w:r>
        <w:rPr>
          <w:rFonts w:ascii="仿宋_GB2312" w:hAnsi="仿宋_GB2312" w:eastAsia="仿宋_GB2312" w:cs="仿宋_GB2312"/>
          <w:b/>
          <w:bCs/>
          <w:color w:val="000000" w:themeColor="text1"/>
          <w:spacing w:val="-6"/>
          <w:kern w:val="0"/>
          <w:sz w:val="32"/>
          <w:szCs w:val="32"/>
          <w14:textFill>
            <w14:solidFill>
              <w14:schemeClr w14:val="tx1"/>
            </w14:solidFill>
          </w14:textFill>
        </w:rPr>
        <w:t>快速反应、联动协</w:t>
      </w:r>
      <w:r>
        <w:rPr>
          <w:rFonts w:hint="eastAsia" w:ascii="仿宋_GB2312" w:hAnsi="仿宋_GB2312" w:eastAsia="仿宋_GB2312" w:cs="仿宋_GB2312"/>
          <w:b/>
          <w:bCs/>
          <w:color w:val="000000" w:themeColor="text1"/>
          <w:spacing w:val="-6"/>
          <w:kern w:val="0"/>
          <w:sz w:val="32"/>
          <w:szCs w:val="32"/>
          <w14:textFill>
            <w14:solidFill>
              <w14:schemeClr w14:val="tx1"/>
            </w14:solidFill>
          </w14:textFill>
        </w:rPr>
        <w:t>同</w:t>
      </w:r>
      <w:r>
        <w:rPr>
          <w:rFonts w:ascii="仿宋_GB2312" w:hAnsi="仿宋_GB2312" w:eastAsia="仿宋_GB2312" w:cs="仿宋_GB2312"/>
          <w:b/>
          <w:bCs/>
          <w:color w:val="000000" w:themeColor="text1"/>
          <w:spacing w:val="-6"/>
          <w:kern w:val="0"/>
          <w:sz w:val="32"/>
          <w:szCs w:val="32"/>
          <w14:textFill>
            <w14:solidFill>
              <w14:schemeClr w14:val="tx1"/>
            </w14:solidFill>
          </w14:textFill>
        </w:rPr>
        <w:t>机制，高效应对</w:t>
      </w:r>
      <w:r>
        <w:rPr>
          <w:rFonts w:hint="eastAsia" w:ascii="仿宋_GB2312" w:hAnsi="仿宋_GB2312" w:eastAsia="仿宋_GB2312" w:cs="仿宋_GB2312"/>
          <w:b/>
          <w:bCs/>
          <w:color w:val="000000" w:themeColor="text1"/>
          <w:spacing w:val="-6"/>
          <w:kern w:val="0"/>
          <w:sz w:val="32"/>
          <w:szCs w:val="32"/>
          <w14:textFill>
            <w14:solidFill>
              <w14:schemeClr w14:val="tx1"/>
            </w14:solidFill>
          </w14:textFill>
        </w:rPr>
        <w:t>各类</w:t>
      </w:r>
      <w:r>
        <w:rPr>
          <w:rFonts w:ascii="仿宋_GB2312" w:hAnsi="仿宋_GB2312" w:eastAsia="仿宋_GB2312" w:cs="仿宋_GB2312"/>
          <w:b/>
          <w:bCs/>
          <w:color w:val="000000" w:themeColor="text1"/>
          <w:spacing w:val="-6"/>
          <w:kern w:val="0"/>
          <w:sz w:val="32"/>
          <w:szCs w:val="32"/>
          <w14:textFill>
            <w14:solidFill>
              <w14:schemeClr w14:val="tx1"/>
            </w14:solidFill>
          </w14:textFill>
        </w:rPr>
        <w:t>突发事件。</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ascii="仿宋_GB2312" w:hAnsi="仿宋_GB2312" w:eastAsia="仿宋_GB2312" w:cs="仿宋_GB2312"/>
          <w:b/>
          <w:bCs/>
          <w:color w:val="000000" w:themeColor="text1"/>
          <w:kern w:val="0"/>
          <w:sz w:val="32"/>
          <w:szCs w:val="32"/>
          <w14:textFill>
            <w14:solidFill>
              <w14:schemeClr w14:val="tx1"/>
            </w14:solidFill>
          </w14:textFill>
        </w:rPr>
        <w:t>坚持依法</w:t>
      </w:r>
      <w:r>
        <w:rPr>
          <w:rFonts w:hint="eastAsia" w:ascii="仿宋_GB2312" w:hAnsi="仿宋_GB2312" w:eastAsia="仿宋_GB2312" w:cs="仿宋_GB2312"/>
          <w:b/>
          <w:bCs/>
          <w:color w:val="000000" w:themeColor="text1"/>
          <w:kern w:val="0"/>
          <w:sz w:val="32"/>
          <w:szCs w:val="32"/>
          <w14:textFill>
            <w14:solidFill>
              <w14:schemeClr w14:val="tx1"/>
            </w14:solidFill>
          </w14:textFill>
        </w:rPr>
        <w:t>管理</w:t>
      </w:r>
      <w:r>
        <w:rPr>
          <w:rFonts w:ascii="仿宋_GB2312" w:hAnsi="仿宋_GB2312" w:eastAsia="仿宋_GB2312" w:cs="仿宋_GB2312"/>
          <w:b/>
          <w:bCs/>
          <w:color w:val="000000" w:themeColor="text1"/>
          <w:kern w:val="0"/>
          <w:sz w:val="32"/>
          <w:szCs w:val="32"/>
          <w14:textFill>
            <w14:solidFill>
              <w14:schemeClr w14:val="tx1"/>
            </w14:solidFill>
          </w14:textFill>
        </w:rPr>
        <w:t>、科技支撑。依法维护人民群众的合法权益，</w:t>
      </w:r>
      <w:r>
        <w:rPr>
          <w:rFonts w:hint="eastAsia" w:ascii="仿宋_GB2312" w:hAnsi="仿宋_GB2312" w:eastAsia="仿宋_GB2312" w:cs="仿宋_GB2312"/>
          <w:b/>
          <w:bCs/>
          <w:color w:val="000000" w:themeColor="text1"/>
          <w:kern w:val="0"/>
          <w:sz w:val="32"/>
          <w:szCs w:val="32"/>
          <w14:textFill>
            <w14:solidFill>
              <w14:schemeClr w14:val="tx1"/>
            </w14:solidFill>
          </w14:textFill>
        </w:rPr>
        <w:t>提高</w:t>
      </w:r>
      <w:r>
        <w:rPr>
          <w:rFonts w:ascii="仿宋_GB2312" w:hAnsi="仿宋_GB2312" w:eastAsia="仿宋_GB2312" w:cs="仿宋_GB2312"/>
          <w:b/>
          <w:bCs/>
          <w:color w:val="000000" w:themeColor="text1"/>
          <w:kern w:val="0"/>
          <w:sz w:val="32"/>
          <w:szCs w:val="32"/>
          <w14:textFill>
            <w14:solidFill>
              <w14:schemeClr w14:val="tx1"/>
            </w14:solidFill>
          </w14:textFill>
        </w:rPr>
        <w:t>突发事件应对工作</w:t>
      </w:r>
      <w:r>
        <w:rPr>
          <w:rFonts w:hint="eastAsia" w:ascii="仿宋_GB2312" w:hAnsi="仿宋_GB2312" w:eastAsia="仿宋_GB2312" w:cs="仿宋_GB2312"/>
          <w:b/>
          <w:bCs/>
          <w:color w:val="000000" w:themeColor="text1"/>
          <w:kern w:val="0"/>
          <w:sz w:val="32"/>
          <w:szCs w:val="32"/>
          <w14:textFill>
            <w14:solidFill>
              <w14:schemeClr w14:val="tx1"/>
            </w14:solidFill>
          </w14:textFill>
        </w:rPr>
        <w:t>的</w:t>
      </w:r>
      <w:r>
        <w:rPr>
          <w:rFonts w:ascii="仿宋_GB2312" w:hAnsi="仿宋_GB2312" w:eastAsia="仿宋_GB2312" w:cs="仿宋_GB2312"/>
          <w:b/>
          <w:bCs/>
          <w:color w:val="000000" w:themeColor="text1"/>
          <w:kern w:val="0"/>
          <w:sz w:val="32"/>
          <w:szCs w:val="32"/>
          <w14:textFill>
            <w14:solidFill>
              <w14:schemeClr w14:val="tx1"/>
            </w14:solidFill>
          </w14:textFill>
        </w:rPr>
        <w:t>法治化</w:t>
      </w:r>
      <w:r>
        <w:rPr>
          <w:rFonts w:hint="eastAsia" w:ascii="仿宋_GB2312" w:hAnsi="仿宋_GB2312" w:eastAsia="仿宋_GB2312" w:cs="仿宋_GB2312"/>
          <w:b/>
          <w:bCs/>
          <w:color w:val="000000" w:themeColor="text1"/>
          <w:kern w:val="0"/>
          <w:sz w:val="32"/>
          <w:szCs w:val="32"/>
          <w14:textFill>
            <w14:solidFill>
              <w14:schemeClr w14:val="tx1"/>
            </w14:solidFill>
          </w14:textFill>
        </w:rPr>
        <w:t>、</w:t>
      </w:r>
      <w:r>
        <w:rPr>
          <w:rFonts w:ascii="仿宋_GB2312" w:hAnsi="仿宋_GB2312" w:eastAsia="仿宋_GB2312" w:cs="仿宋_GB2312"/>
          <w:b/>
          <w:bCs/>
          <w:color w:val="000000" w:themeColor="text1"/>
          <w:kern w:val="0"/>
          <w:sz w:val="32"/>
          <w:szCs w:val="32"/>
          <w14:textFill>
            <w14:solidFill>
              <w14:schemeClr w14:val="tx1"/>
            </w14:solidFill>
          </w14:textFill>
        </w:rPr>
        <w:t>规范化</w:t>
      </w:r>
      <w:r>
        <w:rPr>
          <w:rFonts w:hint="eastAsia" w:ascii="仿宋_GB2312" w:hAnsi="仿宋_GB2312" w:eastAsia="仿宋_GB2312" w:cs="仿宋_GB2312"/>
          <w:b/>
          <w:bCs/>
          <w:color w:val="000000" w:themeColor="text1"/>
          <w:kern w:val="0"/>
          <w:sz w:val="32"/>
          <w:szCs w:val="32"/>
          <w14:textFill>
            <w14:solidFill>
              <w14:schemeClr w14:val="tx1"/>
            </w14:solidFill>
          </w14:textFill>
        </w:rPr>
        <w:t>水平</w:t>
      </w:r>
      <w:r>
        <w:rPr>
          <w:rFonts w:ascii="仿宋_GB2312" w:hAnsi="仿宋_GB2312" w:eastAsia="仿宋_GB2312" w:cs="仿宋_GB2312"/>
          <w:b/>
          <w:bCs/>
          <w:color w:val="000000" w:themeColor="text1"/>
          <w:kern w:val="0"/>
          <w:sz w:val="32"/>
          <w:szCs w:val="32"/>
          <w14:textFill>
            <w14:solidFill>
              <w14:schemeClr w14:val="tx1"/>
            </w14:solidFill>
          </w14:textFill>
        </w:rPr>
        <w:t>。充分发挥专家队伍和专业人员的作用，</w:t>
      </w:r>
      <w:r>
        <w:rPr>
          <w:rFonts w:hint="eastAsia" w:ascii="仿宋_GB2312" w:hAnsi="仿宋_GB2312" w:eastAsia="仿宋_GB2312" w:cs="仿宋_GB2312"/>
          <w:b/>
          <w:bCs/>
          <w:color w:val="000000" w:themeColor="text1"/>
          <w:kern w:val="0"/>
          <w:sz w:val="32"/>
          <w:szCs w:val="32"/>
          <w14:textFill>
            <w14:solidFill>
              <w14:schemeClr w14:val="tx1"/>
            </w14:solidFill>
          </w14:textFill>
        </w:rPr>
        <w:t>强化应急管理装备技术支撑，优化整合各类科技资源，提高应急管理的科学化、专业化、智能化、精细化水平</w:t>
      </w:r>
      <w:r>
        <w:rPr>
          <w:rFonts w:ascii="仿宋_GB2312" w:hAnsi="仿宋_GB2312" w:eastAsia="仿宋_GB2312" w:cs="仿宋_GB2312"/>
          <w:b/>
          <w:bCs/>
          <w:color w:val="000000" w:themeColor="text1"/>
          <w:kern w:val="0"/>
          <w:sz w:val="32"/>
          <w:szCs w:val="32"/>
          <w14:textFill>
            <w14:solidFill>
              <w14:schemeClr w14:val="tx1"/>
            </w14:solidFill>
          </w14:textFill>
        </w:rPr>
        <w:t>。</w:t>
      </w:r>
    </w:p>
    <w:bookmarkEnd w:id="18"/>
    <w:bookmarkEnd w:id="19"/>
    <w:bookmarkEnd w:id="20"/>
    <w:bookmarkEnd w:id="21"/>
    <w:bookmarkEnd w:id="22"/>
    <w:p>
      <w:pPr>
        <w:overflowPunct w:val="0"/>
        <w:spacing w:line="590" w:lineRule="exact"/>
        <w:ind w:firstLine="643" w:firstLineChars="200"/>
        <w:outlineLvl w:val="1"/>
        <w:rPr>
          <w:rFonts w:ascii="楷体_GB2312" w:hAnsi="楷体_GB2312" w:eastAsia="楷体_GB2312" w:cs="楷体_GB2312"/>
          <w:b/>
          <w:bCs/>
          <w:color w:val="000000" w:themeColor="text1"/>
          <w:kern w:val="0"/>
          <w:sz w:val="32"/>
          <w:szCs w:val="32"/>
          <w14:textFill>
            <w14:solidFill>
              <w14:schemeClr w14:val="tx1"/>
            </w14:solidFill>
          </w14:textFill>
        </w:rPr>
      </w:pPr>
      <w:bookmarkStart w:id="24" w:name="_Toc2049"/>
      <w:r>
        <w:rPr>
          <w:rFonts w:hint="eastAsia" w:ascii="楷体_GB2312" w:hAnsi="楷体_GB2312" w:eastAsia="楷体_GB2312" w:cs="楷体_GB2312"/>
          <w:b/>
          <w:bCs/>
          <w:color w:val="000000" w:themeColor="text1"/>
          <w:kern w:val="0"/>
          <w:sz w:val="32"/>
          <w:szCs w:val="32"/>
          <w14:textFill>
            <w14:solidFill>
              <w14:schemeClr w14:val="tx1"/>
            </w14:solidFill>
          </w14:textFill>
        </w:rPr>
        <w:t>1.4事件分类分级</w:t>
      </w:r>
      <w:bookmarkEnd w:id="24"/>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本预案所称突发事件是指突然发生，造成或者可能造成严重社会危害，需要采取应急处置措施予以应对的自然灾害、事故灾难、公共卫生事件和社会安全事件。突发事件主要包括以下类别：</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（1）自然灾害。主要包括水旱灾害、气象灾害、地震灾害、地质灾害、生物灾害和森林草原火灾等。</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（2）事故灾难。主要包括危险化学品、工矿商贸等企业的各类安全事故、交通运输事故、公共设施和设备事故、核与辐射事故、环境污染和生态破坏事件等。</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（3）公共卫生事件。主要包括传染病疫情、群体性不明原因疾病、食品药品安全事件、职业危害、动物疫情以及其他严重影响公众健康和生命安全的事件等。</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（4）社会安全事件。主要包括恐怖袭击事件、群体性事件、油气及电力供应中断突发事件、金融突发事件、涉外突发事件、民族宗教事件、网络与信息安全事件等。</w:t>
      </w:r>
    </w:p>
    <w:p>
      <w:pPr>
        <w:overflowPunct w:val="0"/>
        <w:spacing w:line="590" w:lineRule="exact"/>
        <w:ind w:firstLine="643" w:firstLineChars="200"/>
        <w:rPr>
          <w:rFonts w:ascii="楷体_GB2312" w:hAnsi="楷体_GB2312" w:eastAsia="楷体_GB2312" w:cs="楷体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各类突发事件按照其性质、造成损失、危害程度、可控性和影响范围等因素，按照国家有关规定，一般从高到低分为：</w:t>
      </w:r>
      <w:r>
        <w:rPr>
          <w:rFonts w:hint="eastAsia" w:ascii="仿宋_GB2312" w:hAnsi="仿宋_GB2312" w:eastAsia="仿宋_GB2312" w:cs="仿宋_GB2312"/>
          <w:b/>
          <w:bCs/>
          <w:color w:val="000000" w:themeColor="text1"/>
          <w:spacing w:val="-6"/>
          <w:kern w:val="0"/>
          <w:sz w:val="32"/>
          <w:szCs w:val="32"/>
          <w14:textFill>
            <w14:solidFill>
              <w14:schemeClr w14:val="tx1"/>
            </w14:solidFill>
          </w14:textFill>
        </w:rPr>
        <w:t>特别重大、重大、较大、一般四个等级。具体分级标准参照国家突发事件分级标准执行，并在相应专项、部门应急预案中予以明确。</w:t>
      </w:r>
    </w:p>
    <w:p>
      <w:pPr>
        <w:overflowPunct w:val="0"/>
        <w:spacing w:line="590" w:lineRule="exact"/>
        <w:ind w:firstLine="643" w:firstLineChars="200"/>
        <w:outlineLvl w:val="0"/>
        <w:rPr>
          <w:rFonts w:ascii="黑体" w:hAnsi="黑体" w:eastAsia="黑体" w:cs="黑体"/>
          <w:b/>
          <w:bCs/>
          <w:color w:val="000000" w:themeColor="text1"/>
          <w:sz w:val="32"/>
          <w:szCs w:val="32"/>
          <w14:textFill>
            <w14:solidFill>
              <w14:schemeClr w14:val="tx1"/>
            </w14:solidFill>
          </w14:textFill>
        </w:rPr>
      </w:pPr>
      <w:bookmarkStart w:id="25" w:name="_Toc5223"/>
      <w:bookmarkStart w:id="26" w:name="_Toc21427"/>
      <w:bookmarkStart w:id="27" w:name="_Toc30093"/>
      <w:r>
        <w:rPr>
          <w:rFonts w:hint="eastAsia" w:ascii="黑体" w:hAnsi="黑体" w:eastAsia="黑体" w:cs="黑体"/>
          <w:b/>
          <w:bCs/>
          <w:color w:val="000000" w:themeColor="text1"/>
          <w:sz w:val="32"/>
          <w:szCs w:val="32"/>
          <w14:textFill>
            <w14:solidFill>
              <w14:schemeClr w14:val="tx1"/>
            </w14:solidFill>
          </w14:textFill>
        </w:rPr>
        <w:t>2.组织指挥体系</w:t>
      </w:r>
      <w:bookmarkEnd w:id="25"/>
      <w:bookmarkEnd w:id="26"/>
      <w:r>
        <w:rPr>
          <w:rFonts w:hint="eastAsia" w:ascii="黑体" w:hAnsi="黑体" w:eastAsia="黑体" w:cs="黑体"/>
          <w:b/>
          <w:bCs/>
          <w:color w:val="000000" w:themeColor="text1"/>
          <w:sz w:val="32"/>
          <w:szCs w:val="32"/>
          <w14:textFill>
            <w14:solidFill>
              <w14:schemeClr w14:val="tx1"/>
            </w14:solidFill>
          </w14:textFill>
        </w:rPr>
        <w:t>和应急预案体系</w:t>
      </w:r>
      <w:bookmarkEnd w:id="27"/>
    </w:p>
    <w:p>
      <w:pPr>
        <w:overflowPunct w:val="0"/>
        <w:spacing w:line="590" w:lineRule="exact"/>
        <w:ind w:firstLine="643" w:firstLineChars="200"/>
        <w:outlineLvl w:val="1"/>
        <w:rPr>
          <w:rFonts w:ascii="楷体_GB2312" w:hAnsi="楷体_GB2312" w:eastAsia="楷体_GB2312" w:cs="楷体_GB2312"/>
          <w:b/>
          <w:bCs/>
          <w:color w:val="000000" w:themeColor="text1"/>
          <w:kern w:val="0"/>
          <w:sz w:val="32"/>
          <w:szCs w:val="32"/>
          <w14:textFill>
            <w14:solidFill>
              <w14:schemeClr w14:val="tx1"/>
            </w14:solidFill>
          </w14:textFill>
        </w:rPr>
      </w:pPr>
      <w:bookmarkStart w:id="28" w:name="_Toc9135"/>
      <w:bookmarkStart w:id="29" w:name="_Toc1345"/>
      <w:bookmarkStart w:id="30" w:name="_Toc4736"/>
      <w:bookmarkStart w:id="31" w:name="_Toc13547"/>
      <w:bookmarkStart w:id="32" w:name="_Toc18934"/>
      <w:bookmarkStart w:id="33" w:name="_Toc18453"/>
      <w:r>
        <w:rPr>
          <w:rFonts w:hint="eastAsia" w:ascii="楷体_GB2312" w:hAnsi="楷体_GB2312" w:eastAsia="楷体_GB2312" w:cs="楷体_GB2312"/>
          <w:b/>
          <w:bCs/>
          <w:color w:val="000000" w:themeColor="text1"/>
          <w:kern w:val="0"/>
          <w:sz w:val="32"/>
          <w:szCs w:val="32"/>
          <w14:textFill>
            <w14:solidFill>
              <w14:schemeClr w14:val="tx1"/>
            </w14:solidFill>
          </w14:textFill>
        </w:rPr>
        <w:t>2.1组织体系</w:t>
      </w:r>
      <w:bookmarkEnd w:id="28"/>
    </w:p>
    <w:p>
      <w:pPr>
        <w:overflowPunct w:val="0"/>
        <w:spacing w:line="590" w:lineRule="exact"/>
        <w:ind w:firstLine="643" w:firstLineChars="200"/>
        <w:outlineLvl w:val="2"/>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2.1.1领导机构</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在市委统一领导下，市政府是全市突发事件应对工作的行政领导机构，统筹制定全市应急管理工作发展规划和政策措施，研究解决全市突发事件风险防控、应急准备、处置救援、资源保障、恢复重建等问题，指导其他突发事件应对工作。</w:t>
      </w:r>
    </w:p>
    <w:p>
      <w:pPr>
        <w:overflowPunct w:val="0"/>
        <w:spacing w:line="590" w:lineRule="exact"/>
        <w:ind w:firstLine="643" w:firstLineChars="200"/>
        <w:outlineLvl w:val="2"/>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2.1.2专项机构</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专项机构是指市委、市政府根据我市突发事件发生发展规</w:t>
      </w:r>
      <w:r>
        <w:rPr>
          <w:rFonts w:ascii="仿宋_GB2312" w:hAnsi="仿宋_GB2312" w:eastAsia="仿宋_GB2312" w:cs="仿宋_GB2312"/>
          <w:b/>
          <w:bCs/>
          <w:color w:val="000000" w:themeColor="text1"/>
          <w:kern w:val="0"/>
          <w:sz w:val="32"/>
          <w:szCs w:val="32"/>
          <w14:textFill>
            <w14:solidFill>
              <w14:schemeClr w14:val="tx1"/>
            </w14:solidFill>
          </w14:textFill>
        </w:rPr>
        <w:t>律、风险分布特点和应对工作需要设立的专项指挥机构或议事</w:t>
      </w:r>
      <w:r>
        <w:rPr>
          <w:rFonts w:hint="eastAsia" w:ascii="仿宋_GB2312" w:hAnsi="仿宋_GB2312" w:eastAsia="仿宋_GB2312" w:cs="仿宋_GB2312"/>
          <w:b/>
          <w:bCs/>
          <w:color w:val="000000" w:themeColor="text1"/>
          <w:kern w:val="0"/>
          <w:sz w:val="32"/>
          <w:szCs w:val="32"/>
          <w14:textFill>
            <w14:solidFill>
              <w14:schemeClr w14:val="tx1"/>
            </w14:solidFill>
          </w14:textFill>
        </w:rPr>
        <w:t>协调机构（各类突发事件专项机构和主要牵头部门详见附</w:t>
      </w:r>
      <w:r>
        <w:rPr>
          <w:rFonts w:ascii="仿宋_GB2312" w:hAnsi="仿宋_GB2312" w:eastAsia="仿宋_GB2312" w:cs="仿宋_GB2312"/>
          <w:b/>
          <w:bCs/>
          <w:color w:val="000000" w:themeColor="text1"/>
          <w:kern w:val="0"/>
          <w:sz w:val="32"/>
          <w:szCs w:val="32"/>
          <w14:textFill>
            <w14:solidFill>
              <w14:schemeClr w14:val="tx1"/>
            </w14:solidFill>
          </w14:textFill>
        </w:rPr>
        <w:t>件1）。在市委、市政府领导下，统筹组织相关类别突发事件风险防控、监测预警、应急响应、资源保障、恢复重建等工作。由市委、市政府分管负责同志牵头，成员由承担突发事件防范处置职责的有关</w:t>
      </w:r>
      <w:r>
        <w:rPr>
          <w:rFonts w:ascii="仿宋_GB2312" w:hAnsi="仿宋_GB2312" w:eastAsia="仿宋_GB2312" w:cs="仿宋_GB2312"/>
          <w:b/>
          <w:bCs/>
          <w:color w:val="000000" w:themeColor="text1"/>
          <w:spacing w:val="-6"/>
          <w:kern w:val="0"/>
          <w:sz w:val="32"/>
          <w:szCs w:val="32"/>
          <w14:textFill>
            <w14:solidFill>
              <w14:schemeClr w14:val="tx1"/>
            </w14:solidFill>
          </w14:textFill>
        </w:rPr>
        <w:t>部门负责同志组成。相关类别突发事件的牵头部门承担综合工作，负责相关应急预案的起草、管理、衔接，提出响应启动建议和措施。</w:t>
      </w:r>
    </w:p>
    <w:p>
      <w:pPr>
        <w:overflowPunct w:val="0"/>
        <w:spacing w:line="590" w:lineRule="exact"/>
        <w:ind w:firstLine="643" w:firstLineChars="200"/>
        <w:outlineLvl w:val="2"/>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2.1.3工作机构</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市委有关部门、市政府各工作部门、各直属机构依据相关法律法规和职责分工，组织协调指导本行业（领域）突发事件的风险防控、应急准备、监测预警、应急救援、资源保障、恢复重建等工作。在专项机构中承担相应职责的单位，要按照专项预案要求做好相关工作。</w:t>
      </w:r>
    </w:p>
    <w:p>
      <w:pPr>
        <w:overflowPunct w:val="0"/>
        <w:spacing w:line="590" w:lineRule="exact"/>
        <w:ind w:firstLine="643" w:firstLineChars="200"/>
        <w:outlineLvl w:val="2"/>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2.1.4基层组织机构</w:t>
      </w:r>
    </w:p>
    <w:p>
      <w:pPr>
        <w:overflowPunct w:val="0"/>
        <w:spacing w:line="590" w:lineRule="exact"/>
        <w:ind w:firstLine="643" w:firstLineChars="200"/>
        <w:rPr>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基层组织机构包含机关、企业、事业单位、社会组织和居</w:t>
      </w:r>
      <w:r>
        <w:rPr>
          <w:rFonts w:ascii="仿宋_GB2312" w:hAnsi="仿宋_GB2312" w:eastAsia="仿宋_GB2312" w:cs="仿宋_GB2312"/>
          <w:b/>
          <w:bCs/>
          <w:color w:val="000000" w:themeColor="text1"/>
          <w:kern w:val="0"/>
          <w:sz w:val="32"/>
          <w:szCs w:val="32"/>
          <w14:textFill>
            <w14:solidFill>
              <w14:schemeClr w14:val="tx1"/>
            </w14:solidFill>
          </w14:textFill>
        </w:rPr>
        <w:t>委会、村委会等法人</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单位</w:t>
      </w:r>
      <w:r>
        <w:rPr>
          <w:rFonts w:ascii="仿宋_GB2312" w:hAnsi="仿宋_GB2312" w:eastAsia="仿宋_GB2312" w:cs="仿宋_GB2312"/>
          <w:b/>
          <w:bCs/>
          <w:color w:val="000000" w:themeColor="text1"/>
          <w:kern w:val="0"/>
          <w:sz w:val="32"/>
          <w:szCs w:val="32"/>
          <w14:textFill>
            <w14:solidFill>
              <w14:schemeClr w14:val="tx1"/>
            </w14:solidFill>
          </w14:textFill>
        </w:rPr>
        <w:t>和基层组织。各基层组织机构应完善相应的突发事件应对工作体制机制，做到有组织、有机制、有人员、有保障、有宣传，</w:t>
      </w:r>
      <w:r>
        <w:rPr>
          <w:rFonts w:hint="eastAsia" w:ascii="仿宋_GB2312" w:hAnsi="仿宋_GB2312" w:eastAsia="仿宋_GB2312" w:cs="仿宋_GB2312"/>
          <w:b/>
          <w:bCs/>
          <w:color w:val="000000" w:themeColor="text1"/>
          <w:kern w:val="0"/>
          <w:sz w:val="32"/>
          <w:szCs w:val="32"/>
          <w14:textFill>
            <w14:solidFill>
              <w14:schemeClr w14:val="tx1"/>
            </w14:solidFill>
          </w14:textFill>
        </w:rPr>
        <w:t>依法做好突发事件应对工作</w:t>
      </w:r>
      <w:r>
        <w:rPr>
          <w:rFonts w:ascii="仿宋_GB2312" w:hAnsi="仿宋_GB2312" w:eastAsia="仿宋_GB2312" w:cs="仿宋_GB2312"/>
          <w:b/>
          <w:bCs/>
          <w:color w:val="000000" w:themeColor="text1"/>
          <w:kern w:val="0"/>
          <w:sz w:val="32"/>
          <w:szCs w:val="32"/>
          <w14:textFill>
            <w14:solidFill>
              <w14:schemeClr w14:val="tx1"/>
            </w14:solidFill>
          </w14:textFill>
        </w:rPr>
        <w:t>。</w:t>
      </w:r>
    </w:p>
    <w:p>
      <w:pPr>
        <w:overflowPunct w:val="0"/>
        <w:spacing w:line="590" w:lineRule="exact"/>
        <w:ind w:firstLine="643" w:firstLineChars="200"/>
        <w:outlineLvl w:val="1"/>
        <w:rPr>
          <w:rFonts w:ascii="楷体_GB2312" w:hAnsi="楷体_GB2312" w:eastAsia="楷体_GB2312" w:cs="楷体_GB2312"/>
          <w:b/>
          <w:bCs/>
          <w:color w:val="000000" w:themeColor="text1"/>
          <w:kern w:val="0"/>
          <w:sz w:val="32"/>
          <w:szCs w:val="32"/>
          <w14:textFill>
            <w14:solidFill>
              <w14:schemeClr w14:val="tx1"/>
            </w14:solidFill>
          </w14:textFill>
        </w:rPr>
      </w:pPr>
      <w:bookmarkStart w:id="34" w:name="_Toc26407"/>
      <w:r>
        <w:rPr>
          <w:rFonts w:hint="eastAsia" w:ascii="楷体_GB2312" w:hAnsi="楷体_GB2312" w:eastAsia="楷体_GB2312" w:cs="楷体_GB2312"/>
          <w:b/>
          <w:bCs/>
          <w:color w:val="000000" w:themeColor="text1"/>
          <w:kern w:val="0"/>
          <w:sz w:val="32"/>
          <w:szCs w:val="32"/>
          <w14:textFill>
            <w14:solidFill>
              <w14:schemeClr w14:val="tx1"/>
            </w14:solidFill>
          </w14:textFill>
        </w:rPr>
        <w:t>2.2应急预案体系</w:t>
      </w:r>
      <w:bookmarkEnd w:id="34"/>
    </w:p>
    <w:p>
      <w:pPr>
        <w:pStyle w:val="13"/>
        <w:overflowPunct w:val="0"/>
        <w:spacing w:beforeAutospacing="0" w:afterAutospacing="0" w:line="590" w:lineRule="exact"/>
        <w:ind w:firstLine="643" w:firstLineChars="200"/>
        <w:jc w:val="both"/>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应急预案体系包括各级政府及其部门、基层组织和单位制定的各类突发事件应急预案，以及为应急预案执行提供支撑的行动方案、工作手册、资源保障方案等支撑性文件。</w:t>
      </w:r>
    </w:p>
    <w:p>
      <w:pPr>
        <w:pStyle w:val="13"/>
        <w:overflowPunct w:val="0"/>
        <w:spacing w:beforeAutospacing="0" w:afterAutospacing="0" w:line="590" w:lineRule="exact"/>
        <w:ind w:firstLine="643" w:firstLineChars="200"/>
        <w:jc w:val="both"/>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（1）政府及其部门应急预案</w:t>
      </w:r>
    </w:p>
    <w:p>
      <w:pPr>
        <w:pStyle w:val="13"/>
        <w:overflowPunct w:val="0"/>
        <w:spacing w:beforeAutospacing="0" w:afterAutospacing="0" w:line="590" w:lineRule="exact"/>
        <w:ind w:firstLine="643" w:firstLineChars="200"/>
        <w:jc w:val="both"/>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1）总体应急预案是应对各类突发事件的总体制度安排。要突出“总体指导”，重点在分类分级、工作原则、预案体系、组织机构、运行机制、应急保障、监督管理等方面做出规定。</w:t>
      </w:r>
    </w:p>
    <w:p>
      <w:pPr>
        <w:pStyle w:val="13"/>
        <w:overflowPunct w:val="0"/>
        <w:spacing w:beforeAutospacing="0" w:afterAutospacing="0" w:line="590" w:lineRule="exact"/>
        <w:ind w:firstLine="643" w:firstLineChars="200"/>
        <w:jc w:val="both"/>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专项应急预案是政府为应对某类或几类突发事件，或者针对重要目标物保护、重大活动保障、应急资源保障等重要专项工作而制定的涉及多个部门职责的应急预案，要突出“职责分工”，重点对突发事件的具体类型级别、牵头处置机构、应对方式及政</w:t>
      </w:r>
      <w:r>
        <w:rPr>
          <w:rFonts w:hint="eastAsia" w:ascii="仿宋_GB2312" w:hAnsi="仿宋_GB2312" w:eastAsia="仿宋_GB2312" w:cs="仿宋_GB2312"/>
          <w:b/>
          <w:bCs/>
          <w:color w:val="000000" w:themeColor="text1"/>
          <w:spacing w:val="-6"/>
          <w:sz w:val="32"/>
          <w:szCs w:val="32"/>
          <w14:textFill>
            <w14:solidFill>
              <w14:schemeClr w14:val="tx1"/>
            </w14:solidFill>
          </w14:textFill>
        </w:rPr>
        <w:t>策措施、具体处置程序、保障措施等内容做出规定。对跨区域、跨流域等关联性强的突发事件，由相关单位根据实际组织编制预案。</w:t>
      </w:r>
    </w:p>
    <w:p>
      <w:pPr>
        <w:pStyle w:val="13"/>
        <w:overflowPunct w:val="0"/>
        <w:spacing w:beforeAutospacing="0" w:afterAutospacing="0" w:line="590" w:lineRule="exact"/>
        <w:ind w:firstLine="643" w:firstLineChars="200"/>
        <w:jc w:val="both"/>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w:t>
      </w: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部门应急预案是政府有关部门根据总体应急预案、专项应急预案和部门职责，为应对本部门（行业、领域）突发事件，或者针对重要目标物保护、重大活动保障、应急资源保障等涉及部门工作而预先制定的工作方案。</w:t>
      </w:r>
    </w:p>
    <w:p>
      <w:pPr>
        <w:pStyle w:val="13"/>
        <w:overflowPunct w:val="0"/>
        <w:spacing w:beforeAutospacing="0" w:afterAutospacing="0" w:line="590" w:lineRule="exact"/>
        <w:ind w:firstLine="643" w:firstLineChars="200"/>
        <w:jc w:val="both"/>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（2）基层组织和单位应急预案</w:t>
      </w:r>
    </w:p>
    <w:p>
      <w:pPr>
        <w:pStyle w:val="13"/>
        <w:overflowPunct w:val="0"/>
        <w:spacing w:beforeAutospacing="0" w:afterAutospacing="0" w:line="590" w:lineRule="exact"/>
        <w:ind w:firstLine="643" w:firstLineChars="200"/>
        <w:jc w:val="both"/>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基层组织和单位应急预案是基层组织和单位根据自身特点和实际情况制定的应对处置突发事件的操作指南，要突出“具体措施”，重点确立基层单位的主体责任，强化各单位对各类危险源的防控和监管措施，明确突发事件发生后应急救援和具体的处置程序、方法，要简明实用，确保一旦发生突发事件，做到早发现、早报告、早预警、早处置。</w:t>
      </w:r>
    </w:p>
    <w:p>
      <w:pPr>
        <w:pStyle w:val="13"/>
        <w:overflowPunct w:val="0"/>
        <w:spacing w:beforeAutospacing="0" w:afterAutospacing="0" w:line="590" w:lineRule="exact"/>
        <w:ind w:firstLine="643" w:firstLineChars="200"/>
        <w:jc w:val="both"/>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（3）应急预案支撑性文件</w:t>
      </w:r>
    </w:p>
    <w:p>
      <w:pPr>
        <w:pStyle w:val="13"/>
        <w:overflowPunct w:val="0"/>
        <w:spacing w:beforeAutospacing="0" w:afterAutospacing="0" w:line="590" w:lineRule="exact"/>
        <w:ind w:firstLine="643" w:firstLineChars="200"/>
        <w:jc w:val="both"/>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1）应急工作手册。应急工作手册是预案涉及的有关工作机构对自身承担职责任务进一步分解细化的工作安排，是本单位应对突发事件的工作指引。县级以上人民政府及有关部门根据落实</w:t>
      </w:r>
      <w:r>
        <w:rPr>
          <w:rFonts w:hint="eastAsia" w:ascii="仿宋_GB2312" w:hAnsi="仿宋_GB2312" w:eastAsia="仿宋_GB2312" w:cs="仿宋_GB2312"/>
          <w:b/>
          <w:bCs/>
          <w:color w:val="000000" w:themeColor="text1"/>
          <w:spacing w:val="-6"/>
          <w:sz w:val="32"/>
          <w:szCs w:val="32"/>
          <w14:textFill>
            <w14:solidFill>
              <w14:schemeClr w14:val="tx1"/>
            </w14:solidFill>
          </w14:textFill>
        </w:rPr>
        <w:t>相关应急预案的需要编制相应的工作手册，明确工作职责、任务、内容、流程和具体责任单位以及责任人员。基层组织和单位根据自身实际，可单独编制工作手册，或将有关内容融入预案合并编制。</w:t>
      </w:r>
    </w:p>
    <w:p>
      <w:pPr>
        <w:pStyle w:val="13"/>
        <w:overflowPunct w:val="0"/>
        <w:spacing w:beforeAutospacing="0" w:afterAutospacing="0" w:line="590" w:lineRule="exact"/>
        <w:ind w:firstLine="643" w:firstLineChars="200"/>
        <w:jc w:val="both"/>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事件行动方案。事件行动方案是参与突发事件应对的现场指挥机构、救援队伍、专家等为执行具体任务制定的工作安排。事件行动方案要明确队伍编成、力量预置、指挥协同、行动预想、战勤保障、通信联络、具体对策、实施步骤等内容。</w:t>
      </w:r>
    </w:p>
    <w:p>
      <w:pPr>
        <w:pStyle w:val="13"/>
        <w:overflowPunct w:val="0"/>
        <w:spacing w:beforeAutospacing="0" w:afterAutospacing="0" w:line="590" w:lineRule="exact"/>
        <w:ind w:firstLine="643" w:firstLineChars="200"/>
        <w:jc w:val="both"/>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3）风险评估。针对突发事件特点，识别事件危害因素，分析事件可能产生的直接后果以及次生、衍生后果，评估各种后果的危害程度，提出控制风险、治理隐患的措施。</w:t>
      </w:r>
    </w:p>
    <w:p>
      <w:pPr>
        <w:pStyle w:val="13"/>
        <w:overflowPunct w:val="0"/>
        <w:spacing w:beforeAutospacing="0" w:afterAutospacing="0" w:line="590" w:lineRule="exact"/>
        <w:ind w:firstLine="643" w:firstLineChars="200"/>
        <w:jc w:val="both"/>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4）应急资源调查。全面调查本区域第一时间可调用的应急队伍、装备、物资、场所等应急资源状况和合作区域内可请求援助的应急资源状况，必要时对本地居民应急资源情况进行调查，为制定应急响应措施提供依据。</w:t>
      </w:r>
    </w:p>
    <w:p>
      <w:pPr>
        <w:overflowPunct w:val="0"/>
        <w:spacing w:line="590" w:lineRule="exact"/>
        <w:ind w:firstLine="643" w:firstLineChars="200"/>
        <w:outlineLvl w:val="1"/>
        <w:rPr>
          <w:rFonts w:ascii="楷体_GB2312" w:hAnsi="楷体_GB2312" w:eastAsia="楷体_GB2312" w:cs="楷体_GB2312"/>
          <w:b/>
          <w:bCs/>
          <w:color w:val="000000" w:themeColor="text1"/>
          <w:kern w:val="0"/>
          <w:sz w:val="32"/>
          <w:szCs w:val="32"/>
          <w14:textFill>
            <w14:solidFill>
              <w14:schemeClr w14:val="tx1"/>
            </w14:solidFill>
          </w14:textFill>
        </w:rPr>
      </w:pPr>
      <w:bookmarkStart w:id="35" w:name="_Toc23708"/>
      <w:r>
        <w:rPr>
          <w:rFonts w:hint="eastAsia" w:ascii="楷体_GB2312" w:hAnsi="楷体_GB2312" w:eastAsia="楷体_GB2312" w:cs="楷体_GB2312"/>
          <w:b/>
          <w:bCs/>
          <w:color w:val="000000" w:themeColor="text1"/>
          <w:kern w:val="0"/>
          <w:sz w:val="32"/>
          <w:szCs w:val="32"/>
          <w14:textFill>
            <w14:solidFill>
              <w14:schemeClr w14:val="tx1"/>
            </w14:solidFill>
          </w14:textFill>
        </w:rPr>
        <w:t>2.3指挥体系</w:t>
      </w:r>
      <w:bookmarkEnd w:id="35"/>
    </w:p>
    <w:p>
      <w:pPr>
        <w:overflowPunct w:val="0"/>
        <w:spacing w:line="590" w:lineRule="exact"/>
        <w:ind w:firstLine="643" w:firstLineChars="200"/>
        <w:outlineLvl w:val="2"/>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2.3.1专项指挥部</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根据突发事件应对需要，市委、市政府成立相应突发事件专项指挥部，指定指挥长、副指挥长，明确牵头单位、成员单位，履行统一领导职责，负责组织协调相应突发事件的应对工作。</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各专项指挥部下设办公室，作为日常办事机构，由各突发事件应对牵头部门承担，负责协调专项指挥部成员单位相关工作，履行信息管理、信息报告、会议组织、预案管理、资源保障和综合协调等职能。</w:t>
      </w:r>
    </w:p>
    <w:p>
      <w:pPr>
        <w:overflowPunct w:val="0"/>
        <w:spacing w:line="590" w:lineRule="exact"/>
        <w:ind w:firstLine="619" w:firstLineChars="200"/>
        <w:rPr>
          <w:rFonts w:ascii="仿宋_GB2312" w:hAnsi="仿宋_GB2312" w:eastAsia="仿宋_GB2312" w:cs="仿宋_GB2312"/>
          <w:b/>
          <w:bCs/>
          <w:color w:val="000000" w:themeColor="text1"/>
          <w:spacing w:val="-6"/>
          <w:kern w:val="0"/>
          <w:sz w:val="32"/>
          <w:szCs w:val="32"/>
          <w14:textFill>
            <w14:solidFill>
              <w14:schemeClr w14:val="tx1"/>
            </w14:solidFill>
          </w14:textFill>
        </w:rPr>
      </w:pPr>
      <w:r>
        <w:rPr>
          <w:rFonts w:hint="eastAsia" w:ascii="仿宋_GB2312" w:hAnsi="仿宋_GB2312" w:eastAsia="仿宋_GB2312" w:cs="仿宋_GB2312"/>
          <w:b/>
          <w:bCs/>
          <w:color w:val="000000" w:themeColor="text1"/>
          <w:spacing w:val="-6"/>
          <w:kern w:val="0"/>
          <w:sz w:val="32"/>
          <w:szCs w:val="32"/>
          <w14:textFill>
            <w14:solidFill>
              <w14:schemeClr w14:val="tx1"/>
            </w14:solidFill>
          </w14:textFill>
        </w:rPr>
        <w:t>各专项指挥部可根据现场处置需要设置专业处置组、医疗救治组、宣传舆情组、物资保障组、安全稳定组和专家指导组等若干工作组开展突发事件应急处置工作，并可视情对工作组进行调整。</w:t>
      </w:r>
    </w:p>
    <w:p>
      <w:pPr>
        <w:overflowPunct w:val="0"/>
        <w:spacing w:line="590" w:lineRule="exact"/>
        <w:ind w:firstLine="643" w:firstLineChars="200"/>
        <w:outlineLvl w:val="2"/>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2.3.2现场指挥部</w:t>
      </w:r>
    </w:p>
    <w:p>
      <w:pPr>
        <w:overflowPunct w:val="0"/>
        <w:spacing w:line="590" w:lineRule="exact"/>
        <w:ind w:firstLine="643" w:firstLineChars="200"/>
        <w:rPr>
          <w:rFonts w:ascii="楷体_GB2312" w:hAnsi="楷体_GB2312" w:eastAsia="楷体_GB2312" w:cs="楷体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市级专项指挥部根据突发事件应对工作的需要，设立现场指挥部并指定指挥长，负责统一组织指挥突发事件现场应急处置和救援工作。由事发地人民政府负责现场指挥机构的保障。原则上现场指挥机构不层层设立，一般根据响应级别和救援需要设立联合指挥部。</w:t>
      </w:r>
    </w:p>
    <w:bookmarkEnd w:id="29"/>
    <w:bookmarkEnd w:id="30"/>
    <w:bookmarkEnd w:id="31"/>
    <w:bookmarkEnd w:id="32"/>
    <w:bookmarkEnd w:id="33"/>
    <w:p>
      <w:pPr>
        <w:overflowPunct w:val="0"/>
        <w:spacing w:line="590" w:lineRule="exact"/>
        <w:ind w:firstLine="643" w:firstLineChars="200"/>
        <w:outlineLvl w:val="1"/>
        <w:rPr>
          <w:rFonts w:ascii="楷体_GB2312" w:hAnsi="楷体_GB2312" w:eastAsia="楷体_GB2312" w:cs="楷体_GB2312"/>
          <w:b/>
          <w:bCs/>
          <w:color w:val="000000" w:themeColor="text1"/>
          <w:kern w:val="0"/>
          <w:sz w:val="32"/>
          <w:szCs w:val="32"/>
          <w14:textFill>
            <w14:solidFill>
              <w14:schemeClr w14:val="tx1"/>
            </w14:solidFill>
          </w14:textFill>
        </w:rPr>
      </w:pPr>
      <w:bookmarkStart w:id="36" w:name="_Toc86"/>
      <w:bookmarkStart w:id="37" w:name="_Toc31924"/>
      <w:r>
        <w:rPr>
          <w:rFonts w:hint="eastAsia" w:ascii="楷体_GB2312" w:hAnsi="楷体_GB2312" w:eastAsia="楷体_GB2312" w:cs="楷体_GB2312"/>
          <w:b/>
          <w:bCs/>
          <w:color w:val="000000" w:themeColor="text1"/>
          <w:kern w:val="0"/>
          <w:sz w:val="32"/>
          <w:szCs w:val="32"/>
          <w14:textFill>
            <w14:solidFill>
              <w14:schemeClr w14:val="tx1"/>
            </w14:solidFill>
          </w14:textFill>
        </w:rPr>
        <w:t>2.4专家组</w:t>
      </w:r>
      <w:bookmarkEnd w:id="36"/>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bookmarkStart w:id="38" w:name="_Toc5483"/>
      <w:bookmarkStart w:id="39" w:name="_Toc22491"/>
      <w:bookmarkStart w:id="40" w:name="_Toc10012"/>
      <w:bookmarkStart w:id="41" w:name="_Toc31917"/>
      <w:r>
        <w:rPr>
          <w:rFonts w:hint="eastAsia" w:ascii="仿宋_GB2312" w:hAnsi="仿宋_GB2312" w:eastAsia="仿宋_GB2312" w:cs="仿宋_GB2312"/>
          <w:b/>
          <w:bCs/>
          <w:color w:val="000000" w:themeColor="text1"/>
          <w:kern w:val="0"/>
          <w:sz w:val="32"/>
          <w:szCs w:val="32"/>
          <w14:textFill>
            <w14:solidFill>
              <w14:schemeClr w14:val="tx1"/>
            </w14:solidFill>
          </w14:textFill>
        </w:rPr>
        <w:t>各级专项指挥机构和具有处置突发事件工作职能的部门，应建立突发事件防范应对专家库，在突发事件发生后根据需要抽调有关专家组成专家组，为突发事件应急处置、调查评估及善后处置等工作提供决策咨询等技术支持。</w:t>
      </w:r>
    </w:p>
    <w:p>
      <w:pPr>
        <w:overflowPunct w:val="0"/>
        <w:spacing w:line="590" w:lineRule="exact"/>
        <w:ind w:firstLine="643" w:firstLineChars="200"/>
        <w:outlineLvl w:val="0"/>
        <w:rPr>
          <w:rFonts w:ascii="黑体" w:hAnsi="黑体" w:eastAsia="黑体" w:cs="黑体"/>
          <w:b/>
          <w:bCs/>
          <w:color w:val="000000" w:themeColor="text1"/>
          <w:sz w:val="32"/>
          <w:szCs w:val="32"/>
          <w14:textFill>
            <w14:solidFill>
              <w14:schemeClr w14:val="tx1"/>
            </w14:solidFill>
          </w14:textFill>
        </w:rPr>
      </w:pPr>
      <w:bookmarkStart w:id="42" w:name="_Toc32206"/>
      <w:r>
        <w:rPr>
          <w:rFonts w:hint="eastAsia" w:ascii="黑体" w:hAnsi="黑体" w:eastAsia="黑体" w:cs="黑体"/>
          <w:b/>
          <w:bCs/>
          <w:color w:val="000000" w:themeColor="text1"/>
          <w:sz w:val="32"/>
          <w:szCs w:val="32"/>
          <w14:textFill>
            <w14:solidFill>
              <w14:schemeClr w14:val="tx1"/>
            </w14:solidFill>
          </w14:textFill>
        </w:rPr>
        <w:t>3</w:t>
      </w:r>
      <w:bookmarkEnd w:id="37"/>
      <w:r>
        <w:rPr>
          <w:rFonts w:hint="eastAsia" w:ascii="黑体" w:hAnsi="黑体" w:eastAsia="黑体" w:cs="黑体"/>
          <w:b/>
          <w:bCs/>
          <w:color w:val="000000" w:themeColor="text1"/>
          <w:sz w:val="32"/>
          <w:szCs w:val="32"/>
          <w14:textFill>
            <w14:solidFill>
              <w14:schemeClr w14:val="tx1"/>
            </w14:solidFill>
          </w14:textFill>
        </w:rPr>
        <w:t>.运行机制</w:t>
      </w:r>
      <w:bookmarkEnd w:id="38"/>
      <w:bookmarkEnd w:id="39"/>
      <w:bookmarkEnd w:id="40"/>
      <w:bookmarkEnd w:id="41"/>
      <w:bookmarkEnd w:id="42"/>
    </w:p>
    <w:p>
      <w:pPr>
        <w:overflowPunct w:val="0"/>
        <w:spacing w:line="590" w:lineRule="exact"/>
        <w:ind w:firstLine="643" w:firstLineChars="200"/>
        <w:outlineLvl w:val="1"/>
        <w:rPr>
          <w:rFonts w:ascii="楷体_GB2312" w:hAnsi="楷体_GB2312" w:eastAsia="楷体_GB2312" w:cs="楷体_GB2312"/>
          <w:b/>
          <w:bCs/>
          <w:color w:val="000000" w:themeColor="text1"/>
          <w:kern w:val="0"/>
          <w:sz w:val="32"/>
          <w:szCs w:val="32"/>
          <w14:textFill>
            <w14:solidFill>
              <w14:schemeClr w14:val="tx1"/>
            </w14:solidFill>
          </w14:textFill>
        </w:rPr>
      </w:pPr>
      <w:bookmarkStart w:id="43" w:name="_Toc11425"/>
      <w:r>
        <w:rPr>
          <w:rFonts w:hint="eastAsia" w:ascii="楷体_GB2312" w:hAnsi="楷体_GB2312" w:eastAsia="楷体_GB2312" w:cs="楷体_GB2312"/>
          <w:b/>
          <w:bCs/>
          <w:color w:val="000000" w:themeColor="text1"/>
          <w:kern w:val="0"/>
          <w:sz w:val="32"/>
          <w:szCs w:val="32"/>
          <w14:textFill>
            <w14:solidFill>
              <w14:schemeClr w14:val="tx1"/>
            </w14:solidFill>
          </w14:textFill>
        </w:rPr>
        <w:t>3.1风险防控</w:t>
      </w:r>
      <w:bookmarkEnd w:id="43"/>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1）县级以上人民政府制定实施国民经济和社会发展计划应当充分考虑公共安全风险以及预防和处置突发事件工作的需要，统筹安排应对突发事件所必需的设备和基础设施建设，提高综合防灾减灾救灾能力；要健全完善公共卫生体系，提高重大传染病防控能力；完善社会治安防控体系，提高社会安全基础能力。对社会稳定、公共安全等方面可能造成较大影响的重大决策事项，牵头部门或有关行业主管部门作出决策前均应进行社会稳定风险评估。</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按照“关口前移、重心下沉、源头管控”的原则，建立健全突发事件风险辨识、分析、会商、研判、防控等制度，从源头上防范化解重大风险。对重大关键基础设施、重大风险隐患、重大活动要按照“谁经营、谁主管、谁举办、谁负责”的原则，进行风险辨识与评估，落实风险防控责任和措施。</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2）按照政府统筹、行业指导原则，各专项机构和工作机构要依法对行业（领域）内各类风险点和危险源进行调查、辨识、评估、分级、登记，建立台账，定期进行检查、监控，责令有关单位采取防范化解措施。要建立风险信息互通共享机制，推动形成完整的风险管理数据库。</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（3）基层组织机构要建立完善网格化风险防控体系，及时发现和处置各类风险隐患，落实风险管控措施，做好应急准备。基层单位要履行主体责任，加强风险隐患的全过程管理。</w:t>
      </w:r>
    </w:p>
    <w:p>
      <w:pPr>
        <w:overflowPunct w:val="0"/>
        <w:spacing w:line="590" w:lineRule="exact"/>
        <w:ind w:firstLine="643" w:firstLineChars="200"/>
        <w:outlineLvl w:val="1"/>
        <w:rPr>
          <w:rFonts w:ascii="楷体_GB2312" w:hAnsi="楷体_GB2312" w:eastAsia="楷体_GB2312" w:cs="楷体_GB2312"/>
          <w:b/>
          <w:bCs/>
          <w:color w:val="000000" w:themeColor="text1"/>
          <w:kern w:val="0"/>
          <w:sz w:val="32"/>
          <w:szCs w:val="32"/>
          <w14:textFill>
            <w14:solidFill>
              <w14:schemeClr w14:val="tx1"/>
            </w14:solidFill>
          </w14:textFill>
        </w:rPr>
      </w:pPr>
      <w:bookmarkStart w:id="44" w:name="_Toc18148"/>
      <w:bookmarkStart w:id="45" w:name="_Toc7289"/>
      <w:r>
        <w:rPr>
          <w:rFonts w:hint="eastAsia" w:ascii="楷体_GB2312" w:hAnsi="楷体_GB2312" w:eastAsia="楷体_GB2312" w:cs="楷体_GB2312"/>
          <w:b/>
          <w:bCs/>
          <w:color w:val="000000" w:themeColor="text1"/>
          <w:kern w:val="0"/>
          <w:sz w:val="32"/>
          <w:szCs w:val="32"/>
          <w14:textFill>
            <w14:solidFill>
              <w14:schemeClr w14:val="tx1"/>
            </w14:solidFill>
          </w14:textFill>
        </w:rPr>
        <w:t>3.2监测与预警</w:t>
      </w:r>
      <w:bookmarkEnd w:id="44"/>
    </w:p>
    <w:p>
      <w:pPr>
        <w:overflowPunct w:val="0"/>
        <w:spacing w:line="590" w:lineRule="exact"/>
        <w:ind w:firstLine="643" w:firstLineChars="200"/>
        <w:outlineLvl w:val="2"/>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3.2.1监测</w:t>
      </w:r>
      <w:bookmarkEnd w:id="45"/>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县级以上人民政府及其专项机构、工作机构要建立健全突发事件监测制度，整合监测信息资源，完善信息资源获取和共享机制，各牵头部门负责相应突发事件监测信息集成。</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根据突发事件种类和特点，建立健全地震、地质、气象、洪涝、干旱、森林草原火灾、矿山开采、危险化学品和烟花爆竹、地下管网、传染病疫情、野生动物疫情、重大关键基础设施、恐怖袭击、群体性、油气及电力供应中断、金融、涉外、民族宗教和网络与信息安全等信息数据库，完善监测网络，划分监测区域，确定监测点，明确监测项目，配备专职或兼职人员和必要的设备设施，对突发事件易发的重点地区、重点领域、重点目标进行全天候监测。加强有关行业重大风险监控方面的研究，对重大风险点、危险源进行有效地辨识、监测，采取有效防范措施，最大限度减少或控制各类突发事件的发生。对于涉密的重要信息，负责收集数据的部门应遵守相关的管理规定，做好信息保密工作。</w:t>
      </w:r>
    </w:p>
    <w:p>
      <w:pPr>
        <w:overflowPunct w:val="0"/>
        <w:spacing w:line="590" w:lineRule="exact"/>
        <w:ind w:firstLine="643" w:firstLineChars="200"/>
        <w:outlineLvl w:val="2"/>
        <w:rPr>
          <w:rFonts w:ascii="仿宋_GB2312" w:hAnsi="仿宋_GB2312" w:eastAsia="仿宋_GB2312" w:cs="仿宋_GB2312"/>
          <w:b/>
          <w:bCs/>
          <w:color w:val="000000" w:themeColor="text1"/>
          <w:sz w:val="32"/>
          <w:szCs w:val="32"/>
          <w14:textFill>
            <w14:solidFill>
              <w14:schemeClr w14:val="tx1"/>
            </w14:solidFill>
          </w14:textFill>
        </w:rPr>
      </w:pPr>
      <w:bookmarkStart w:id="46" w:name="_Toc9499"/>
      <w:r>
        <w:rPr>
          <w:rFonts w:hint="eastAsia" w:ascii="仿宋_GB2312" w:hAnsi="仿宋_GB2312" w:eastAsia="仿宋_GB2312" w:cs="仿宋_GB2312"/>
          <w:b/>
          <w:bCs/>
          <w:color w:val="000000" w:themeColor="text1"/>
          <w:sz w:val="32"/>
          <w:szCs w:val="32"/>
          <w14:textFill>
            <w14:solidFill>
              <w14:schemeClr w14:val="tx1"/>
            </w14:solidFill>
          </w14:textFill>
        </w:rPr>
        <w:t>3.2.2预警</w:t>
      </w:r>
      <w:bookmarkEnd w:id="46"/>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（1）预警级别划分</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突发事件按照紧急程度、发展态势和可能造成的危害程度，预警级别从高至低可分为一级、二级、三级和四级，分别用红色、橙色、黄色、蓝色标示。</w:t>
      </w:r>
      <w:r>
        <w:rPr>
          <w:rFonts w:ascii="仿宋_GB2312" w:hAnsi="仿宋_GB2312" w:eastAsia="仿宋_GB2312" w:cs="仿宋_GB2312"/>
          <w:b/>
          <w:bCs/>
          <w:color w:val="000000" w:themeColor="text1"/>
          <w:kern w:val="0"/>
          <w:sz w:val="32"/>
          <w:szCs w:val="32"/>
          <w14:textFill>
            <w14:solidFill>
              <w14:schemeClr w14:val="tx1"/>
            </w14:solidFill>
          </w14:textFill>
        </w:rPr>
        <w:t>预警的分级标准按照有关规定执行</w:t>
      </w:r>
      <w:r>
        <w:rPr>
          <w:rFonts w:hint="eastAsia" w:ascii="仿宋_GB2312" w:hAnsi="仿宋_GB2312" w:eastAsia="仿宋_GB2312" w:cs="仿宋_GB2312"/>
          <w:b/>
          <w:bCs/>
          <w:color w:val="000000" w:themeColor="text1"/>
          <w:kern w:val="0"/>
          <w:sz w:val="32"/>
          <w:szCs w:val="32"/>
          <w14:textFill>
            <w14:solidFill>
              <w14:schemeClr w14:val="tx1"/>
            </w14:solidFill>
          </w14:textFill>
        </w:rPr>
        <w:t>。预警级别按照国家牵头部门制定的具体划分标准执行，县级以上人民政府结合实际制定具体实施办法。</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（2）确定预警级别</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对可以预警的突发事件，各专项机构牵头部门、各工作机构接到信息后，及时分析研判突发事件发生的可能性、强度和影响范围以及可能发生的次生、衍生灾害，确定预警级别，提出响应启动建议。</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县级以上人民政府或有关部门根据分析研判结果，确认突发事件即将发生或者发生的可能性增大时，应及时向上一级人民政府或相应工作机构报告，必要时可以越级上报，并向可能受到危害的毗邻或相关地区人民政府通报。</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（3）预警信息发布</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预警信息的主要内容包括预警类型、预警级别、起始时间、可能影响范围、警示事项、应采取的措施和发布单位、发布时间等。预警信息的发布和调整可通过专有渠道、共享渠道或临时渠道发布，也可通过广播、电视、报刊、通信、信息网络、手机、警报器、宣传车、大喇叭或动员基层组织机构逐户通知等方式进</w:t>
      </w:r>
      <w:r>
        <w:rPr>
          <w:rFonts w:hint="eastAsia" w:ascii="仿宋_GB2312" w:hAnsi="仿宋_GB2312" w:eastAsia="仿宋_GB2312" w:cs="仿宋_GB2312"/>
          <w:b/>
          <w:bCs/>
          <w:color w:val="000000" w:themeColor="text1"/>
          <w:spacing w:val="-6"/>
          <w:kern w:val="0"/>
          <w:sz w:val="32"/>
          <w:szCs w:val="32"/>
          <w14:textFill>
            <w14:solidFill>
              <w14:schemeClr w14:val="tx1"/>
            </w14:solidFill>
          </w14:textFill>
        </w:rPr>
        <w:t>行，对老、幼、病、残、孕以及留守儿童、流动人口等特殊人群，学校、医院、敬老院、娱乐场所、文化旅游景区、高危行业、人员密集场所等特殊场所和警报盲区应当采取有针对性的通知方式。</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（4）采取预警措施</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预警信息发布后，各专项机构、工作机构应根据预警级别及本地实际情况，落实“强制性、防范性、保护性、建议性”等预警措施，按照分级负责的原则，采取以下一项或多项预警措施，有效开展预警行动。</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1）落实应急值守制度，加强值班值守力量，加大信息传递通报力度；</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2）组织有关部门和机构、专业技术人员、专家，及时对突发事件信息进行分析评估，预测发生突发事件可能性的大小、影响范围和强度，以及可能发生的突发事件级别；</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3）增加检查观测、会商研判频次，为预警行动提出意见和建议；</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4）调集应急救援力量、物资、设备进入待命状态，做好参加应急救援和处置工作的准备；做好应急设施和应急避难场所的准备工作，确保其处于良好状态、随时可以投入正常使用；</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5）加强对重点单位、重要部位和重要基础设施的安全保卫工作，维护社会治安秩序，确保交通、通信、供水、排水、供电、供气、供热等公共设施的安全和正常运行；</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6）组织转移、疏散或撤离易受突发事件危害的人员并予以妥善安置，关闭或限制使用易受突发事件危害的场所，控制或限制容易导致危害扩大的公共场所的活动；</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7）充分利用广播、电视、报纸、网络等媒体平台，加大预警信息传递的范围和频次，及时向社会传播防灾、减灾、抗灾、救灾有关知识，动员公众自觉做好个人防护；</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8）对传播虚假预警信息、造谣滋事、影响社会稳定等违法行为，依法依规严肃处理；</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9）法律法规、规章规定的其他必要的防范性、保护性措施。</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（5）预警调整与解除</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发布预警信息的县级以上人民政府或有关专项机构、工作机构应加强对预警信息动态管理，根据事态发展，听取专家研判建议，适时调整预警级别、更新预警信息内容，及时报告、通报和发布有关情况。当突发事件风险已经解除，发布预警信息的政府或有关专项机构、工作机构要立即宣布解除预警，终止预警期，解除已经采取的有关措施。</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对可预警的突发事件，各专项机构、工作机构应在专项、部门应急预案中明确预警级别，确定签发流程、发布范围、发布渠道、预警措施。</w:t>
      </w:r>
    </w:p>
    <w:p>
      <w:pPr>
        <w:overflowPunct w:val="0"/>
        <w:spacing w:line="590" w:lineRule="exact"/>
        <w:ind w:firstLine="643" w:firstLineChars="200"/>
        <w:outlineLvl w:val="1"/>
        <w:rPr>
          <w:rFonts w:ascii="楷体_GB2312" w:hAnsi="楷体_GB2312" w:eastAsia="楷体_GB2312" w:cs="楷体_GB2312"/>
          <w:b/>
          <w:bCs/>
          <w:color w:val="000000" w:themeColor="text1"/>
          <w:kern w:val="0"/>
          <w:sz w:val="32"/>
          <w:szCs w:val="32"/>
          <w14:textFill>
            <w14:solidFill>
              <w14:schemeClr w14:val="tx1"/>
            </w14:solidFill>
          </w14:textFill>
        </w:rPr>
      </w:pPr>
      <w:bookmarkStart w:id="47" w:name="_Toc28315"/>
      <w:r>
        <w:rPr>
          <w:rFonts w:hint="eastAsia" w:ascii="楷体_GB2312" w:hAnsi="楷体_GB2312" w:eastAsia="楷体_GB2312" w:cs="楷体_GB2312"/>
          <w:b/>
          <w:bCs/>
          <w:color w:val="000000" w:themeColor="text1"/>
          <w:kern w:val="0"/>
          <w:sz w:val="32"/>
          <w:szCs w:val="32"/>
          <w14:textFill>
            <w14:solidFill>
              <w14:schemeClr w14:val="tx1"/>
            </w14:solidFill>
          </w14:textFill>
        </w:rPr>
        <w:t>3.3应急处置与救援</w:t>
      </w:r>
      <w:bookmarkEnd w:id="47"/>
    </w:p>
    <w:p>
      <w:pPr>
        <w:overflowPunct w:val="0"/>
        <w:spacing w:line="590" w:lineRule="exact"/>
        <w:ind w:firstLine="643" w:firstLineChars="200"/>
        <w:outlineLvl w:val="2"/>
        <w:rPr>
          <w:rFonts w:ascii="仿宋_GB2312" w:hAnsi="仿宋_GB2312" w:eastAsia="仿宋_GB2312" w:cs="仿宋_GB2312"/>
          <w:b/>
          <w:bCs/>
          <w:color w:val="000000" w:themeColor="text1"/>
          <w:sz w:val="32"/>
          <w:szCs w:val="32"/>
          <w14:textFill>
            <w14:solidFill>
              <w14:schemeClr w14:val="tx1"/>
            </w14:solidFill>
          </w14:textFill>
        </w:rPr>
      </w:pPr>
      <w:bookmarkStart w:id="48" w:name="_Toc20717"/>
      <w:r>
        <w:rPr>
          <w:rFonts w:hint="eastAsia" w:ascii="仿宋_GB2312" w:hAnsi="仿宋_GB2312" w:eastAsia="仿宋_GB2312" w:cs="仿宋_GB2312"/>
          <w:b/>
          <w:bCs/>
          <w:color w:val="000000" w:themeColor="text1"/>
          <w:sz w:val="32"/>
          <w:szCs w:val="32"/>
          <w14:textFill>
            <w14:solidFill>
              <w14:schemeClr w14:val="tx1"/>
            </w14:solidFill>
          </w14:textFill>
        </w:rPr>
        <w:t>3.3.1信息报告</w:t>
      </w:r>
      <w:bookmarkEnd w:id="48"/>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（1）信息报告制度</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县级以上人民政府以及专项机构、工作机构要依据速报事实、实事求是、依法处置的原则，按照分级负责、条块结合、快速准确的要求，建立健全信息快速获取机制和协同会商机制，建立完善应急值守、信息报告、奖励激励等制度，落实各类法人主体的信息报告责任，统筹整合基层信息资源，实现突发事件信息报告</w:t>
      </w:r>
      <w:r>
        <w:rPr>
          <w:rFonts w:hint="eastAsia" w:ascii="仿宋_GB2312" w:hAnsi="仿宋_GB2312" w:eastAsia="仿宋_GB2312" w:cs="仿宋_GB2312"/>
          <w:b/>
          <w:bCs/>
          <w:color w:val="000000" w:themeColor="text1"/>
          <w:spacing w:val="-6"/>
          <w:kern w:val="0"/>
          <w:sz w:val="32"/>
          <w:szCs w:val="32"/>
          <w14:textFill>
            <w14:solidFill>
              <w14:schemeClr w14:val="tx1"/>
            </w14:solidFill>
          </w14:textFill>
        </w:rPr>
        <w:t>全覆盖、无死角。获悉突发事件信息的公民、法人或其他组织，应当立即通过“110”“119”“120”“122”等紧急热线电话或其他专用电话途径向所在地政府、有关部门或指定的专业机构报告。</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（2）信息报告内容</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报告内容一般包括突发事件发生的时间、地点、信息来源、性质、简要经过、影响范围（含环境影响）、人员伤（病）亡和失联情况、房屋倒塌损坏情况、交通通信电力等基础设施损毁情况、现场救援情况、已经采取的其他措施、有无次生或衍生危害，以及现场负责人和报告人的姓名、单位、联系电话等等。</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报告涉密的突发事件信息，应当遵守保守国家秘密和工作秘密有关规定。</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（3）报告程序和时限</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特别重大、重大、较大突发事件信息县级以上人民政府及专项机构、工作机构要逐级上报至省政府及专项机构、工作机构。对于一些事件本身比较敏感或发生在重点地区、重要时期，或可能演化为特别重大、重大突发事件的，不受突发事件分级标准限制。突发事件信息报告执行首报、续报和终报制度，首报要快，续报要准，终报要全。</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县级以上人民政府以及专项机构、</w:t>
      </w:r>
      <w:r>
        <w:rPr>
          <w:rFonts w:ascii="仿宋_GB2312" w:hAnsi="仿宋_GB2312" w:eastAsia="仿宋_GB2312" w:cs="仿宋_GB2312"/>
          <w:b/>
          <w:bCs/>
          <w:color w:val="000000" w:themeColor="text1"/>
          <w:kern w:val="0"/>
          <w:sz w:val="32"/>
          <w:szCs w:val="32"/>
          <w14:textFill>
            <w14:solidFill>
              <w14:schemeClr w14:val="tx1"/>
            </w14:solidFill>
          </w14:textFill>
        </w:rPr>
        <w:t>工作机构接到突发事件信息后，要按照国家有关规定，立即如实向上级人民政府及其有关部门报告，最迟不得超过</w:t>
      </w:r>
      <w:r>
        <w:rPr>
          <w:rFonts w:hint="eastAsia" w:ascii="仿宋_GB2312" w:hAnsi="仿宋_GB2312" w:eastAsia="仿宋_GB2312" w:cs="仿宋_GB2312"/>
          <w:b/>
          <w:bCs/>
          <w:color w:val="000000" w:themeColor="text1"/>
          <w:kern w:val="0"/>
          <w:sz w:val="32"/>
          <w:szCs w:val="32"/>
          <w14:textFill>
            <w14:solidFill>
              <w14:schemeClr w14:val="tx1"/>
            </w14:solidFill>
          </w14:textFill>
        </w:rPr>
        <w:t>1</w:t>
      </w:r>
      <w:r>
        <w:rPr>
          <w:rFonts w:ascii="仿宋_GB2312" w:hAnsi="仿宋_GB2312" w:eastAsia="仿宋_GB2312" w:cs="仿宋_GB2312"/>
          <w:b/>
          <w:bCs/>
          <w:color w:val="000000" w:themeColor="text1"/>
          <w:kern w:val="0"/>
          <w:sz w:val="32"/>
          <w:szCs w:val="32"/>
          <w14:textFill>
            <w14:solidFill>
              <w14:schemeClr w14:val="tx1"/>
            </w14:solidFill>
          </w14:textFill>
        </w:rPr>
        <w:t>小时，不得迟报、谎报、瞒报和漏报。涉及港澳台侨、外籍人员，或影响到境外的突发事件，需要向有关国家、地区、国际机构通报的，按照相关规定办理。</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特殊情况下，突发事件信息可以越级上报，但必须同时报告越过的政府及专项机构、工作机构。</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凡突发事件相关上位预案或政府其他规范性文件对该类事件信息报送另有规定的，从其规定。</w:t>
      </w:r>
    </w:p>
    <w:p>
      <w:pPr>
        <w:overflowPunct w:val="0"/>
        <w:spacing w:line="590" w:lineRule="exact"/>
        <w:ind w:firstLine="643" w:firstLineChars="200"/>
        <w:outlineLvl w:val="2"/>
        <w:rPr>
          <w:rFonts w:ascii="仿宋_GB2312" w:hAnsi="仿宋_GB2312" w:eastAsia="仿宋_GB2312" w:cs="仿宋_GB2312"/>
          <w:b/>
          <w:bCs/>
          <w:color w:val="000000" w:themeColor="text1"/>
          <w:sz w:val="32"/>
          <w:szCs w:val="32"/>
          <w14:textFill>
            <w14:solidFill>
              <w14:schemeClr w14:val="tx1"/>
            </w14:solidFill>
          </w14:textFill>
        </w:rPr>
      </w:pPr>
      <w:bookmarkStart w:id="49" w:name="_Toc25562"/>
      <w:r>
        <w:rPr>
          <w:rFonts w:hint="eastAsia" w:ascii="仿宋_GB2312" w:hAnsi="仿宋_GB2312" w:eastAsia="仿宋_GB2312" w:cs="仿宋_GB2312"/>
          <w:b/>
          <w:bCs/>
          <w:color w:val="000000" w:themeColor="text1"/>
          <w:sz w:val="32"/>
          <w:szCs w:val="32"/>
          <w14:textFill>
            <w14:solidFill>
              <w14:schemeClr w14:val="tx1"/>
            </w14:solidFill>
          </w14:textFill>
        </w:rPr>
        <w:t>3.3.2先期处置</w:t>
      </w:r>
      <w:bookmarkEnd w:id="49"/>
    </w:p>
    <w:p>
      <w:pPr>
        <w:overflowPunct w:val="0"/>
        <w:spacing w:line="590" w:lineRule="exact"/>
        <w:ind w:firstLine="643" w:firstLineChars="200"/>
        <w:rPr>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w:t>
      </w:r>
      <w:r>
        <w:rPr>
          <w:rFonts w:ascii="仿宋_GB2312" w:hAnsi="宋体" w:eastAsia="仿宋_GB2312" w:cs="仿宋_GB2312"/>
          <w:b/>
          <w:bCs/>
          <w:color w:val="000000" w:themeColor="text1"/>
          <w:kern w:val="0"/>
          <w:sz w:val="31"/>
          <w:szCs w:val="31"/>
          <w14:textFill>
            <w14:solidFill>
              <w14:schemeClr w14:val="tx1"/>
            </w14:solidFill>
          </w14:textFill>
        </w:rPr>
        <w:t>突发事件发生后，事发单位和属地政府应立即组织开展先期</w:t>
      </w:r>
      <w:r>
        <w:rPr>
          <w:rFonts w:hint="eastAsia" w:ascii="仿宋_GB2312" w:hAnsi="宋体" w:eastAsia="仿宋_GB2312" w:cs="仿宋_GB2312"/>
          <w:b/>
          <w:bCs/>
          <w:color w:val="000000" w:themeColor="text1"/>
          <w:kern w:val="0"/>
          <w:sz w:val="31"/>
          <w:szCs w:val="31"/>
          <w14:textFill>
            <w14:solidFill>
              <w14:schemeClr w14:val="tx1"/>
            </w14:solidFill>
          </w14:textFill>
        </w:rPr>
        <w:t>处置工作，采取多种措施防止事件危害扩大，并向相关行业主管部门和上级政府报告事件处置情况。</w:t>
      </w:r>
    </w:p>
    <w:p>
      <w:pPr>
        <w:pStyle w:val="13"/>
        <w:overflowPunct w:val="0"/>
        <w:spacing w:beforeAutospacing="0" w:afterAutospacing="0" w:line="590" w:lineRule="exact"/>
        <w:ind w:firstLine="643" w:firstLineChars="200"/>
        <w:jc w:val="both"/>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（2）事发地村（居）民委员会和其他组织要立即进行宣传动员，组织群众开展自救和互救，协助维护社会秩序，或者按照当地人民政府的决定、命令组织开展突发事件应对工作。</w:t>
      </w:r>
    </w:p>
    <w:p>
      <w:pPr>
        <w:pStyle w:val="13"/>
        <w:overflowPunct w:val="0"/>
        <w:spacing w:beforeAutospacing="0" w:afterAutospacing="0" w:line="590" w:lineRule="exact"/>
        <w:ind w:firstLine="643" w:firstLineChars="200"/>
        <w:jc w:val="both"/>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（3）事发地乡（镇）人民政府、街道办事处应当迅速调动应急力量，采取措施控制事态发展，组织开展应急处置与救援工作，并及时向上级人民政府报告。</w:t>
      </w:r>
    </w:p>
    <w:p>
      <w:pPr>
        <w:pStyle w:val="13"/>
        <w:overflowPunct w:val="0"/>
        <w:spacing w:beforeAutospacing="0" w:afterAutospacing="0" w:line="590" w:lineRule="exact"/>
        <w:ind w:firstLine="643" w:firstLineChars="200"/>
        <w:jc w:val="both"/>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（4）对于涉及本地区、单位的社会安全事件，要积极配合做好劝返、疏导及人员接回等工作。</w:t>
      </w:r>
    </w:p>
    <w:p>
      <w:pPr>
        <w:pStyle w:val="13"/>
        <w:overflowPunct w:val="0"/>
        <w:spacing w:beforeAutospacing="0" w:afterAutospacing="0" w:line="590" w:lineRule="exact"/>
        <w:ind w:firstLine="643" w:firstLineChars="200"/>
        <w:jc w:val="both"/>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（5）突发事件应对期间，受影响的法人和其他社会组织积</w:t>
      </w:r>
      <w:r>
        <w:rPr>
          <w:rFonts w:hint="eastAsia" w:ascii="仿宋_GB2312" w:hAnsi="仿宋_GB2312" w:eastAsia="仿宋_GB2312" w:cs="仿宋_GB2312"/>
          <w:b/>
          <w:bCs/>
          <w:color w:val="000000" w:themeColor="text1"/>
          <w:spacing w:val="8"/>
          <w:sz w:val="32"/>
          <w:szCs w:val="32"/>
          <w14:textFill>
            <w14:solidFill>
              <w14:schemeClr w14:val="tx1"/>
            </w14:solidFill>
          </w14:textFill>
        </w:rPr>
        <w:t>极做好安全防护和自救互救工作，配合突发事件的现场处置工</w:t>
      </w:r>
      <w:r>
        <w:rPr>
          <w:rFonts w:hint="eastAsia" w:ascii="仿宋_GB2312" w:hAnsi="仿宋_GB2312" w:eastAsia="仿宋_GB2312" w:cs="仿宋_GB2312"/>
          <w:b/>
          <w:bCs/>
          <w:color w:val="000000" w:themeColor="text1"/>
          <w:sz w:val="32"/>
          <w:szCs w:val="32"/>
          <w14:textFill>
            <w14:solidFill>
              <w14:schemeClr w14:val="tx1"/>
            </w14:solidFill>
          </w14:textFill>
        </w:rPr>
        <w:t>作。</w:t>
      </w:r>
    </w:p>
    <w:p>
      <w:pPr>
        <w:overflowPunct w:val="0"/>
        <w:spacing w:line="590" w:lineRule="exact"/>
        <w:ind w:firstLine="643" w:firstLineChars="200"/>
        <w:outlineLvl w:val="2"/>
        <w:rPr>
          <w:rFonts w:ascii="仿宋_GB2312" w:hAnsi="仿宋_GB2312" w:eastAsia="仿宋_GB2312" w:cs="仿宋_GB2312"/>
          <w:b/>
          <w:bCs/>
          <w:color w:val="000000" w:themeColor="text1"/>
          <w:sz w:val="32"/>
          <w:szCs w:val="32"/>
          <w14:textFill>
            <w14:solidFill>
              <w14:schemeClr w14:val="tx1"/>
            </w14:solidFill>
          </w14:textFill>
        </w:rPr>
      </w:pPr>
      <w:bookmarkStart w:id="50" w:name="_Toc23141"/>
      <w:r>
        <w:rPr>
          <w:rFonts w:hint="eastAsia" w:ascii="仿宋_GB2312" w:hAnsi="仿宋_GB2312" w:eastAsia="仿宋_GB2312" w:cs="仿宋_GB2312"/>
          <w:b/>
          <w:bCs/>
          <w:color w:val="000000" w:themeColor="text1"/>
          <w:sz w:val="32"/>
          <w:szCs w:val="32"/>
          <w14:textFill>
            <w14:solidFill>
              <w14:schemeClr w14:val="tx1"/>
            </w14:solidFill>
          </w14:textFill>
        </w:rPr>
        <w:t>3.3.3</w:t>
      </w:r>
      <w:bookmarkEnd w:id="50"/>
      <w:r>
        <w:rPr>
          <w:rFonts w:hint="eastAsia" w:ascii="仿宋_GB2312" w:hAnsi="仿宋_GB2312" w:eastAsia="仿宋_GB2312" w:cs="仿宋_GB2312"/>
          <w:b/>
          <w:bCs/>
          <w:color w:val="000000" w:themeColor="text1"/>
          <w:sz w:val="32"/>
          <w:szCs w:val="32"/>
          <w14:textFill>
            <w14:solidFill>
              <w14:schemeClr w14:val="tx1"/>
            </w14:solidFill>
          </w14:textFill>
        </w:rPr>
        <w:t>分级应对与响应分级</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（1）分级应对</w:t>
      </w:r>
    </w:p>
    <w:p>
      <w:pPr>
        <w:pStyle w:val="13"/>
        <w:overflowPunct w:val="0"/>
        <w:spacing w:beforeAutospacing="0" w:afterAutospacing="0" w:line="590" w:lineRule="exact"/>
        <w:ind w:firstLine="643" w:firstLineChars="200"/>
        <w:jc w:val="both"/>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突发事件应对遵循“分级负责、属地为主”以及“谁主管、谁负责”的原则。一般和较大突发事件分别由县（市、区）人民政府和市政府负责应对。涉及跨县级行政区域的或超出县人民政府应对能力的一般突发事件，由市政府负责应对。涉及跨市级行政区域的或超出市政府处置能力的较大及以上突发事件，提请上级人民政府或部门负责应对。跨县级行政区域的，由有关行政区域共同的上一级人民政府负责应对，或者由各有关行政区域的上一级人民政府共同负责应对。</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（2）响应分级</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按照市政府处置能力、处置权限、资源调配能力将市级突发事件应急响应分为三级，由低到高分别为：三级、二级和一级。当事件本身比较敏感或发生在重点地区或发生在重大活动举办、重要会议召开等期间，可适当提高响应级别。</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bookmarkStart w:id="51" w:name="_Toc26556"/>
      <w:r>
        <w:rPr>
          <w:rFonts w:hint="eastAsia" w:ascii="仿宋_GB2312" w:hAnsi="仿宋_GB2312" w:eastAsia="仿宋_GB2312" w:cs="仿宋_GB2312"/>
          <w:b/>
          <w:bCs/>
          <w:color w:val="000000" w:themeColor="text1"/>
          <w:kern w:val="0"/>
          <w:sz w:val="32"/>
          <w:szCs w:val="32"/>
          <w14:textFill>
            <w14:solidFill>
              <w14:schemeClr w14:val="tx1"/>
            </w14:solidFill>
          </w14:textFill>
        </w:rPr>
        <w:t>市级三级响应，由市级专项机构的工作机构提出启动建议，市级突发事件处置牵头部门负责人决定启动，一般应对涉及面广、敏感复杂或认为需要予以指导帮助的一般突发事件，市级层面视情派出工作组指导协调事发地应急处置工作。</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市级二级响应，由市级专项机构提出启动建议，报市委、市政府同意后，由市级专项机构指挥长决定启动，一般应对较大突发事件或需要多个市级部门（单位）共同应对处置的一般突发事件，指挥长由市级专项机构的负责同志担任，必要时报请省政府或省级相关部门协调指导。</w:t>
      </w:r>
    </w:p>
    <w:p>
      <w:pPr>
        <w:pStyle w:val="13"/>
        <w:overflowPunct w:val="0"/>
        <w:spacing w:beforeAutospacing="0" w:afterAutospacing="0" w:line="590" w:lineRule="exact"/>
        <w:ind w:firstLine="643" w:firstLineChars="200"/>
        <w:jc w:val="both"/>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市级一级响应，由市级专项机构提出启动建议，报市委、市政府主要负责人决定启动，配合上级政府应对特别重大、重大突发事件，市级指挥长由市委、市政府主要负责同志或指定的同志担任，同时报请省政府或省级相关部门请求支援。</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县级响应等级可参照市级层面应急响应级别设置，结合本地区实际情况予以明确。具体响应分级标准、措施在相关专项、部门应急预案中进行规定，上位预案另有规定的，从其规定。</w:t>
      </w:r>
    </w:p>
    <w:p>
      <w:pPr>
        <w:overflowPunct w:val="0"/>
        <w:spacing w:line="590" w:lineRule="exact"/>
        <w:ind w:firstLine="643" w:firstLineChars="200"/>
        <w:outlineLvl w:val="2"/>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3.3.4指挥协调</w:t>
      </w:r>
      <w:bookmarkEnd w:id="51"/>
    </w:p>
    <w:p>
      <w:pPr>
        <w:pStyle w:val="6"/>
        <w:overflowPunct w:val="0"/>
        <w:spacing w:line="590" w:lineRule="exact"/>
        <w:ind w:firstLine="643" w:firstLineChars="200"/>
        <w:jc w:val="both"/>
        <w:rPr>
          <w:rFonts w:ascii="仿宋_GB2312" w:hAnsi="仿宋_GB2312" w:eastAsia="仿宋_GB2312" w:cs="仿宋_GB2312"/>
          <w:b/>
          <w:bCs/>
          <w:color w:val="000000" w:themeColor="text1"/>
          <w:kern w:val="0"/>
          <w:sz w:val="32"/>
          <w:szCs w:val="32"/>
          <w14:textFill>
            <w14:solidFill>
              <w14:schemeClr w14:val="tx1"/>
            </w14:solidFill>
          </w14:textFill>
        </w:rPr>
      </w:pPr>
      <w:bookmarkStart w:id="52" w:name="_Toc12291"/>
      <w:r>
        <w:rPr>
          <w:rFonts w:hint="eastAsia" w:ascii="仿宋_GB2312" w:hAnsi="仿宋_GB2312" w:eastAsia="仿宋_GB2312" w:cs="仿宋_GB2312"/>
          <w:b/>
          <w:bCs/>
          <w:color w:val="000000" w:themeColor="text1"/>
          <w:kern w:val="0"/>
          <w:sz w:val="32"/>
          <w:szCs w:val="32"/>
          <w14:textFill>
            <w14:solidFill>
              <w14:schemeClr w14:val="tx1"/>
            </w14:solidFill>
          </w14:textFill>
        </w:rPr>
        <w:t>各专项机构、工作机构在专项、部门应急预案中对相关突发事件的指挥体系进行明确。</w:t>
      </w:r>
    </w:p>
    <w:p>
      <w:pPr>
        <w:pStyle w:val="6"/>
        <w:overflowPunct w:val="0"/>
        <w:spacing w:line="590" w:lineRule="exact"/>
        <w:ind w:firstLine="643" w:firstLineChars="200"/>
        <w:jc w:val="both"/>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1）组织指挥。上级人民政府及相关专项机构、工作机构指导下级人民政府及相关机构开展应对工作。上级指挥机构设立后，下级指挥机构按照上级指挥机构要求做好应对工作。县（市、区）人民政府对本行政区域内各类突发事件应对负有属地管理责任，要按照上级人民政府要求组织实施应急处置工作。超出事发</w:t>
      </w:r>
      <w:r>
        <w:rPr>
          <w:rFonts w:hint="eastAsia" w:ascii="仿宋_GB2312" w:hAnsi="仿宋_GB2312" w:eastAsia="仿宋_GB2312" w:cs="仿宋_GB2312"/>
          <w:b/>
          <w:bCs/>
          <w:color w:val="000000" w:themeColor="text1"/>
          <w:spacing w:val="-6"/>
          <w:kern w:val="0"/>
          <w:sz w:val="32"/>
          <w:szCs w:val="32"/>
          <w14:textFill>
            <w14:solidFill>
              <w14:schemeClr w14:val="tx1"/>
            </w14:solidFill>
          </w14:textFill>
        </w:rPr>
        <w:t>地县（市、区）人民政府处置能力的，市政府根据事发地县（市、区）人民政府的请求或应对工作需要，指挥权提升至市级指挥机构。</w:t>
      </w:r>
    </w:p>
    <w:p>
      <w:pPr>
        <w:pStyle w:val="6"/>
        <w:overflowPunct w:val="0"/>
        <w:spacing w:line="590" w:lineRule="exact"/>
        <w:ind w:firstLine="643" w:firstLineChars="200"/>
        <w:jc w:val="both"/>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（2）现场指挥。上级人民政府设立现场指挥机构的，下级人民政府的现场指挥机构应纳入上级现场指挥机构，在上级现场指挥机构的统一领导下组织开展应对工作。</w:t>
      </w:r>
    </w:p>
    <w:p>
      <w:pPr>
        <w:pStyle w:val="6"/>
        <w:overflowPunct w:val="0"/>
        <w:spacing w:line="590" w:lineRule="exact"/>
        <w:ind w:firstLine="643" w:firstLineChars="200"/>
        <w:jc w:val="both"/>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3）协同联动。参与应急处置的军队、武警部队、消防救援队伍、专业应急救援队伍和社会救援力量等接受现场指挥机构的统一领导。现场应急指挥机构根据突发事件现场实际情况，及时调度相关应急资源支持应急处置与救援行动。</w:t>
      </w:r>
    </w:p>
    <w:bookmarkEnd w:id="52"/>
    <w:p>
      <w:pPr>
        <w:overflowPunct w:val="0"/>
        <w:spacing w:line="590" w:lineRule="exact"/>
        <w:ind w:firstLine="643" w:firstLineChars="200"/>
        <w:outlineLvl w:val="2"/>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3.3.5处置措施</w:t>
      </w:r>
    </w:p>
    <w:p>
      <w:pPr>
        <w:overflowPunct w:val="0"/>
        <w:spacing w:line="59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bookmarkStart w:id="53" w:name="_Toc658"/>
      <w:r>
        <w:rPr>
          <w:rFonts w:hint="eastAsia" w:ascii="仿宋_GB2312" w:hAnsi="仿宋_GB2312" w:eastAsia="仿宋_GB2312" w:cs="仿宋_GB2312"/>
          <w:b/>
          <w:bCs/>
          <w:color w:val="000000" w:themeColor="text1"/>
          <w:sz w:val="32"/>
          <w:szCs w:val="32"/>
          <w14:textFill>
            <w14:solidFill>
              <w14:schemeClr w14:val="tx1"/>
            </w14:solidFill>
          </w14:textFill>
        </w:rPr>
        <w:t>（１）自然灾害、事故灾难发生后，事发地县级以上人民政府或相关专项指挥部、部门和有关单位应采取下列一项或多项应急处置措施：</w:t>
      </w:r>
    </w:p>
    <w:p>
      <w:pPr>
        <w:overflowPunct w:val="0"/>
        <w:spacing w:line="59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现场信息获取。组织现场人员、应急测绘和勘察队伍等，迅速获取核实现场信息，特别是重要目标物、人员密集场所和人口分布情况，利用无人机、雷达、卫星等手段获取现场影像，分析研判道路、桥梁、通信、电力等基础设施和建筑物损毁情况，提出初步评估意见，并向现场指挥机构和有关部门报告；</w:t>
      </w:r>
    </w:p>
    <w:p>
      <w:pPr>
        <w:overflowPunct w:val="0"/>
        <w:spacing w:line="59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2）组织营救受灾和被困人员，转移、疏散、撤离并妥善安置受自然灾害或事故灾难威胁人员，保护、转移重要财产，必要时组织动员社会应急力量有序参与应急救援和处置工作；</w:t>
      </w:r>
    </w:p>
    <w:p>
      <w:pPr>
        <w:overflowPunct w:val="0"/>
        <w:spacing w:line="59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迅速组织开展抢险工作，控制危险源，减轻或消除危害，并标明危险区域，封锁危险场所，划定警戒区，实行交通管制以及其他控制措施，交通运输、公安等有关部门应保证紧急情况下应急交通工具的优先安排、优先调度、优先通行，确保抢险救灾物资和人员及时、安全送达；</w:t>
      </w:r>
    </w:p>
    <w:p>
      <w:pPr>
        <w:overflowPunct w:val="0"/>
        <w:spacing w:line="59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4）组织开展伤病员救治，卫生防疫和应急心理援助等医疗卫生救援工作；</w:t>
      </w:r>
    </w:p>
    <w:p>
      <w:pPr>
        <w:overflowPunct w:val="0"/>
        <w:spacing w:line="59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5）组织有关专家对突发事件进行分析研判，提出专业应急处置措施或建议；</w:t>
      </w:r>
    </w:p>
    <w:p>
      <w:pPr>
        <w:overflowPunct w:val="0"/>
        <w:spacing w:line="59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6）立即抢修损坏的交通、水利、通信、供（排）水、供电、供气、供热、输油气等公共设施，短时难以恢复的，要制定临时过渡方案，保障社会生产生活基本需要；</w:t>
      </w:r>
    </w:p>
    <w:p>
      <w:pPr>
        <w:overflowPunct w:val="0"/>
        <w:spacing w:line="59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7）追踪研判污染因子、范围、程度和发展趋势；切断污染源，控制和处置污染物，保护饮用水源地、自然保护地核心保护区、生态环境脆弱区等环境敏感目标，减轻环境影响；开展灾后环境风险排查，整治污染隐患，妥善处置事件应对产生的废弃物；</w:t>
      </w:r>
    </w:p>
    <w:p>
      <w:pPr>
        <w:overflowPunct w:val="0"/>
        <w:spacing w:line="59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8）禁止或限制使用、拆除或迁移妨碍应急处置与救援的有关设备、设施，关闭或限制使用有关场所，中止人员密集活动或可能导致危害扩大的生产经营活动以及采取其他保护措施；</w:t>
      </w:r>
    </w:p>
    <w:p>
      <w:pPr>
        <w:overflowPunct w:val="0"/>
        <w:spacing w:line="59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9）简化财政资金的审批和划拨程序，保障应急处置所需资金。启用储备的救灾物资和应急救援物资，必要时向单位、个人依法调用、征用其他应急救援急需设备、设施、场地、交通工具和其他物资；</w:t>
      </w:r>
    </w:p>
    <w:p>
      <w:pPr>
        <w:pStyle w:val="5"/>
        <w:overflowPunct w:val="0"/>
        <w:spacing w:line="590" w:lineRule="exact"/>
        <w:ind w:firstLine="643" w:firstLineChars="200"/>
        <w:jc w:val="both"/>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10）组织公民参加应急救援和处置工作，要求</w:t>
      </w: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具有特定专长的人员提供服务；</w:t>
      </w:r>
    </w:p>
    <w:p>
      <w:pPr>
        <w:overflowPunct w:val="0"/>
        <w:spacing w:line="59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11）做好受灾群众的基本生活保障工作，提供避难场所和食品、饮用水、衣被、燃料等生活必需品和重要民生商品，开展卫生防疫及其他保障措施，确保大灾之后无大疫；</w:t>
      </w:r>
    </w:p>
    <w:p>
      <w:pPr>
        <w:overflowPunct w:val="0"/>
        <w:spacing w:line="59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12）开展遇难人员善后处置工作，妥善处理遇难人员遗体，做好遇难人员家属安抚等工作；</w:t>
      </w:r>
    </w:p>
    <w:p>
      <w:pPr>
        <w:overflowPunct w:val="0"/>
        <w:spacing w:line="590" w:lineRule="exact"/>
        <w:ind w:firstLine="619" w:firstLineChars="200"/>
        <w:rPr>
          <w:rFonts w:ascii="仿宋_GB2312" w:hAnsi="仿宋_GB2312" w:eastAsia="仿宋_GB2312" w:cs="仿宋_GB2312"/>
          <w:b/>
          <w:bCs/>
          <w:color w:val="000000" w:themeColor="text1"/>
          <w:spacing w:val="-6"/>
          <w:sz w:val="32"/>
          <w:szCs w:val="32"/>
          <w14:textFill>
            <w14:solidFill>
              <w14:schemeClr w14:val="tx1"/>
            </w14:solidFill>
          </w14:textFill>
        </w:rPr>
      </w:pPr>
      <w:r>
        <w:rPr>
          <w:rFonts w:hint="eastAsia" w:ascii="仿宋_GB2312" w:hAnsi="仿宋_GB2312" w:eastAsia="仿宋_GB2312" w:cs="仿宋_GB2312"/>
          <w:b/>
          <w:bCs/>
          <w:color w:val="000000" w:themeColor="text1"/>
          <w:spacing w:val="-6"/>
          <w:sz w:val="32"/>
          <w:szCs w:val="32"/>
          <w14:textFill>
            <w14:solidFill>
              <w14:schemeClr w14:val="tx1"/>
            </w14:solidFill>
          </w14:textFill>
        </w:rPr>
        <w:t>13）组织开展救灾捐赠活动，接收、管理、分配救灾捐赠款物；</w:t>
      </w:r>
    </w:p>
    <w:p>
      <w:pPr>
        <w:overflowPunct w:val="0"/>
        <w:spacing w:line="59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14）加强价格监管，依法从严惩处囤积居奇、哄抬物价、制假售假等扰乱市场秩序的行为，稳定市场价格，维护市场秩序；</w:t>
      </w:r>
    </w:p>
    <w:p>
      <w:pPr>
        <w:overflowPunct w:val="0"/>
        <w:spacing w:line="59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15）依法从严惩处哄抢财物、干扰破坏应急处置工作等扰乱社会秩序的行为，维护社会治安；</w:t>
      </w:r>
    </w:p>
    <w:p>
      <w:pPr>
        <w:overflowPunct w:val="0"/>
        <w:spacing w:line="59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16）依法进入相关场所进行检查和封存物品；</w:t>
      </w:r>
    </w:p>
    <w:p>
      <w:pPr>
        <w:overflowPunct w:val="0"/>
        <w:spacing w:line="59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17)应急救援人员应根据事件性质和危险特性，按照防护等级穿戴相应的专业防护装备，当遇到可能威胁人身安全的险情或可能发生次生、衍生事故造成伤害时，应急抢险人员要善于自我保护，避免不必要的人身伤害。</w:t>
      </w:r>
    </w:p>
    <w:p>
      <w:pPr>
        <w:overflowPunct w:val="0"/>
        <w:spacing w:line="59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18）采取其他防止次生、衍生事件的必要措施。</w:t>
      </w:r>
    </w:p>
    <w:p>
      <w:pPr>
        <w:overflowPunct w:val="0"/>
        <w:spacing w:line="59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（２）突发公共卫生事件发生后，事发地县级以上人民政府或相关专项指挥部、部门、单位和医院、疾控等有关单位应依法采取下列一项或多项应急处置措施：</w:t>
      </w:r>
    </w:p>
    <w:p>
      <w:pPr>
        <w:overflowPunct w:val="0"/>
        <w:spacing w:line="590" w:lineRule="exact"/>
        <w:ind w:firstLine="643" w:firstLineChars="200"/>
        <w:rPr>
          <w:rFonts w:ascii="仿宋_GB2312" w:hAnsi="仿宋_GB2312" w:eastAsia="仿宋_GB2312" w:cs="仿宋_GB2312"/>
          <w:b/>
          <w:bCs/>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1）对人员进行疏散、隔离或者限制流动，</w:t>
      </w:r>
      <w:r>
        <w:rPr>
          <w:rFonts w:hint="eastAsia" w:ascii="仿宋_GB2312" w:hAnsi="仿宋_GB2312" w:eastAsia="仿宋_GB2312" w:cs="仿宋_GB2312"/>
          <w:b/>
          <w:bCs/>
          <w:color w:val="000000" w:themeColor="text1"/>
          <w:sz w:val="32"/>
          <w:szCs w:val="32"/>
          <w14:textFill>
            <w14:solidFill>
              <w14:schemeClr w14:val="tx1"/>
            </w14:solidFill>
          </w14:textFill>
        </w:rPr>
        <w:t>对病人、病原携带者予以隔离治疗；对疑似病人、密切接触者隔离观察；根据需要对易感人群采取应急接种、预防性服药等；救治因食品安全问题导致人身伤害的人员；</w:t>
      </w:r>
    </w:p>
    <w:p>
      <w:pPr>
        <w:pStyle w:val="5"/>
        <w:overflowPunct w:val="0"/>
        <w:spacing w:line="590" w:lineRule="exact"/>
        <w:ind w:firstLine="643" w:firstLineChars="200"/>
        <w:jc w:val="both"/>
        <w:rPr>
          <w:rFonts w:ascii="仿宋_GB2312" w:hAnsi="仿宋_GB2312" w:eastAsia="仿宋_GB2312" w:cs="仿宋_GB2312"/>
          <w:b/>
          <w:bCs/>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2）对人员进行健康申报，进行健康检查或者医学观察；</w:t>
      </w:r>
    </w:p>
    <w:p>
      <w:pPr>
        <w:overflowPunct w:val="0"/>
        <w:spacing w:line="590" w:lineRule="exact"/>
        <w:ind w:firstLine="643" w:firstLineChars="200"/>
        <w:rPr>
          <w:rFonts w:ascii="仿宋_GB2312" w:hAnsi="仿宋_GB2312" w:eastAsia="仿宋_GB2312" w:cs="仿宋_GB2312"/>
          <w:b/>
          <w:bCs/>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3）限制或者禁止举办大型活动，</w:t>
      </w:r>
      <w:r>
        <w:rPr>
          <w:rFonts w:hint="eastAsia" w:ascii="仿宋_GB2312" w:hAnsi="仿宋_GB2312" w:eastAsia="仿宋_GB2312" w:cs="仿宋_GB2312"/>
          <w:b/>
          <w:bCs/>
          <w:color w:val="000000" w:themeColor="text1"/>
          <w:sz w:val="32"/>
          <w:szCs w:val="32"/>
          <w14:textFill>
            <w14:solidFill>
              <w14:schemeClr w14:val="tx1"/>
            </w14:solidFill>
          </w14:textFill>
        </w:rPr>
        <w:t>限制或者停止可能造成疫情扩散的场所或者其他人群聚集的活动</w:t>
      </w: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w:t>
      </w:r>
    </w:p>
    <w:p>
      <w:pPr>
        <w:overflowPunct w:val="0"/>
        <w:spacing w:line="590" w:lineRule="exact"/>
        <w:ind w:firstLine="643" w:firstLineChars="200"/>
        <w:rPr>
          <w:rFonts w:ascii="仿宋_GB2312" w:hAnsi="仿宋_GB2312" w:eastAsia="仿宋_GB2312" w:cs="仿宋_GB2312"/>
          <w:b/>
          <w:bCs/>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4）临时关闭公共场所；</w:t>
      </w:r>
    </w:p>
    <w:p>
      <w:pPr>
        <w:pStyle w:val="5"/>
        <w:overflowPunct w:val="0"/>
        <w:spacing w:line="590" w:lineRule="exact"/>
        <w:ind w:firstLine="643" w:firstLineChars="200"/>
        <w:jc w:val="both"/>
        <w:rPr>
          <w:rFonts w:ascii="仿宋_GB2312" w:hAnsi="仿宋_GB2312" w:eastAsia="仿宋_GB2312" w:cs="仿宋_GB2312"/>
          <w:b/>
          <w:bCs/>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5）停工、停业、停课；</w:t>
      </w:r>
    </w:p>
    <w:p>
      <w:pPr>
        <w:pStyle w:val="5"/>
        <w:overflowPunct w:val="0"/>
        <w:spacing w:line="590" w:lineRule="exact"/>
        <w:ind w:firstLine="643" w:firstLineChars="200"/>
        <w:jc w:val="both"/>
        <w:rPr>
          <w:rFonts w:ascii="仿宋_GB2312" w:hAnsi="仿宋_GB2312" w:eastAsia="仿宋_GB2312" w:cs="仿宋_GB2312"/>
          <w:b/>
          <w:bCs/>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6）紧急调集和征用人员、物资、交通工具以及相关设施、设备；</w:t>
      </w:r>
    </w:p>
    <w:p>
      <w:pPr>
        <w:pStyle w:val="5"/>
        <w:overflowPunct w:val="0"/>
        <w:spacing w:line="590" w:lineRule="exact"/>
        <w:ind w:firstLine="643" w:firstLineChars="200"/>
        <w:jc w:val="both"/>
        <w:rPr>
          <w:rFonts w:ascii="仿宋_GB2312" w:hAnsi="仿宋_GB2312" w:eastAsia="仿宋_GB2312" w:cs="仿宋_GB2312"/>
          <w:b/>
          <w:bCs/>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7）统一调配使用医疗设备、药品、器材、卫生技术人员、医学科研成果等医疗资源；</w:t>
      </w:r>
    </w:p>
    <w:p>
      <w:pPr>
        <w:pStyle w:val="5"/>
        <w:overflowPunct w:val="0"/>
        <w:spacing w:line="590" w:lineRule="exact"/>
        <w:ind w:firstLine="643" w:firstLineChars="200"/>
        <w:jc w:val="both"/>
        <w:rPr>
          <w:rFonts w:ascii="仿宋_GB2312" w:hAnsi="仿宋_GB2312" w:eastAsia="仿宋_GB2312" w:cs="仿宋_GB2312"/>
          <w:b/>
          <w:bCs/>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8）对食物和水源采取控制措施，</w:t>
      </w:r>
      <w:r>
        <w:rPr>
          <w:rFonts w:hint="eastAsia" w:ascii="仿宋_GB2312" w:hAnsi="仿宋_GB2312" w:eastAsia="仿宋_GB2312" w:cs="仿宋_GB2312"/>
          <w:b/>
          <w:bCs/>
          <w:color w:val="000000" w:themeColor="text1"/>
          <w:sz w:val="32"/>
          <w:szCs w:val="32"/>
          <w14:textFill>
            <w14:solidFill>
              <w14:schemeClr w14:val="tx1"/>
            </w14:solidFill>
          </w14:textFill>
        </w:rPr>
        <w:t>封闭或者封存被传染病病原体污染的公共饮用水源、食品以及相关物品；</w:t>
      </w:r>
    </w:p>
    <w:p>
      <w:pPr>
        <w:pStyle w:val="5"/>
        <w:overflowPunct w:val="0"/>
        <w:spacing w:line="590" w:lineRule="exact"/>
        <w:ind w:firstLine="643" w:firstLineChars="200"/>
        <w:jc w:val="both"/>
        <w:rPr>
          <w:rFonts w:ascii="仿宋_GB2312" w:hAnsi="仿宋_GB2312" w:eastAsia="仿宋_GB2312" w:cs="仿宋_GB2312"/>
          <w:b/>
          <w:bCs/>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9）对传染病疫区实行封锁，</w:t>
      </w:r>
      <w:r>
        <w:rPr>
          <w:rFonts w:hint="eastAsia" w:ascii="仿宋_GB2312" w:hAnsi="仿宋_GB2312" w:eastAsia="仿宋_GB2312" w:cs="仿宋_GB2312"/>
          <w:b/>
          <w:bCs/>
          <w:color w:val="000000" w:themeColor="text1"/>
          <w:sz w:val="32"/>
          <w:szCs w:val="32"/>
          <w14:textFill>
            <w14:solidFill>
              <w14:schemeClr w14:val="tx1"/>
            </w14:solidFill>
          </w14:textFill>
        </w:rPr>
        <w:t>查封或关闭与食品、药品、疫苗、野生动物、家禽家畜有关的场所</w:t>
      </w: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w:t>
      </w:r>
    </w:p>
    <w:p>
      <w:pPr>
        <w:pStyle w:val="5"/>
        <w:overflowPunct w:val="0"/>
        <w:spacing w:line="590" w:lineRule="exact"/>
        <w:ind w:firstLine="643" w:firstLineChars="200"/>
        <w:jc w:val="both"/>
        <w:rPr>
          <w:rFonts w:ascii="仿宋_GB2312" w:hAnsi="仿宋_GB2312" w:eastAsia="仿宋_GB2312" w:cs="仿宋_GB2312"/>
          <w:b/>
          <w:bCs/>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10）对传染病疫区的可疑物资和废弃物资实行控制；</w:t>
      </w:r>
    </w:p>
    <w:p>
      <w:pPr>
        <w:overflowPunct w:val="0"/>
        <w:spacing w:line="590" w:lineRule="exact"/>
        <w:ind w:firstLine="643" w:firstLineChars="200"/>
        <w:rPr>
          <w:rFonts w:ascii="仿宋_GB2312" w:hAnsi="仿宋_GB2312" w:eastAsia="仿宋_GB2312" w:cs="仿宋_GB2312"/>
          <w:b/>
          <w:bCs/>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11）采取其他必要的措施。</w:t>
      </w:r>
    </w:p>
    <w:p>
      <w:pPr>
        <w:overflowPunct w:val="0"/>
        <w:spacing w:line="590" w:lineRule="exact"/>
        <w:ind w:firstLine="643" w:firstLineChars="200"/>
        <w:rPr>
          <w:rFonts w:ascii="仿宋_GB2312" w:hAnsi="仿宋_GB2312" w:eastAsia="仿宋_GB2312" w:cs="仿宋_GB2312"/>
          <w:b/>
          <w:bCs/>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解除前款所列措施，由原决定机关及时予以公布。</w:t>
      </w:r>
    </w:p>
    <w:p>
      <w:pPr>
        <w:overflowPunct w:val="0"/>
        <w:spacing w:line="59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（３）社会安全事件发生后，组织处置工作的人民政府应当立即组织有关部门针对事件的性质和特点，依照有关法律、法规和其他有关规定，采取下列一项或者多项应急处置措施：</w:t>
      </w:r>
    </w:p>
    <w:p>
      <w:pPr>
        <w:overflowPunct w:val="0"/>
        <w:spacing w:line="59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1）矛盾化解。尽快了解和分析事件起因，有针对性开展法制宣传和说服教育，及时疏导、化解矛盾和冲突；</w:t>
      </w:r>
    </w:p>
    <w:p>
      <w:pPr>
        <w:overflowPunct w:val="0"/>
        <w:spacing w:line="59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2）治安秩序维护。维护现场治安秩序，对使用器械相互对抗或以暴力行为参与冲突的当事人实施强制隔离，妥善解决现场纠纷和争端，控制事态发展；</w:t>
      </w:r>
    </w:p>
    <w:p>
      <w:pPr>
        <w:overflowPunct w:val="0"/>
        <w:spacing w:line="59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3）社会面控制。对特定区域的建筑物、交通工具、设备、设施以及燃料、燃气、电力、水的供应进行控制，必要时依法对网络、通信进行管控；</w:t>
      </w:r>
    </w:p>
    <w:p>
      <w:pPr>
        <w:overflowPunct w:val="0"/>
        <w:spacing w:line="59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4）重点场所和人员保护。依法封锁有关场所、道路，查验现场人员身份证件，限制有关公共场所内的活动；加强对易受冲击的核心机关和单位的警卫，在党政机关、军事机关、通讯社、广播电台、电视台等单位附近设置临时警戒线，加强对重点敏感人员、场所、部位和标志性建筑的安全保护；</w:t>
      </w:r>
    </w:p>
    <w:p>
      <w:pPr>
        <w:overflowPunct w:val="0"/>
        <w:spacing w:line="59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5）加强管控。发生严重危害社会治安秩序的事件时，公安机关应当依法加大社会面检查、巡逻、控制力度，根据现场情况采取相应强制性措施，尽快恢复正常社会秩序；</w:t>
      </w:r>
    </w:p>
    <w:p>
      <w:pPr>
        <w:overflowPunct w:val="0"/>
        <w:spacing w:line="59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6）法律、法规和上级规定的其他必要措施。</w:t>
      </w:r>
    </w:p>
    <w:p>
      <w:pPr>
        <w:overflowPunct w:val="0"/>
        <w:spacing w:line="59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４）各级政府及其有关部门应当加强保障体系建设，完善快速反应联动机制，做好交通运输、医疗卫生、能源供应、通信、灾害现场信息、抢险救援物资装备、救济救灾保障、自然灾害救助、社会秩序、新闻宣传等应急保障工作。</w:t>
      </w:r>
    </w:p>
    <w:p>
      <w:pPr>
        <w:overflowPunct w:val="0"/>
        <w:spacing w:line="59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（５）当突发事件严重影响区域经济、社会正常运行时，市政府或授权的有关主管部门可以采取救助、保障、控制等必要的应急措施，保障人民群众的基本生产生活需要，最大程度减轻突发事件影响。</w:t>
      </w:r>
    </w:p>
    <w:p>
      <w:pPr>
        <w:overflowPunct w:val="0"/>
        <w:spacing w:line="590" w:lineRule="exact"/>
        <w:ind w:firstLine="643" w:firstLineChars="200"/>
        <w:outlineLvl w:val="2"/>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3.3.6信息发布</w:t>
      </w:r>
    </w:p>
    <w:p>
      <w:pPr>
        <w:pStyle w:val="6"/>
        <w:overflowPunct w:val="0"/>
        <w:spacing w:line="590" w:lineRule="exact"/>
        <w:ind w:firstLine="643" w:firstLineChars="200"/>
        <w:jc w:val="both"/>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突发事件信息发布工作按照有关规定，由履行应对职责的指挥机构会同党委宣传部门负责。</w:t>
      </w:r>
    </w:p>
    <w:p>
      <w:pPr>
        <w:pStyle w:val="6"/>
        <w:overflowPunct w:val="0"/>
        <w:spacing w:line="590" w:lineRule="exact"/>
        <w:ind w:firstLine="643" w:firstLineChars="200"/>
        <w:jc w:val="both"/>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突发事件发生初期，属地政府和市级主责部门要快速反应，报请党委宣传部门或履行应对职责的指挥机构同意后，第一时间通过权威媒体向社会发布简要信息，信息发布工作与突发事件应对工作同步研究、同步部署、同步行动。较大、一般突发事件信息分别由市、县（市、区）人民政府或专项机构、工作机构发布。必要时，市级指挥机构可以委托县（市、区）人民政府或其专项机构、工作机构发布信息。特别重大、重大突发事件，报上级人民政府或应急指挥机构按规定发布。法律法规和另有规定的，从其规定。</w:t>
      </w:r>
    </w:p>
    <w:p>
      <w:pPr>
        <w:pStyle w:val="6"/>
        <w:overflowPunct w:val="0"/>
        <w:spacing w:line="590" w:lineRule="exact"/>
        <w:ind w:firstLine="643" w:firstLineChars="200"/>
        <w:jc w:val="both"/>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信息发布可以采取多种形式，包括授权发布、新闻通稿、举行新闻发布会、接受媒体采访，各级政府及相关部门网站、微博、微信、移动客户端、手机短信等平台发布信息，具体按照有关规定执行。</w:t>
      </w:r>
    </w:p>
    <w:p>
      <w:pPr>
        <w:pStyle w:val="6"/>
        <w:overflowPunct w:val="0"/>
        <w:spacing w:line="590" w:lineRule="exact"/>
        <w:ind w:firstLine="643" w:firstLineChars="200"/>
        <w:jc w:val="both"/>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履行统一领导职责的人民政府或其设立的应急指挥机构及党委宣传部门要加强网络媒体和移动新媒体信息发布内容的管理和舆情分析，及时回应社会关切，迅速澄清谣言，引导网民依法、理性表达意见，形成积极健康的社会舆论。</w:t>
      </w:r>
    </w:p>
    <w:p>
      <w:pPr>
        <w:pStyle w:val="6"/>
        <w:overflowPunct w:val="0"/>
        <w:spacing w:line="590" w:lineRule="exact"/>
        <w:ind w:firstLine="643" w:firstLineChars="200"/>
        <w:jc w:val="both"/>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未经批准，参与突发事件应急处置工作的单位和个人不得擅自对外发布有关突发事件应急处置工作的情况和事态发展的信息。任何单位和个人不得编造、传播有关突发事件事态发展或应急处置的虚假信息，造成不良影响的要追究法律责任。</w:t>
      </w:r>
    </w:p>
    <w:p>
      <w:pPr>
        <w:overflowPunct w:val="0"/>
        <w:spacing w:line="590" w:lineRule="exact"/>
        <w:ind w:firstLine="643" w:firstLineChars="200"/>
        <w:outlineLvl w:val="2"/>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3.3.7紧急措施</w:t>
      </w:r>
    </w:p>
    <w:p>
      <w:pPr>
        <w:overflowPunct w:val="0"/>
        <w:spacing w:line="59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发生或者即将发生重大突发事件，采取一般处置措施无法控制和消除其社会危害，紧急情况下，县级以上人民政府按照有关程序报审后可采取下列紧急措施并予以公告：</w:t>
      </w:r>
    </w:p>
    <w:p>
      <w:pPr>
        <w:overflowPunct w:val="0"/>
        <w:spacing w:line="59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（1）限制或者停止集市、会议、培训、宗教活动、婚丧嫁娶等人群聚集性活动。</w:t>
      </w:r>
    </w:p>
    <w:p>
      <w:pPr>
        <w:overflowPunct w:val="0"/>
        <w:spacing w:line="59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（2）停工、停业、停课，暂停开放公共文化场所、旅游景区、影剧院等场所。</w:t>
      </w:r>
    </w:p>
    <w:p>
      <w:pPr>
        <w:overflowPunct w:val="0"/>
        <w:spacing w:line="59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（3）向单位和个人征用应急救援所需设备、设施、场地、交通工具和其他物资。</w:t>
      </w:r>
    </w:p>
    <w:p>
      <w:pPr>
        <w:overflowPunct w:val="0"/>
        <w:spacing w:line="59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4）甲类、乙类传染病暴发时，可以划定控制区域，采取一定的控制措施，对患者、病原携带者、疑似人员等进行隔离、观察、救治。封闭或者封存被传染病病原体污染的公共饮用水源、食品以及相关物品；控制或者扑杀染疫野生动物、家畜家禽；封闭可能造成传染病扩散的场所。在铁路、高速、机场等交通站点设置检查站，对出入人员及物品进行检查检疫。</w:t>
      </w:r>
    </w:p>
    <w:p>
      <w:pPr>
        <w:overflowPunct w:val="0"/>
        <w:spacing w:line="59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（5）封锁本行政区域内的甲类传染病疫区由省政府决定；封锁大、中城市的疫区或者封锁跨省、自治区、直辖市的疫区，以及封锁疫区导致中断干线交通的，由国务院决定。</w:t>
      </w:r>
    </w:p>
    <w:p>
      <w:pPr>
        <w:overflowPunct w:val="0"/>
        <w:spacing w:line="59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（6）需要宣布市内部分地区或全市进入紧急状态的，依法由省政府提请国务院决定或者由国务院依职权决定。</w:t>
      </w:r>
    </w:p>
    <w:p>
      <w:pPr>
        <w:overflowPunct w:val="0"/>
        <w:spacing w:line="59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（7）采取紧急措施，进入紧急状态的决定应当依法立即通过主流媒体通讯社和广播电台、电视等新闻媒体公布。</w:t>
      </w:r>
    </w:p>
    <w:p>
      <w:pPr>
        <w:overflowPunct w:val="0"/>
        <w:spacing w:line="590" w:lineRule="exact"/>
        <w:ind w:firstLine="643" w:firstLineChars="200"/>
        <w:outlineLvl w:val="2"/>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3.3.8应急结束</w:t>
      </w:r>
      <w:bookmarkEnd w:id="53"/>
    </w:p>
    <w:p>
      <w:pPr>
        <w:pStyle w:val="6"/>
        <w:overflowPunct w:val="0"/>
        <w:spacing w:line="590" w:lineRule="exact"/>
        <w:ind w:firstLine="643" w:firstLineChars="200"/>
        <w:jc w:val="both"/>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突发事件应急处置工作结束，或相关威胁和危害得到控制、消除后，履行统一领导职责的人民政府或指挥机构可宣布应急结束，或逐步停止有关应急处置措施，应急救援队伍和工作人员有序撤离。同时，采取或者继续实施必要措施，防止发生自然灾害、事故灾难、公共卫生事件的次生、衍生事件或者重新引发社会安全事件。现场指挥机构停止运行后，通知相关方面解除应急措施，进入过渡时期，逐步恢复生产生活秩序。</w:t>
      </w:r>
    </w:p>
    <w:p>
      <w:pPr>
        <w:overflowPunct w:val="0"/>
        <w:spacing w:line="590" w:lineRule="exact"/>
        <w:ind w:firstLine="643" w:firstLineChars="200"/>
        <w:outlineLvl w:val="1"/>
        <w:rPr>
          <w:rFonts w:ascii="楷体_GB2312" w:hAnsi="楷体_GB2312" w:eastAsia="楷体_GB2312" w:cs="楷体_GB2312"/>
          <w:b/>
          <w:bCs/>
          <w:color w:val="000000" w:themeColor="text1"/>
          <w:kern w:val="0"/>
          <w:sz w:val="32"/>
          <w:szCs w:val="32"/>
          <w14:textFill>
            <w14:solidFill>
              <w14:schemeClr w14:val="tx1"/>
            </w14:solidFill>
          </w14:textFill>
        </w:rPr>
      </w:pPr>
      <w:bookmarkStart w:id="54" w:name="_Toc5096"/>
      <w:r>
        <w:rPr>
          <w:rFonts w:hint="eastAsia" w:ascii="楷体_GB2312" w:hAnsi="楷体_GB2312" w:eastAsia="楷体_GB2312" w:cs="楷体_GB2312"/>
          <w:b/>
          <w:bCs/>
          <w:color w:val="000000" w:themeColor="text1"/>
          <w:kern w:val="0"/>
          <w:sz w:val="32"/>
          <w:szCs w:val="32"/>
          <w14:textFill>
            <w14:solidFill>
              <w14:schemeClr w14:val="tx1"/>
            </w14:solidFill>
          </w14:textFill>
        </w:rPr>
        <w:t>3.4恢复与重建</w:t>
      </w:r>
      <w:bookmarkEnd w:id="54"/>
    </w:p>
    <w:p>
      <w:pPr>
        <w:overflowPunct w:val="0"/>
        <w:spacing w:line="590" w:lineRule="exact"/>
        <w:ind w:firstLine="643" w:firstLineChars="200"/>
        <w:outlineLvl w:val="2"/>
        <w:rPr>
          <w:rFonts w:ascii="仿宋_GB2312" w:hAnsi="仿宋_GB2312" w:eastAsia="仿宋_GB2312" w:cs="仿宋_GB2312"/>
          <w:b/>
          <w:bCs/>
          <w:color w:val="000000" w:themeColor="text1"/>
          <w:sz w:val="32"/>
          <w:szCs w:val="32"/>
          <w14:textFill>
            <w14:solidFill>
              <w14:schemeClr w14:val="tx1"/>
            </w14:solidFill>
          </w14:textFill>
        </w:rPr>
      </w:pPr>
      <w:bookmarkStart w:id="55" w:name="_Toc27184"/>
      <w:r>
        <w:rPr>
          <w:rFonts w:hint="eastAsia" w:ascii="仿宋_GB2312" w:hAnsi="仿宋_GB2312" w:eastAsia="仿宋_GB2312" w:cs="仿宋_GB2312"/>
          <w:b/>
          <w:bCs/>
          <w:color w:val="000000" w:themeColor="text1"/>
          <w:sz w:val="32"/>
          <w:szCs w:val="32"/>
          <w14:textFill>
            <w14:solidFill>
              <w14:schemeClr w14:val="tx1"/>
            </w14:solidFill>
          </w14:textFill>
        </w:rPr>
        <w:t>3.4.1善后处置</w:t>
      </w:r>
      <w:bookmarkEnd w:id="55"/>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突发事件影响地区的县级以上人民政府应当根据遭受损</w:t>
      </w:r>
      <w:r>
        <w:rPr>
          <w:rFonts w:ascii="仿宋_GB2312" w:hAnsi="仿宋_GB2312" w:eastAsia="仿宋_GB2312" w:cs="仿宋_GB2312"/>
          <w:b/>
          <w:bCs/>
          <w:color w:val="000000" w:themeColor="text1"/>
          <w:kern w:val="0"/>
          <w:sz w:val="32"/>
          <w:szCs w:val="32"/>
          <w14:textFill>
            <w14:solidFill>
              <w14:schemeClr w14:val="tx1"/>
            </w14:solidFill>
          </w14:textFill>
        </w:rPr>
        <w:t>失的情况，制定救助、补偿、抚慰、抚恤、安置等善后工作</w:t>
      </w:r>
      <w:r>
        <w:rPr>
          <w:rFonts w:hint="eastAsia" w:ascii="仿宋_GB2312" w:hAnsi="仿宋_GB2312" w:eastAsia="仿宋_GB2312" w:cs="仿宋_GB2312"/>
          <w:b/>
          <w:bCs/>
          <w:color w:val="000000" w:themeColor="text1"/>
          <w:kern w:val="0"/>
          <w:sz w:val="32"/>
          <w:szCs w:val="32"/>
          <w14:textFill>
            <w14:solidFill>
              <w14:schemeClr w14:val="tx1"/>
            </w14:solidFill>
          </w14:textFill>
        </w:rPr>
        <w:t>方案，对突发事件中的伤亡人员、应急处置工作人员以及紧急调集、征用有关单位及个人的物资，按照规定给予抚恤、补助或补偿，并提供心理咨询及司法援助，妥善解决因处置突发事件引发的矛盾和纠纷。卫生健康、生态环境等有关部门要做好疫病防治和环境污染消除工作。事发地保险监管机构要组织、督促有关保险机构及时开展查勘和理赔工作。对于损失巨大，我市处置有困难时，由市政府及时向省政府报告，请求予以支持。</w:t>
      </w:r>
    </w:p>
    <w:p>
      <w:pPr>
        <w:overflowPunct w:val="0"/>
        <w:spacing w:line="590" w:lineRule="exact"/>
        <w:ind w:firstLine="643" w:firstLineChars="200"/>
        <w:outlineLvl w:val="2"/>
        <w:rPr>
          <w:rFonts w:ascii="仿宋_GB2312" w:hAnsi="仿宋_GB2312" w:eastAsia="仿宋_GB2312" w:cs="仿宋_GB2312"/>
          <w:b/>
          <w:bCs/>
          <w:color w:val="000000" w:themeColor="text1"/>
          <w:sz w:val="32"/>
          <w:szCs w:val="32"/>
          <w14:textFill>
            <w14:solidFill>
              <w14:schemeClr w14:val="tx1"/>
            </w14:solidFill>
          </w14:textFill>
        </w:rPr>
      </w:pPr>
      <w:bookmarkStart w:id="56" w:name="_Toc18555"/>
      <w:r>
        <w:rPr>
          <w:rFonts w:hint="eastAsia" w:ascii="仿宋_GB2312" w:hAnsi="仿宋_GB2312" w:eastAsia="仿宋_GB2312" w:cs="仿宋_GB2312"/>
          <w:b/>
          <w:bCs/>
          <w:color w:val="000000" w:themeColor="text1"/>
          <w:sz w:val="32"/>
          <w:szCs w:val="32"/>
          <w14:textFill>
            <w14:solidFill>
              <w14:schemeClr w14:val="tx1"/>
            </w14:solidFill>
          </w14:textFill>
        </w:rPr>
        <w:t>3.4.2恢复重建</w:t>
      </w:r>
    </w:p>
    <w:bookmarkEnd w:id="56"/>
    <w:p>
      <w:pPr>
        <w:overflowPunct w:val="0"/>
        <w:spacing w:line="59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bookmarkStart w:id="57" w:name="_Toc30897"/>
      <w:bookmarkStart w:id="58" w:name="_Toc11305"/>
      <w:r>
        <w:rPr>
          <w:rFonts w:hint="eastAsia" w:ascii="仿宋_GB2312" w:hAnsi="仿宋_GB2312" w:eastAsia="仿宋_GB2312" w:cs="仿宋_GB2312"/>
          <w:b/>
          <w:bCs/>
          <w:color w:val="000000" w:themeColor="text1"/>
          <w:kern w:val="0"/>
          <w:sz w:val="32"/>
          <w:szCs w:val="32"/>
          <w14:textFill>
            <w14:solidFill>
              <w14:schemeClr w14:val="tx1"/>
            </w14:solidFill>
          </w14:textFill>
        </w:rPr>
        <w:t>（1）恢复重建工作由事发地人民政府具体负责。一般突发事件的恢复重建工作由县（市、区）人民政府负责，较大突发事件的恢复重建工作由市政府负责，重大及以上突发事件的恢复重建工作由上级人民政府负责。突发事件应急处置工作结束后，事发地人民政府要立即组织制定恢复重建计划，并向上一级人民政府报告。受突发事件影响地区的县级以上人民政府要及时组织恢复社会秩序，尽快修复被损坏的交通、水利、通信、供水、排水、供电、供气、供热等公共设施。</w:t>
      </w:r>
    </w:p>
    <w:p>
      <w:pPr>
        <w:pStyle w:val="6"/>
        <w:overflowPunct w:val="0"/>
        <w:spacing w:line="590" w:lineRule="exact"/>
        <w:ind w:firstLine="643" w:firstLineChars="200"/>
        <w:jc w:val="both"/>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2）上级人民政府要根据实际情况对需要支持的下级人民政府提供资金、物资支持和技术指导，组织其他地区开展“对口帮扶”工作。需要市政府援助的，由相关县（市、区）人民政府提出请求，市级有关部门根据调查评估报告和受灾地区恢复重建计划，提出解决建议或意见，按有关规定报经批准后组织实施。县级以上人民政府应当根据损失评估情况和有关规定，依法给予费用减免、财政资助等政策扶持。</w:t>
      </w:r>
    </w:p>
    <w:p>
      <w:pPr>
        <w:overflowPunct w:val="0"/>
        <w:spacing w:line="590" w:lineRule="exact"/>
        <w:ind w:firstLine="643" w:firstLineChars="200"/>
        <w:outlineLvl w:val="2"/>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3.4.3事件调查</w:t>
      </w:r>
      <w:bookmarkEnd w:id="57"/>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履行统一领导或者组织处置突发事件职责的县级以上人民政府应当及时查明突发事件的发生经过和原因，制定改进措施，并将调查结果向上一级人民政府报告。</w:t>
      </w:r>
    </w:p>
    <w:p>
      <w:pPr>
        <w:pStyle w:val="6"/>
        <w:overflowPunct w:val="0"/>
        <w:spacing w:line="590" w:lineRule="exact"/>
        <w:ind w:firstLine="643" w:firstLineChars="200"/>
        <w:jc w:val="both"/>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重、特大突发事件的调查按照中、省有关规定执行；较大突发事件的调查由市政府或其授权部门进行，被授权的部门应在调查工作结束后向市政府作出报告；一般突发事件，由县（市、区）人民政府组织调查。对于引起公众关注、造成较大影响的一般突发事件及市级层面认为有必要的，由有关工作机构提请市政府提级调查。</w:t>
      </w:r>
    </w:p>
    <w:p>
      <w:pPr>
        <w:pStyle w:val="6"/>
        <w:overflowPunct w:val="0"/>
        <w:spacing w:line="590" w:lineRule="exact"/>
        <w:ind w:firstLine="643" w:firstLineChars="200"/>
        <w:jc w:val="both"/>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法律法规另有规定的，从其规定。</w:t>
      </w:r>
    </w:p>
    <w:p>
      <w:pPr>
        <w:overflowPunct w:val="0"/>
        <w:spacing w:line="590" w:lineRule="exact"/>
        <w:ind w:firstLine="643" w:firstLineChars="200"/>
        <w:outlineLvl w:val="2"/>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3.4.4总结评估</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履行统一领导或者组织处置突发事件职责的县级以上人民政府负责突发事件总结评估工作，突发事件处置结束后，及时查明突发事件的发生经过和原因，对突发事件造成的损失进行评估并总结经验教训，制定改进措施，并将评估情况向上一级人民政府报告。</w:t>
      </w:r>
    </w:p>
    <w:p>
      <w:pPr>
        <w:overflowPunct w:val="0"/>
        <w:spacing w:line="590" w:lineRule="exact"/>
        <w:ind w:firstLine="643" w:firstLineChars="200"/>
        <w:outlineLvl w:val="0"/>
        <w:rPr>
          <w:rFonts w:ascii="黑体" w:hAnsi="黑体" w:eastAsia="黑体" w:cs="黑体"/>
          <w:b/>
          <w:bCs/>
          <w:color w:val="000000" w:themeColor="text1"/>
          <w:sz w:val="32"/>
          <w:szCs w:val="32"/>
          <w14:textFill>
            <w14:solidFill>
              <w14:schemeClr w14:val="tx1"/>
            </w14:solidFill>
          </w14:textFill>
        </w:rPr>
      </w:pPr>
      <w:bookmarkStart w:id="59" w:name="_Toc22188"/>
      <w:bookmarkStart w:id="60" w:name="_Toc3801"/>
      <w:bookmarkStart w:id="61" w:name="_Toc8576"/>
      <w:bookmarkStart w:id="62" w:name="_Toc10205"/>
      <w:bookmarkStart w:id="63" w:name="_Toc1271"/>
      <w:r>
        <w:rPr>
          <w:rFonts w:hint="eastAsia" w:ascii="黑体" w:hAnsi="黑体" w:eastAsia="黑体" w:cs="黑体"/>
          <w:b/>
          <w:bCs/>
          <w:color w:val="000000" w:themeColor="text1"/>
          <w:sz w:val="32"/>
          <w:szCs w:val="32"/>
          <w14:textFill>
            <w14:solidFill>
              <w14:schemeClr w14:val="tx1"/>
            </w14:solidFill>
          </w14:textFill>
        </w:rPr>
        <w:t>4.应急保障</w:t>
      </w:r>
      <w:bookmarkEnd w:id="58"/>
      <w:bookmarkEnd w:id="59"/>
      <w:bookmarkEnd w:id="60"/>
      <w:bookmarkEnd w:id="61"/>
      <w:bookmarkEnd w:id="62"/>
      <w:bookmarkEnd w:id="63"/>
    </w:p>
    <w:p>
      <w:pPr>
        <w:overflowPunct w:val="0"/>
        <w:spacing w:line="590" w:lineRule="exact"/>
        <w:ind w:firstLine="643" w:firstLineChars="200"/>
        <w:outlineLvl w:val="1"/>
        <w:rPr>
          <w:rFonts w:ascii="楷体_GB2312" w:hAnsi="楷体_GB2312" w:eastAsia="楷体_GB2312" w:cs="楷体_GB2312"/>
          <w:b/>
          <w:bCs/>
          <w:color w:val="000000" w:themeColor="text1"/>
          <w:kern w:val="0"/>
          <w:sz w:val="32"/>
          <w:szCs w:val="32"/>
          <w14:textFill>
            <w14:solidFill>
              <w14:schemeClr w14:val="tx1"/>
            </w14:solidFill>
          </w14:textFill>
        </w:rPr>
      </w:pPr>
      <w:bookmarkStart w:id="64" w:name="_Toc23616"/>
      <w:bookmarkStart w:id="65" w:name="_Toc23786"/>
      <w:bookmarkStart w:id="66" w:name="_Toc28766"/>
      <w:bookmarkStart w:id="67" w:name="_Toc6724"/>
      <w:bookmarkStart w:id="68" w:name="_Toc11453"/>
      <w:bookmarkStart w:id="69" w:name="_Toc21061"/>
      <w:bookmarkStart w:id="70" w:name="_Toc31022"/>
      <w:r>
        <w:rPr>
          <w:rFonts w:hint="eastAsia" w:ascii="楷体_GB2312" w:hAnsi="楷体_GB2312" w:eastAsia="楷体_GB2312" w:cs="楷体_GB2312"/>
          <w:b/>
          <w:bCs/>
          <w:color w:val="000000" w:themeColor="text1"/>
          <w:kern w:val="0"/>
          <w:sz w:val="32"/>
          <w:szCs w:val="32"/>
          <w14:textFill>
            <w14:solidFill>
              <w14:schemeClr w14:val="tx1"/>
            </w14:solidFill>
          </w14:textFill>
        </w:rPr>
        <w:t>4.1队伍保障</w:t>
      </w:r>
      <w:bookmarkEnd w:id="64"/>
      <w:bookmarkEnd w:id="65"/>
      <w:bookmarkEnd w:id="66"/>
      <w:bookmarkEnd w:id="67"/>
      <w:bookmarkEnd w:id="68"/>
      <w:bookmarkEnd w:id="69"/>
    </w:p>
    <w:p>
      <w:pPr>
        <w:pStyle w:val="6"/>
        <w:overflowPunct w:val="0"/>
        <w:spacing w:line="590" w:lineRule="exact"/>
        <w:ind w:firstLine="643" w:firstLineChars="200"/>
        <w:jc w:val="both"/>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（1）加强国家综合应急救援队伍建设。支持国家综合性</w:t>
      </w:r>
      <w:r>
        <w:rPr>
          <w:rFonts w:ascii="仿宋_GB2312" w:hAnsi="仿宋_GB2312" w:eastAsia="仿宋_GB2312" w:cs="仿宋_GB2312"/>
          <w:b/>
          <w:bCs/>
          <w:color w:val="000000" w:themeColor="text1"/>
          <w:kern w:val="0"/>
          <w:sz w:val="32"/>
          <w:szCs w:val="32"/>
          <w14:textFill>
            <w14:solidFill>
              <w14:schemeClr w14:val="tx1"/>
            </w14:solidFill>
          </w14:textFill>
        </w:rPr>
        <w:t>消防救援队伍优化布局、强化功能改革，推进其向多灾种综合救援转变，充分发挥全</w:t>
      </w:r>
      <w:r>
        <w:rPr>
          <w:rFonts w:hint="eastAsia" w:ascii="仿宋_GB2312" w:hAnsi="仿宋_GB2312" w:eastAsia="仿宋_GB2312" w:cs="仿宋_GB2312"/>
          <w:b/>
          <w:bCs/>
          <w:color w:val="000000" w:themeColor="text1"/>
          <w:kern w:val="0"/>
          <w:sz w:val="32"/>
          <w:szCs w:val="32"/>
          <w14:textFill>
            <w14:solidFill>
              <w14:schemeClr w14:val="tx1"/>
            </w14:solidFill>
          </w14:textFill>
        </w:rPr>
        <w:t>市</w:t>
      </w:r>
      <w:r>
        <w:rPr>
          <w:rFonts w:ascii="仿宋_GB2312" w:hAnsi="仿宋_GB2312" w:eastAsia="仿宋_GB2312" w:cs="仿宋_GB2312"/>
          <w:b/>
          <w:bCs/>
          <w:color w:val="000000" w:themeColor="text1"/>
          <w:kern w:val="0"/>
          <w:sz w:val="32"/>
          <w:szCs w:val="32"/>
          <w14:textFill>
            <w14:solidFill>
              <w14:schemeClr w14:val="tx1"/>
            </w14:solidFill>
          </w14:textFill>
        </w:rPr>
        <w:t>常备救援主力军的作用</w:t>
      </w:r>
      <w:r>
        <w:rPr>
          <w:rFonts w:hint="eastAsia" w:ascii="仿宋_GB2312" w:hAnsi="仿宋_GB2312" w:eastAsia="仿宋_GB2312" w:cs="仿宋_GB2312"/>
          <w:b/>
          <w:bCs/>
          <w:color w:val="000000" w:themeColor="text1"/>
          <w:kern w:val="0"/>
          <w:sz w:val="32"/>
          <w:szCs w:val="32"/>
          <w14:textFill>
            <w14:solidFill>
              <w14:schemeClr w14:val="tx1"/>
            </w14:solidFill>
          </w14:textFill>
        </w:rPr>
        <w:t>。市消防救援支队是本市应急处置与救援的主力军，承担防范与化解重大风险、应对各类突发事件的重要职责，由现场指挥部统一指挥调度，做好突发事件的防范与救援处置任务。</w:t>
      </w:r>
    </w:p>
    <w:p>
      <w:pPr>
        <w:pStyle w:val="6"/>
        <w:overflowPunct w:val="0"/>
        <w:spacing w:line="590" w:lineRule="exact"/>
        <w:ind w:firstLine="643" w:firstLineChars="200"/>
        <w:jc w:val="both"/>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2）加强专业应急救援队伍建设。依托中省驻延及市属大型企业或行业救援力量，采取购买服务等形式，重点推动矿山、危化、洪涝、森林草原火灾、地质灾害、医疗卫生、桥梁、隧道、生态环境、核与辐射等专业救援队伍建设，队伍类型要覆盖区域内主要事故灾害和风险种类，同时推动组建通信、供电、供水、交通等保障、抢修类救援队伍。应急</w:t>
      </w:r>
      <w:r>
        <w:rPr>
          <w:rFonts w:ascii="仿宋_GB2312" w:hAnsi="仿宋_GB2312" w:eastAsia="仿宋_GB2312" w:cs="仿宋_GB2312"/>
          <w:b/>
          <w:bCs/>
          <w:color w:val="000000" w:themeColor="text1"/>
          <w:kern w:val="0"/>
          <w:sz w:val="32"/>
          <w:szCs w:val="32"/>
          <w14:textFill>
            <w14:solidFill>
              <w14:schemeClr w14:val="tx1"/>
            </w14:solidFill>
          </w14:textFill>
        </w:rPr>
        <w:t>、公安、</w:t>
      </w:r>
      <w:r>
        <w:rPr>
          <w:rFonts w:hint="eastAsia" w:ascii="仿宋_GB2312" w:hAnsi="仿宋_GB2312" w:eastAsia="仿宋_GB2312" w:cs="仿宋_GB2312"/>
          <w:b/>
          <w:bCs/>
          <w:color w:val="000000" w:themeColor="text1"/>
          <w:kern w:val="0"/>
          <w:sz w:val="32"/>
          <w:szCs w:val="32"/>
          <w14:textFill>
            <w14:solidFill>
              <w14:schemeClr w14:val="tx1"/>
            </w14:solidFill>
          </w14:textFill>
        </w:rPr>
        <w:t>消防、</w:t>
      </w:r>
      <w:r>
        <w:rPr>
          <w:rFonts w:ascii="仿宋_GB2312" w:hAnsi="仿宋_GB2312" w:eastAsia="仿宋_GB2312" w:cs="仿宋_GB2312"/>
          <w:b/>
          <w:bCs/>
          <w:color w:val="000000" w:themeColor="text1"/>
          <w:kern w:val="0"/>
          <w:sz w:val="32"/>
          <w:szCs w:val="32"/>
          <w14:textFill>
            <w14:solidFill>
              <w14:schemeClr w14:val="tx1"/>
            </w14:solidFill>
          </w14:textFill>
        </w:rPr>
        <w:t>自然资源、生态环境、交通运输、水利、住建、农业农村、文化和旅游、卫生健康、林业、市场监管、能源、通信等主管部门根据</w:t>
      </w:r>
      <w:r>
        <w:rPr>
          <w:rFonts w:hint="eastAsia" w:ascii="仿宋_GB2312" w:hAnsi="仿宋_GB2312" w:eastAsia="仿宋_GB2312" w:cs="仿宋_GB2312"/>
          <w:b/>
          <w:bCs/>
          <w:color w:val="000000" w:themeColor="text1"/>
          <w:kern w:val="0"/>
          <w:sz w:val="32"/>
          <w:szCs w:val="32"/>
          <w14:textFill>
            <w14:solidFill>
              <w14:schemeClr w14:val="tx1"/>
            </w14:solidFill>
          </w14:textFill>
        </w:rPr>
        <w:t>市</w:t>
      </w:r>
      <w:r>
        <w:rPr>
          <w:rFonts w:ascii="仿宋_GB2312" w:hAnsi="仿宋_GB2312" w:eastAsia="仿宋_GB2312" w:cs="仿宋_GB2312"/>
          <w:b/>
          <w:bCs/>
          <w:color w:val="000000" w:themeColor="text1"/>
          <w:kern w:val="0"/>
          <w:sz w:val="32"/>
          <w:szCs w:val="32"/>
          <w14:textFill>
            <w14:solidFill>
              <w14:schemeClr w14:val="tx1"/>
            </w14:solidFill>
          </w14:textFill>
        </w:rPr>
        <w:t>政府有关要求、职能和实际需要，加强本行业</w:t>
      </w:r>
      <w:r>
        <w:rPr>
          <w:rFonts w:hint="eastAsia" w:ascii="仿宋_GB2312" w:hAnsi="仿宋_GB2312" w:eastAsia="仿宋_GB2312" w:cs="仿宋_GB2312"/>
          <w:b/>
          <w:bCs/>
          <w:color w:val="000000" w:themeColor="text1"/>
          <w:kern w:val="0"/>
          <w:sz w:val="32"/>
          <w:szCs w:val="32"/>
          <w14:textFill>
            <w14:solidFill>
              <w14:schemeClr w14:val="tx1"/>
            </w14:solidFill>
          </w14:textFill>
        </w:rPr>
        <w:t>（</w:t>
      </w:r>
      <w:r>
        <w:rPr>
          <w:rFonts w:ascii="仿宋_GB2312" w:hAnsi="仿宋_GB2312" w:eastAsia="仿宋_GB2312" w:cs="仿宋_GB2312"/>
          <w:b/>
          <w:bCs/>
          <w:color w:val="000000" w:themeColor="text1"/>
          <w:kern w:val="0"/>
          <w:sz w:val="32"/>
          <w:szCs w:val="32"/>
          <w14:textFill>
            <w14:solidFill>
              <w14:schemeClr w14:val="tx1"/>
            </w14:solidFill>
          </w14:textFill>
        </w:rPr>
        <w:t>领域</w:t>
      </w:r>
      <w:r>
        <w:rPr>
          <w:rFonts w:hint="eastAsia" w:ascii="仿宋_GB2312" w:hAnsi="仿宋_GB2312" w:eastAsia="仿宋_GB2312" w:cs="仿宋_GB2312"/>
          <w:b/>
          <w:bCs/>
          <w:color w:val="000000" w:themeColor="text1"/>
          <w:kern w:val="0"/>
          <w:sz w:val="32"/>
          <w:szCs w:val="32"/>
          <w14:textFill>
            <w14:solidFill>
              <w14:schemeClr w14:val="tx1"/>
            </w14:solidFill>
          </w14:textFill>
        </w:rPr>
        <w:t>）</w:t>
      </w:r>
      <w:r>
        <w:rPr>
          <w:rFonts w:ascii="仿宋_GB2312" w:hAnsi="仿宋_GB2312" w:eastAsia="仿宋_GB2312" w:cs="仿宋_GB2312"/>
          <w:b/>
          <w:bCs/>
          <w:color w:val="000000" w:themeColor="text1"/>
          <w:kern w:val="0"/>
          <w:sz w:val="32"/>
          <w:szCs w:val="32"/>
          <w14:textFill>
            <w14:solidFill>
              <w14:schemeClr w14:val="tx1"/>
            </w14:solidFill>
          </w14:textFill>
        </w:rPr>
        <w:t>的专业应急队伍建设，</w:t>
      </w:r>
      <w:r>
        <w:rPr>
          <w:rFonts w:hint="eastAsia" w:ascii="仿宋_GB2312" w:hAnsi="仿宋_GB2312" w:eastAsia="仿宋_GB2312" w:cs="仿宋_GB2312"/>
          <w:b/>
          <w:bCs/>
          <w:color w:val="000000" w:themeColor="text1"/>
          <w:kern w:val="0"/>
          <w:sz w:val="32"/>
          <w:szCs w:val="32"/>
          <w14:textFill>
            <w14:solidFill>
              <w14:schemeClr w14:val="tx1"/>
            </w14:solidFill>
          </w14:textFill>
        </w:rPr>
        <w:t>队伍类型要覆盖区域内主要事故灾害和风险种类，并</w:t>
      </w:r>
      <w:r>
        <w:rPr>
          <w:rFonts w:ascii="仿宋_GB2312" w:hAnsi="仿宋_GB2312" w:eastAsia="仿宋_GB2312" w:cs="仿宋_GB2312"/>
          <w:b/>
          <w:bCs/>
          <w:color w:val="000000" w:themeColor="text1"/>
          <w:kern w:val="0"/>
          <w:sz w:val="32"/>
          <w:szCs w:val="32"/>
          <w14:textFill>
            <w14:solidFill>
              <w14:schemeClr w14:val="tx1"/>
            </w14:solidFill>
          </w14:textFill>
        </w:rPr>
        <w:t>做好应急救援队伍的业务培训和日常应急演练。</w:t>
      </w:r>
    </w:p>
    <w:p>
      <w:pPr>
        <w:pStyle w:val="6"/>
        <w:overflowPunct w:val="0"/>
        <w:spacing w:line="590" w:lineRule="exact"/>
        <w:ind w:firstLine="643" w:firstLineChars="200"/>
        <w:jc w:val="both"/>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（3）加强社会应急救援队伍建设。</w:t>
      </w:r>
      <w:r>
        <w:rPr>
          <w:rFonts w:ascii="仿宋_GB2312" w:hAnsi="仿宋_GB2312" w:eastAsia="仿宋_GB2312" w:cs="仿宋_GB2312"/>
          <w:b/>
          <w:bCs/>
          <w:color w:val="000000" w:themeColor="text1"/>
          <w:kern w:val="0"/>
          <w:sz w:val="32"/>
          <w:szCs w:val="32"/>
          <w14:textFill>
            <w14:solidFill>
              <w14:schemeClr w14:val="tx1"/>
            </w14:solidFill>
          </w14:textFill>
        </w:rPr>
        <w:t>加强对社会应急救援队伍的规范和培育，建立高效协同的社会应急力量应急救援统一指挥调度机制，确保社会应急力量有序有效参与突发事件应急救援工作。提升社会应急力量专业能力和管理水平，真正发挥其作为应急救援力量有益补充的作用。</w:t>
      </w:r>
    </w:p>
    <w:p>
      <w:pPr>
        <w:pStyle w:val="6"/>
        <w:overflowPunct w:val="0"/>
        <w:spacing w:line="590" w:lineRule="exact"/>
        <w:ind w:firstLine="643" w:firstLineChars="200"/>
        <w:jc w:val="both"/>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4）健全完善军地联勤联动机制。推进军民融合深度发展，逐步建立军地应急救援联训联演等合作制度，将民兵、预备役应急救援队伍纳入应急救援体系，实现救援队伍、装备物资、训练场地、情报信息等资源共享。要突出民兵、预备役救援队伍的针对性训练。</w:t>
      </w:r>
    </w:p>
    <w:p>
      <w:pPr>
        <w:pStyle w:val="6"/>
        <w:overflowPunct w:val="0"/>
        <w:spacing w:line="590" w:lineRule="exact"/>
        <w:ind w:firstLine="643" w:firstLineChars="200"/>
        <w:jc w:val="both"/>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5）推进基层应急救援队伍建设。乡镇人民政府、街道办事处组织有关单位，依托民兵、预备役人员、警务人员、医务人员、保安员、红十字救护员等具备救援专业知识和经验的人员，组建专（兼）职应急救援队伍，负责传递预警信息，开展自救互救、转移安置人员，协助做好秩序维护、物资发放等工作。相关企事业单位按照要求建立专（兼）职应急救援队伍。</w:t>
      </w:r>
    </w:p>
    <w:p>
      <w:pPr>
        <w:overflowPunct w:val="0"/>
        <w:spacing w:line="590" w:lineRule="exact"/>
        <w:ind w:firstLine="643" w:firstLineChars="200"/>
        <w:outlineLvl w:val="1"/>
        <w:rPr>
          <w:rFonts w:ascii="楷体_GB2312" w:hAnsi="楷体_GB2312" w:eastAsia="楷体_GB2312" w:cs="楷体_GB2312"/>
          <w:b/>
          <w:bCs/>
          <w:color w:val="000000" w:themeColor="text1"/>
          <w:kern w:val="0"/>
          <w:sz w:val="32"/>
          <w:szCs w:val="32"/>
          <w14:textFill>
            <w14:solidFill>
              <w14:schemeClr w14:val="tx1"/>
            </w14:solidFill>
          </w14:textFill>
        </w:rPr>
      </w:pPr>
      <w:bookmarkStart w:id="71" w:name="_Toc30649"/>
      <w:r>
        <w:rPr>
          <w:rFonts w:hint="eastAsia" w:ascii="楷体_GB2312" w:hAnsi="楷体_GB2312" w:eastAsia="楷体_GB2312" w:cs="楷体_GB2312"/>
          <w:b/>
          <w:bCs/>
          <w:color w:val="000000" w:themeColor="text1"/>
          <w:kern w:val="0"/>
          <w:sz w:val="32"/>
          <w:szCs w:val="32"/>
          <w14:textFill>
            <w14:solidFill>
              <w14:schemeClr w14:val="tx1"/>
            </w14:solidFill>
          </w14:textFill>
        </w:rPr>
        <w:t>4.2财力支持</w:t>
      </w:r>
      <w:bookmarkEnd w:id="71"/>
    </w:p>
    <w:p>
      <w:pPr>
        <w:pStyle w:val="6"/>
        <w:overflowPunct w:val="0"/>
        <w:spacing w:line="590" w:lineRule="exact"/>
        <w:ind w:firstLine="643" w:firstLineChars="200"/>
        <w:jc w:val="both"/>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（1）县级以上人民政府要将突发事件防范和应对工作所需经费纳入本级财政预算。各单位要保障本单位突发事件防范和应对工作经费。</w:t>
      </w:r>
    </w:p>
    <w:p>
      <w:pPr>
        <w:pStyle w:val="6"/>
        <w:overflowPunct w:val="0"/>
        <w:spacing w:line="590" w:lineRule="exact"/>
        <w:ind w:firstLine="643" w:firstLineChars="200"/>
        <w:jc w:val="both"/>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（2）市级启动应急响应的突发事件处置经费，按照财政事权和支出责任划分，分级负担。</w:t>
      </w:r>
    </w:p>
    <w:p>
      <w:pPr>
        <w:pStyle w:val="6"/>
        <w:overflowPunct w:val="0"/>
        <w:spacing w:line="590" w:lineRule="exact"/>
        <w:ind w:firstLine="643" w:firstLineChars="200"/>
        <w:jc w:val="both"/>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（3）县级以上财政和审计部门对突发事件财政应急保障资金的使用和效果进行监督和评估。</w:t>
      </w:r>
    </w:p>
    <w:p>
      <w:pPr>
        <w:pStyle w:val="6"/>
        <w:overflowPunct w:val="0"/>
        <w:spacing w:line="590" w:lineRule="exact"/>
        <w:ind w:firstLine="643" w:firstLineChars="200"/>
        <w:jc w:val="both"/>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（4）鼓励公民、法人或其他组织按照《中华人民共和</w:t>
      </w:r>
      <w:bookmarkStart w:id="72" w:name="_bookmark21"/>
      <w:bookmarkEnd w:id="72"/>
      <w:r>
        <w:rPr>
          <w:rFonts w:hint="eastAsia" w:ascii="仿宋_GB2312" w:hAnsi="仿宋_GB2312" w:eastAsia="仿宋_GB2312" w:cs="仿宋_GB2312"/>
          <w:b/>
          <w:bCs/>
          <w:color w:val="000000" w:themeColor="text1"/>
          <w:kern w:val="0"/>
          <w:sz w:val="32"/>
          <w:szCs w:val="32"/>
          <w14:textFill>
            <w14:solidFill>
              <w14:schemeClr w14:val="tx1"/>
            </w14:solidFill>
          </w14:textFill>
        </w:rPr>
        <w:t>国慈善法》《中华人民共和国公益事业捐赠法》等有关法律的规定，为应对突发事件提供物资、装备、资金、技术支持和捐赠。要加强政策引导，为社会资金参与应急体系建设创造条件。</w:t>
      </w:r>
    </w:p>
    <w:p>
      <w:pPr>
        <w:pStyle w:val="6"/>
        <w:overflowPunct w:val="0"/>
        <w:spacing w:line="590" w:lineRule="exact"/>
        <w:ind w:firstLine="643" w:firstLineChars="200"/>
        <w:jc w:val="both"/>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5）建立健全灾害风险保险体系，鼓励单位和公民参加保险。县级以上人民政府及有关部门、单位应当为专业应急救援人员购买人身意外伤害保险，配备必要的防护装备和器材，减少应急救援人员的人身风险。志愿服务组织安排志愿者参与</w:t>
      </w:r>
      <w:r>
        <w:rPr>
          <w:rFonts w:ascii="仿宋_GB2312" w:hAnsi="仿宋_GB2312" w:eastAsia="仿宋_GB2312" w:cs="仿宋_GB2312"/>
          <w:b/>
          <w:bCs/>
          <w:color w:val="000000" w:themeColor="text1"/>
          <w:kern w:val="0"/>
          <w:sz w:val="32"/>
          <w:szCs w:val="32"/>
          <w14:textFill>
            <w14:solidFill>
              <w14:schemeClr w14:val="tx1"/>
            </w14:solidFill>
          </w14:textFill>
        </w:rPr>
        <w:t>可能发生人身危险的志愿服务活动前，应当为志愿者购买相应的人身意外伤害保险。</w:t>
      </w:r>
    </w:p>
    <w:p>
      <w:pPr>
        <w:overflowPunct w:val="0"/>
        <w:spacing w:line="590" w:lineRule="exact"/>
        <w:ind w:firstLine="643" w:firstLineChars="200"/>
        <w:outlineLvl w:val="1"/>
        <w:rPr>
          <w:rFonts w:ascii="楷体_GB2312" w:hAnsi="楷体_GB2312" w:eastAsia="楷体_GB2312" w:cs="楷体_GB2312"/>
          <w:b/>
          <w:bCs/>
          <w:color w:val="000000" w:themeColor="text1"/>
          <w:kern w:val="0"/>
          <w:sz w:val="32"/>
          <w:szCs w:val="32"/>
          <w14:textFill>
            <w14:solidFill>
              <w14:schemeClr w14:val="tx1"/>
            </w14:solidFill>
          </w14:textFill>
        </w:rPr>
      </w:pPr>
      <w:bookmarkStart w:id="73" w:name="_Toc4918"/>
      <w:r>
        <w:rPr>
          <w:rFonts w:hint="eastAsia" w:ascii="楷体_GB2312" w:hAnsi="楷体_GB2312" w:eastAsia="楷体_GB2312" w:cs="楷体_GB2312"/>
          <w:b/>
          <w:bCs/>
          <w:color w:val="000000" w:themeColor="text1"/>
          <w:kern w:val="0"/>
          <w:sz w:val="32"/>
          <w:szCs w:val="32"/>
          <w14:textFill>
            <w14:solidFill>
              <w14:schemeClr w14:val="tx1"/>
            </w14:solidFill>
          </w14:textFill>
        </w:rPr>
        <w:t>4.3物资装备</w:t>
      </w:r>
      <w:bookmarkEnd w:id="73"/>
    </w:p>
    <w:p>
      <w:pPr>
        <w:pStyle w:val="6"/>
        <w:overflowPunct w:val="0"/>
        <w:spacing w:line="590" w:lineRule="exact"/>
        <w:ind w:firstLine="643" w:firstLineChars="200"/>
        <w:jc w:val="both"/>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1）县级以上人民政府应当根据本地区易发突发事件种类制定物资储备计划并组织实施，发改、工信、财政、商务、卫生健康、应急管理、住建等部门按照职能，建立健全重要应急物资保障系统，完善重要物资监管、生产、储备、调拨和紧急配送体系。要加快构建实物储备规模适度，社会储备门类齐全，产业储备灵活高效的应急物资储备体系。</w:t>
      </w:r>
    </w:p>
    <w:p>
      <w:pPr>
        <w:pStyle w:val="6"/>
        <w:overflowPunct w:val="0"/>
        <w:spacing w:line="590" w:lineRule="exact"/>
        <w:ind w:firstLine="619" w:firstLineChars="200"/>
        <w:jc w:val="both"/>
        <w:rPr>
          <w:rFonts w:ascii="仿宋_GB2312" w:hAnsi="仿宋_GB2312" w:eastAsia="仿宋_GB2312" w:cs="仿宋_GB2312"/>
          <w:b/>
          <w:bCs/>
          <w:color w:val="000000" w:themeColor="text1"/>
          <w:spacing w:val="-6"/>
          <w:kern w:val="0"/>
          <w:sz w:val="32"/>
          <w:szCs w:val="32"/>
          <w14:textFill>
            <w14:solidFill>
              <w14:schemeClr w14:val="tx1"/>
            </w14:solidFill>
          </w14:textFill>
        </w:rPr>
      </w:pPr>
      <w:r>
        <w:rPr>
          <w:rFonts w:hint="eastAsia" w:ascii="仿宋_GB2312" w:hAnsi="仿宋_GB2312" w:eastAsia="仿宋_GB2312" w:cs="仿宋_GB2312"/>
          <w:b/>
          <w:bCs/>
          <w:color w:val="000000" w:themeColor="text1"/>
          <w:spacing w:val="-6"/>
          <w:kern w:val="0"/>
          <w:sz w:val="32"/>
          <w:szCs w:val="32"/>
          <w14:textFill>
            <w14:solidFill>
              <w14:schemeClr w14:val="tx1"/>
            </w14:solidFill>
          </w14:textFill>
        </w:rPr>
        <w:t>（2）县级以上人民政府应根据有关法律法规和应急预案的规定，做好应急物资装备储备工作，或与有关企业签订协议，保障应急救援物资、生活必需品和应急处置装备的生产、供给、配送。</w:t>
      </w:r>
    </w:p>
    <w:p>
      <w:pPr>
        <w:pStyle w:val="6"/>
        <w:overflowPunct w:val="0"/>
        <w:spacing w:line="590" w:lineRule="exact"/>
        <w:ind w:firstLine="643" w:firstLineChars="200"/>
        <w:jc w:val="both"/>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（3）鼓励引导基层组织机构和家庭储备基本的应急自救物资和生活必需品。</w:t>
      </w:r>
    </w:p>
    <w:p>
      <w:pPr>
        <w:overflowPunct w:val="0"/>
        <w:spacing w:line="590" w:lineRule="exact"/>
        <w:ind w:firstLine="643" w:firstLineChars="200"/>
        <w:outlineLvl w:val="1"/>
        <w:rPr>
          <w:rFonts w:ascii="楷体_GB2312" w:hAnsi="楷体_GB2312" w:eastAsia="楷体_GB2312" w:cs="楷体_GB2312"/>
          <w:b/>
          <w:bCs/>
          <w:color w:val="000000" w:themeColor="text1"/>
          <w:kern w:val="0"/>
          <w:sz w:val="32"/>
          <w:szCs w:val="32"/>
          <w14:textFill>
            <w14:solidFill>
              <w14:schemeClr w14:val="tx1"/>
            </w14:solidFill>
          </w14:textFill>
        </w:rPr>
      </w:pPr>
      <w:bookmarkStart w:id="74" w:name="_Toc19505"/>
      <w:r>
        <w:rPr>
          <w:rFonts w:hint="eastAsia" w:ascii="楷体_GB2312" w:hAnsi="楷体_GB2312" w:eastAsia="楷体_GB2312" w:cs="楷体_GB2312"/>
          <w:b/>
          <w:bCs/>
          <w:color w:val="000000" w:themeColor="text1"/>
          <w:kern w:val="0"/>
          <w:sz w:val="32"/>
          <w:szCs w:val="32"/>
          <w14:textFill>
            <w14:solidFill>
              <w14:schemeClr w14:val="tx1"/>
            </w14:solidFill>
          </w14:textFill>
        </w:rPr>
        <w:t>4.4科技支撑保障</w:t>
      </w:r>
      <w:bookmarkEnd w:id="74"/>
    </w:p>
    <w:p>
      <w:pPr>
        <w:pStyle w:val="13"/>
        <w:overflowPunct w:val="0"/>
        <w:spacing w:beforeAutospacing="0" w:afterAutospacing="0" w:line="590" w:lineRule="exact"/>
        <w:ind w:firstLine="643" w:firstLineChars="200"/>
        <w:jc w:val="both"/>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各级各有关部门要研究制定相关政策措施，鼓励、扶持具备相应条件的教学科研机构培养应急管理专门人才，开展公共安全和应急管理领域的科学研究；加强应急管理科技支撑机构建设，积累基础资料，促进科技成果交流共享；研究制定促进公共安全和应急产业发展政策措施，鼓励、扶持教学科研机构和有关企业研究开发用于突发事件预防、监测、预警、应急处置与救援的新技术、新设备和新工具。</w:t>
      </w:r>
    </w:p>
    <w:p>
      <w:pPr>
        <w:pStyle w:val="13"/>
        <w:overflowPunct w:val="0"/>
        <w:spacing w:beforeAutospacing="0" w:afterAutospacing="0" w:line="590" w:lineRule="exact"/>
        <w:ind w:firstLine="643" w:firstLineChars="200"/>
        <w:jc w:val="both"/>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w:t>
      </w:r>
      <w:r>
        <w:rPr>
          <w:rFonts w:ascii="仿宋_GB2312" w:hAnsi="仿宋_GB2312" w:eastAsia="仿宋_GB2312" w:cs="仿宋_GB2312"/>
          <w:b/>
          <w:bCs/>
          <w:color w:val="000000" w:themeColor="text1"/>
          <w:sz w:val="32"/>
          <w:szCs w:val="32"/>
          <w14:textFill>
            <w14:solidFill>
              <w14:schemeClr w14:val="tx1"/>
            </w14:solidFill>
          </w14:textFill>
        </w:rPr>
        <w:t>县级以上人民政府应急管理及有关部门要充分利用现有政府系统业务资源和专业系统资源，建立健全应急指挥场所、基础支撑系统和综合应用系统，规范技术标准，配置移动指挥系统，建立市、县两级应急指挥平台和有关部门应急指挥平台，满足突发事件监测监控、预测预警、应急值守、信息报告汇总与发布、视频会商、综合研判、辅助决策、指挥协调、资源调用和总结评估等功能。有条件的乡镇（街道）要建设适用的应急指挥平台，并与市、县应急指挥平台互联互通</w:t>
      </w:r>
      <w:r>
        <w:rPr>
          <w:rFonts w:hint="eastAsia" w:ascii="仿宋_GB2312" w:hAnsi="仿宋_GB2312" w:eastAsia="仿宋_GB2312" w:cs="仿宋_GB2312"/>
          <w:b/>
          <w:bCs/>
          <w:color w:val="000000" w:themeColor="text1"/>
          <w:sz w:val="32"/>
          <w:szCs w:val="32"/>
          <w14:textFill>
            <w14:solidFill>
              <w14:schemeClr w14:val="tx1"/>
            </w14:solidFill>
          </w14:textFill>
        </w:rPr>
        <w:t>。</w:t>
      </w:r>
    </w:p>
    <w:p>
      <w:pPr>
        <w:overflowPunct w:val="0"/>
        <w:spacing w:line="590" w:lineRule="exact"/>
        <w:ind w:firstLine="643" w:firstLineChars="200"/>
        <w:outlineLvl w:val="1"/>
        <w:rPr>
          <w:rFonts w:ascii="楷体_GB2312" w:hAnsi="楷体_GB2312" w:eastAsia="楷体_GB2312" w:cs="楷体_GB2312"/>
          <w:b/>
          <w:bCs/>
          <w:color w:val="000000" w:themeColor="text1"/>
          <w:kern w:val="0"/>
          <w:sz w:val="32"/>
          <w:szCs w:val="32"/>
          <w14:textFill>
            <w14:solidFill>
              <w14:schemeClr w14:val="tx1"/>
            </w14:solidFill>
          </w14:textFill>
        </w:rPr>
      </w:pPr>
      <w:bookmarkStart w:id="75" w:name="_Toc20827"/>
      <w:r>
        <w:rPr>
          <w:rFonts w:hint="eastAsia" w:ascii="楷体_GB2312" w:hAnsi="楷体_GB2312" w:eastAsia="楷体_GB2312" w:cs="楷体_GB2312"/>
          <w:b/>
          <w:bCs/>
          <w:color w:val="000000" w:themeColor="text1"/>
          <w:kern w:val="0"/>
          <w:sz w:val="32"/>
          <w:szCs w:val="32"/>
          <w14:textFill>
            <w14:solidFill>
              <w14:schemeClr w14:val="tx1"/>
            </w14:solidFill>
          </w14:textFill>
        </w:rPr>
        <w:t>4.5交通运输保障</w:t>
      </w:r>
      <w:bookmarkEnd w:id="75"/>
    </w:p>
    <w:p>
      <w:pPr>
        <w:pStyle w:val="6"/>
        <w:overflowPunct w:val="0"/>
        <w:spacing w:line="590" w:lineRule="exact"/>
        <w:ind w:firstLine="643" w:firstLineChars="200"/>
        <w:jc w:val="both"/>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公安、交通、铁路等有关部门要保证紧急情况下应急装备的优先安排、优先调度、优先放行，确保运输安全畅通，要依法建立紧急情况社会交通运输工具的征用程序，确保抢险救灾物资和人员能够及时、安全送达。根据应急处置需要，对现场及相关通道实行交通管制，开设应急救援“绿色通道”，保证应急救援工作的顺利开展。</w:t>
      </w:r>
    </w:p>
    <w:p>
      <w:pPr>
        <w:overflowPunct w:val="0"/>
        <w:spacing w:line="590" w:lineRule="exact"/>
        <w:ind w:firstLine="643" w:firstLineChars="200"/>
        <w:outlineLvl w:val="1"/>
        <w:rPr>
          <w:rFonts w:ascii="楷体_GB2312" w:hAnsi="楷体_GB2312" w:eastAsia="楷体_GB2312" w:cs="楷体_GB2312"/>
          <w:b/>
          <w:bCs/>
          <w:color w:val="000000" w:themeColor="text1"/>
          <w:kern w:val="0"/>
          <w:sz w:val="32"/>
          <w:szCs w:val="32"/>
          <w14:textFill>
            <w14:solidFill>
              <w14:schemeClr w14:val="tx1"/>
            </w14:solidFill>
          </w14:textFill>
        </w:rPr>
      </w:pPr>
      <w:bookmarkStart w:id="76" w:name="_Toc31292"/>
      <w:r>
        <w:rPr>
          <w:rFonts w:hint="eastAsia" w:ascii="楷体_GB2312" w:hAnsi="楷体_GB2312" w:eastAsia="楷体_GB2312" w:cs="楷体_GB2312"/>
          <w:b/>
          <w:bCs/>
          <w:color w:val="000000" w:themeColor="text1"/>
          <w:kern w:val="0"/>
          <w:sz w:val="32"/>
          <w:szCs w:val="32"/>
          <w14:textFill>
            <w14:solidFill>
              <w14:schemeClr w14:val="tx1"/>
            </w14:solidFill>
          </w14:textFill>
        </w:rPr>
        <w:t>4.6应急避难场所保障</w:t>
      </w:r>
      <w:bookmarkEnd w:id="76"/>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推动应急避难场所建设，统筹安排必需的供水、供电、排污等基础设施，注重日常维护和管理，保证其正常使用。完善紧急疏散管理办法和应急避难场所启用程序，明确责任人，确保在紧急情况下公众可以安全、有序转移或疏散到应急避难场所和其他安全地带，并保证避难场所的正常运转。</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outlineLvl w:val="1"/>
        <w:rPr>
          <w:rFonts w:ascii="楷体_GB2312" w:hAnsi="楷体_GB2312" w:eastAsia="楷体_GB2312" w:cs="楷体_GB2312"/>
          <w:b/>
          <w:bCs/>
          <w:color w:val="000000" w:themeColor="text1"/>
          <w:kern w:val="0"/>
          <w:sz w:val="32"/>
          <w:szCs w:val="32"/>
          <w14:textFill>
            <w14:solidFill>
              <w14:schemeClr w14:val="tx1"/>
            </w14:solidFill>
          </w14:textFill>
        </w:rPr>
      </w:pPr>
      <w:bookmarkStart w:id="77" w:name="_Toc15465"/>
      <w:r>
        <w:rPr>
          <w:rFonts w:hint="eastAsia" w:ascii="楷体_GB2312" w:hAnsi="楷体_GB2312" w:eastAsia="楷体_GB2312" w:cs="楷体_GB2312"/>
          <w:b/>
          <w:bCs/>
          <w:color w:val="000000" w:themeColor="text1"/>
          <w:kern w:val="0"/>
          <w:sz w:val="32"/>
          <w:szCs w:val="32"/>
          <w14:textFill>
            <w14:solidFill>
              <w14:schemeClr w14:val="tx1"/>
            </w14:solidFill>
          </w14:textFill>
        </w:rPr>
        <w:t>4.7其他保障</w:t>
      </w:r>
      <w:bookmarkEnd w:id="77"/>
    </w:p>
    <w:p>
      <w:pPr>
        <w:pStyle w:val="6"/>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1）人员防护保障。始终把人民生命安全放在首位，认真践行人民至上、生命至上的安全发展理念。县级以上人民政府要指定或建立与人口密度、城市规模相适应的应急避险场所，完善紧急疏散管理办法和程序，明确各级责任人，确保在紧急情况下公众安全、有序地转移或疏散。各有关部门要为涉险人员和应急救援人员提供符合要求的安全防护装备，采取必要的防护措施，严格按照程序开展应急救援工作，确保人员安全。</w:t>
      </w:r>
    </w:p>
    <w:p>
      <w:pPr>
        <w:pStyle w:val="6"/>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（2）医疗卫生保障。卫生健康部门负责组建医疗卫生专业应急救援队伍，及时开展医疗救治、疾病预防控制等卫生应急工作。必要时，由红十字会动员社会力量参与医疗卫生救助。</w:t>
      </w:r>
    </w:p>
    <w:p>
      <w:pPr>
        <w:pStyle w:val="6"/>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3）治安维护保障。公安部门负责突发事件现场治安维护，加强对重点地区、重点场所、重点人群、重要物资和设备的安全保护，依法严厉打击违法犯罪活动。必要时，依法采取有效管制措施，控制事态发展，维护社会秩序。</w:t>
      </w:r>
    </w:p>
    <w:p>
      <w:pPr>
        <w:pStyle w:val="6"/>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4）通信保障。通信管理、广播电视等有关部门负责建立健全应急通信、应急广播电视保障工作体系，完善公用通信网，建立有线和无线相结合、基础电信网络与机动通信系统相配套的应急通信系统，确保通信畅通。</w:t>
      </w:r>
    </w:p>
    <w:p>
      <w:pPr>
        <w:pStyle w:val="6"/>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（5）公共设施保障。县级以上人民政府有关部门要按照职责分工，分别负责煤、电、油、气、水的供给，以及废水、废气、固体废弃物等有害物质的监测和处理。</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outlineLvl w:val="1"/>
        <w:rPr>
          <w:rFonts w:ascii="楷体_GB2312" w:hAnsi="楷体_GB2312" w:eastAsia="楷体_GB2312" w:cs="楷体_GB2312"/>
          <w:b/>
          <w:bCs/>
          <w:color w:val="000000" w:themeColor="text1"/>
          <w:kern w:val="0"/>
          <w:sz w:val="32"/>
          <w:szCs w:val="32"/>
          <w14:textFill>
            <w14:solidFill>
              <w14:schemeClr w14:val="tx1"/>
            </w14:solidFill>
          </w14:textFill>
        </w:rPr>
      </w:pPr>
      <w:bookmarkStart w:id="78" w:name="_Toc19881"/>
      <w:bookmarkStart w:id="79" w:name="_Toc22682"/>
      <w:bookmarkStart w:id="80" w:name="_Toc9550"/>
      <w:bookmarkStart w:id="81" w:name="_Toc26763"/>
      <w:bookmarkStart w:id="82" w:name="_Toc7297"/>
      <w:r>
        <w:rPr>
          <w:rFonts w:hint="eastAsia" w:ascii="楷体_GB2312" w:hAnsi="楷体_GB2312" w:eastAsia="楷体_GB2312" w:cs="楷体_GB2312"/>
          <w:b/>
          <w:bCs/>
          <w:color w:val="000000" w:themeColor="text1"/>
          <w:kern w:val="0"/>
          <w:sz w:val="32"/>
          <w:szCs w:val="32"/>
          <w14:textFill>
            <w14:solidFill>
              <w14:schemeClr w14:val="tx1"/>
            </w14:solidFill>
          </w14:textFill>
        </w:rPr>
        <w:t>4.8宣传和培训</w:t>
      </w:r>
      <w:bookmarkEnd w:id="78"/>
    </w:p>
    <w:p>
      <w:pPr>
        <w:pStyle w:val="6"/>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县级以上人民政府及相关部门要通过形式多样、生动有趣的方式，推动相关法律法规和预防、避险、自救、互救、减灾等常识进企业、进农村、进社区、进学校、进家庭，增强公众的风险防范意识，提高全社会的防灾避险能力和自救互救能力。</w:t>
      </w:r>
    </w:p>
    <w:p>
      <w:pPr>
        <w:pStyle w:val="6"/>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县级以上人民政府及</w:t>
      </w:r>
      <w:r>
        <w:rPr>
          <w:rFonts w:hint="eastAsia" w:ascii="仿宋_GB2312" w:hAnsi="仿宋_GB2312" w:eastAsia="仿宋_GB2312" w:cs="仿宋_GB2312"/>
          <w:b/>
          <w:bCs/>
          <w:color w:val="000000" w:themeColor="text1"/>
          <w:sz w:val="32"/>
          <w:szCs w:val="32"/>
          <w14:textFill>
            <w14:solidFill>
              <w14:schemeClr w14:val="tx1"/>
            </w14:solidFill>
          </w14:textFill>
        </w:rPr>
        <w:t>其有关部门要建立健全突发事件应急管理培训制度，纳入干部教育培训体系，定期开展宣传教育培训。</w:t>
      </w:r>
    </w:p>
    <w:p>
      <w:pPr>
        <w:pStyle w:val="13"/>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643" w:firstLineChars="20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宣传、工信、交通运输、文旅、应急管理等有关部门和各级工会、共青团、妇联、红十字会等群团组织要通过多种途径，广泛宣传应急管理法律法规和应急常识，营造良好应急文化氛围，提高全社会自救互救能力。</w:t>
      </w:r>
    </w:p>
    <w:p>
      <w:pPr>
        <w:pStyle w:val="13"/>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643" w:firstLineChars="20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教育主管部门应当督促指导各类学校、幼儿园把安全应急知识教育纳入教学内容，开展应急知识教育，培养学生的安全意识和自救与互救能力。</w:t>
      </w:r>
    </w:p>
    <w:p>
      <w:pPr>
        <w:pStyle w:val="13"/>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643" w:firstLineChars="20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新闻媒体应当开展突发事件预防与准备、应急与响应、自救与互救等应急知识的公益宣传活动，充分利用互联网、广播、电视、报刊等媒体渠道，广泛开展突发事件宣传教育。企事业单位应当定期开展应急管理法律法规、安全管理制度、安全操作规程以及应急知识等方面的教育与培训。</w:t>
      </w:r>
    </w:p>
    <w:p>
      <w:pPr>
        <w:pStyle w:val="6"/>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突发事件宣传普及材料要通俗易懂、好记管用，免费向公众发放。</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outlineLvl w:val="1"/>
        <w:rPr>
          <w:rFonts w:ascii="楷体_GB2312" w:hAnsi="楷体_GB2312" w:eastAsia="楷体_GB2312" w:cs="楷体_GB2312"/>
          <w:b/>
          <w:bCs/>
          <w:color w:val="000000" w:themeColor="text1"/>
          <w:kern w:val="0"/>
          <w:sz w:val="32"/>
          <w:szCs w:val="32"/>
          <w14:textFill>
            <w14:solidFill>
              <w14:schemeClr w14:val="tx1"/>
            </w14:solidFill>
          </w14:textFill>
        </w:rPr>
      </w:pPr>
      <w:bookmarkStart w:id="83" w:name="_Toc10243"/>
      <w:r>
        <w:rPr>
          <w:rFonts w:hint="eastAsia" w:ascii="楷体_GB2312" w:hAnsi="楷体_GB2312" w:eastAsia="楷体_GB2312" w:cs="楷体_GB2312"/>
          <w:b/>
          <w:bCs/>
          <w:color w:val="000000" w:themeColor="text1"/>
          <w:kern w:val="0"/>
          <w:sz w:val="32"/>
          <w:szCs w:val="32"/>
          <w14:textFill>
            <w14:solidFill>
              <w14:schemeClr w14:val="tx1"/>
            </w14:solidFill>
          </w14:textFill>
        </w:rPr>
        <w:t>4.9责任与奖惩</w:t>
      </w:r>
      <w:bookmarkEnd w:id="79"/>
      <w:bookmarkEnd w:id="80"/>
      <w:bookmarkEnd w:id="81"/>
      <w:bookmarkEnd w:id="82"/>
      <w:bookmarkEnd w:id="83"/>
    </w:p>
    <w:p>
      <w:pPr>
        <w:pStyle w:val="6"/>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（1）根据有关规定，建立健全突发事件应急工作领导负责制和责任追究制，将突发事件应对工作纳入各级人民政府及其有关部门绩效考核。</w:t>
      </w:r>
    </w:p>
    <w:p>
      <w:pPr>
        <w:pStyle w:val="6"/>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2）公民按照各级人民政府要求，参加应急救援工作或者协助维护社会秩序期间，其在本单位的工资待遇和福利不变，可视情给予补助；对突发事件应对工作中做出突出贡献的先进集体和个人，按照有关规定给予表彰或奖励；对于应对影响广泛、情况复杂、危害严重的突发事件中表现突出的单位和个人，可以专项表彰。</w:t>
      </w:r>
    </w:p>
    <w:p>
      <w:pPr>
        <w:pStyle w:val="6"/>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（3）各级党委组织部门以及干部人事部门要将干部在完成</w:t>
      </w:r>
      <w:r>
        <w:rPr>
          <w:rFonts w:hint="eastAsia" w:ascii="仿宋_GB2312" w:hAnsi="仿宋_GB2312" w:eastAsia="仿宋_GB2312" w:cs="仿宋_GB2312"/>
          <w:b/>
          <w:bCs/>
          <w:color w:val="000000" w:themeColor="text1"/>
          <w:spacing w:val="8"/>
          <w:kern w:val="0"/>
          <w:sz w:val="32"/>
          <w:szCs w:val="32"/>
          <w14:textFill>
            <w14:solidFill>
              <w14:schemeClr w14:val="tx1"/>
            </w14:solidFill>
          </w14:textFill>
        </w:rPr>
        <w:t>急难险重任务、应对突发事件中的表现作为评价使用的重要依</w:t>
      </w:r>
      <w:r>
        <w:rPr>
          <w:rFonts w:hint="eastAsia" w:ascii="仿宋_GB2312" w:hAnsi="仿宋_GB2312" w:eastAsia="仿宋_GB2312" w:cs="仿宋_GB2312"/>
          <w:b/>
          <w:bCs/>
          <w:color w:val="000000" w:themeColor="text1"/>
          <w:kern w:val="0"/>
          <w:sz w:val="32"/>
          <w:szCs w:val="32"/>
          <w14:textFill>
            <w14:solidFill>
              <w14:schemeClr w14:val="tx1"/>
            </w14:solidFill>
          </w14:textFill>
        </w:rPr>
        <w:t>据。</w:t>
      </w:r>
    </w:p>
    <w:p>
      <w:pPr>
        <w:pStyle w:val="6"/>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4）对突发事件防范应对工作责任不落实、措施不到位的，对迟报、谎报、瞒报和漏报突发事件重要情况或者应急管理工作中有其他失职、渎职行为的，依照有关规定给予处分；构成犯罪的，依法追究刑事责任。</w:t>
      </w:r>
    </w:p>
    <w:bookmarkEnd w:id="70"/>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outlineLvl w:val="0"/>
        <w:rPr>
          <w:rFonts w:ascii="黑体" w:hAnsi="黑体" w:eastAsia="黑体" w:cs="黑体"/>
          <w:b/>
          <w:bCs/>
          <w:color w:val="000000" w:themeColor="text1"/>
          <w:sz w:val="32"/>
          <w:szCs w:val="32"/>
          <w14:textFill>
            <w14:solidFill>
              <w14:schemeClr w14:val="tx1"/>
            </w14:solidFill>
          </w14:textFill>
        </w:rPr>
      </w:pPr>
      <w:bookmarkStart w:id="84" w:name="_Toc26527"/>
      <w:bookmarkStart w:id="85" w:name="_Toc30355"/>
      <w:bookmarkStart w:id="86" w:name="_Toc13083"/>
      <w:bookmarkStart w:id="87" w:name="_Toc20664"/>
      <w:bookmarkStart w:id="88" w:name="_Toc3215"/>
      <w:bookmarkStart w:id="89" w:name="_Toc28240"/>
      <w:r>
        <w:rPr>
          <w:rFonts w:hint="eastAsia" w:ascii="黑体" w:hAnsi="黑体" w:eastAsia="黑体" w:cs="黑体"/>
          <w:b/>
          <w:bCs/>
          <w:color w:val="000000" w:themeColor="text1"/>
          <w:sz w:val="32"/>
          <w:szCs w:val="32"/>
          <w14:textFill>
            <w14:solidFill>
              <w14:schemeClr w14:val="tx1"/>
            </w14:solidFill>
          </w14:textFill>
        </w:rPr>
        <w:t>5.预案管理</w:t>
      </w:r>
      <w:bookmarkEnd w:id="84"/>
      <w:bookmarkEnd w:id="85"/>
      <w:bookmarkEnd w:id="86"/>
      <w:bookmarkEnd w:id="87"/>
      <w:bookmarkEnd w:id="88"/>
      <w:bookmarkEnd w:id="89"/>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color w:val="000000" w:themeColor="text1"/>
          <w:kern w:val="0"/>
          <w:sz w:val="28"/>
          <w:szCs w:val="28"/>
          <w14:textFill>
            <w14:solidFill>
              <w14:schemeClr w14:val="tx1"/>
            </w14:solidFill>
          </w14:textFill>
        </w:rPr>
      </w:pPr>
      <w:bookmarkStart w:id="90" w:name="_Toc4699"/>
      <w:r>
        <w:rPr>
          <w:rFonts w:hint="eastAsia" w:ascii="仿宋_GB2312" w:hAnsi="仿宋_GB2312" w:eastAsia="仿宋_GB2312" w:cs="仿宋_GB2312"/>
          <w:b/>
          <w:bCs/>
          <w:color w:val="000000" w:themeColor="text1"/>
          <w:kern w:val="0"/>
          <w:sz w:val="32"/>
          <w:szCs w:val="32"/>
          <w14:textFill>
            <w14:solidFill>
              <w14:schemeClr w14:val="tx1"/>
            </w14:solidFill>
          </w14:textFill>
        </w:rPr>
        <w:t>应急预案管理遵循统一规划、分类指导、分级负责、动态管理原则，主要包括应急预案的规划、编制、审批、发布、备案、演练、评估、修订等工作。</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outlineLvl w:val="1"/>
        <w:rPr>
          <w:rFonts w:ascii="楷体_GB2312" w:hAnsi="楷体_GB2312" w:eastAsia="楷体_GB2312" w:cs="楷体_GB2312"/>
          <w:b/>
          <w:bCs/>
          <w:color w:val="000000" w:themeColor="text1"/>
          <w:kern w:val="0"/>
          <w:sz w:val="32"/>
          <w:szCs w:val="32"/>
          <w14:textFill>
            <w14:solidFill>
              <w14:schemeClr w14:val="tx1"/>
            </w14:solidFill>
          </w14:textFill>
        </w:rPr>
      </w:pPr>
      <w:bookmarkStart w:id="91" w:name="_Toc23624"/>
      <w:r>
        <w:rPr>
          <w:rFonts w:hint="eastAsia" w:ascii="楷体_GB2312" w:hAnsi="楷体_GB2312" w:eastAsia="楷体_GB2312" w:cs="楷体_GB2312"/>
          <w:b/>
          <w:bCs/>
          <w:color w:val="000000" w:themeColor="text1"/>
          <w:kern w:val="0"/>
          <w:sz w:val="32"/>
          <w:szCs w:val="32"/>
          <w14:textFill>
            <w14:solidFill>
              <w14:schemeClr w14:val="tx1"/>
            </w14:solidFill>
          </w14:textFill>
        </w:rPr>
        <w:t>5.1预案规划与编制</w:t>
      </w:r>
      <w:bookmarkEnd w:id="91"/>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各级应急管理部门要会同有关部门（单位）针对本行政区域内突发事件历史情况和重大风险隐患，确定本级专项应急预案、部门应急预案基本框架，明确编修单位。</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编制应急预案应当在风险评估和应急资源调查的基础上进行，以确保应急预案的针对性和实用性。应急预案编制过程中应广泛听取有关部门、单位和专家的意见。涉及其他单位职责的，应当书面征求相关单位意见，必要时，向社会公开征求意见。</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应急预案应配套编制应急工作手册和事件行动方案等。县级以上人民政府及有关工作机构根据落实相关应急预案的需要编制相应的工作手册，明确工作职责、任务、内容、流程和具体责任单位、责任人员。基层组织机构根据自身实际，可单独编制工作手册，或将有关内容融入预案。事件行动方案要明确队伍编成、力量预置、指挥协同、行动预想、战勤保障、通信联络、具体对策、实施步骤等内容。</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outlineLvl w:val="1"/>
        <w:rPr>
          <w:rFonts w:ascii="楷体_GB2312" w:hAnsi="楷体_GB2312" w:eastAsia="楷体_GB2312" w:cs="楷体_GB2312"/>
          <w:b/>
          <w:bCs/>
          <w:color w:val="000000" w:themeColor="text1"/>
          <w:kern w:val="0"/>
          <w:sz w:val="32"/>
          <w:szCs w:val="32"/>
          <w14:textFill>
            <w14:solidFill>
              <w14:schemeClr w14:val="tx1"/>
            </w14:solidFill>
          </w14:textFill>
        </w:rPr>
      </w:pPr>
      <w:bookmarkStart w:id="92" w:name="_Toc19704"/>
      <w:r>
        <w:rPr>
          <w:rFonts w:hint="eastAsia" w:ascii="楷体_GB2312" w:hAnsi="楷体_GB2312" w:eastAsia="楷体_GB2312" w:cs="楷体_GB2312"/>
          <w:b/>
          <w:bCs/>
          <w:color w:val="000000" w:themeColor="text1"/>
          <w:kern w:val="0"/>
          <w:sz w:val="32"/>
          <w:szCs w:val="32"/>
          <w14:textFill>
            <w14:solidFill>
              <w14:schemeClr w14:val="tx1"/>
            </w14:solidFill>
          </w14:textFill>
        </w:rPr>
        <w:t>5.2预案审批与衔接</w:t>
      </w:r>
      <w:bookmarkEnd w:id="92"/>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各级各类应急预案衔接遵循“下级服从上级，专项、部门服从总体，预案之间不得相互矛盾”的原则。应急管理部门综合协调应急预案衔接工作，承担本级预案体系范围内专项、部门应急预案和下级总体应急预案的备案工作。应急预案审批单位应当在应急预案印发后20个工作日内依照规定向有关单位备案。</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总体应急预案由应急管理部门组织编制，按程序报请本级人民政府批准，以本级人民政府名义印发实施，并报送上级人民政府备案。</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专项应急预案按职责分工由相关突发事件应对牵头部门组织编制，按程序报请本级人民政府批准，以本级人民政府办公室名义印发实施，报上级相关主管部门和同级应急管理部门备案。</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部门应急预案由有关主管部门组织编制，经主要负责同志批准并公布实施，报上级主管部门备案，抄送同级应急管理部门。各专项应急预案涉及部门，根据承担职责制定相应的部门预案，由专项机构牵头单位衔接协调。部门应急预案印发前，应征求本级应急管理部门意见。</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基层组织和单位应急预案由基层组织或单位主要负责人签发，并按照有关规定履行备案。</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报送市政府备案的预案，径送市应急管理局，履行备案手续。报批的预案，应提交预案文本、起草修订说明、风险评估报告、应急资源调查报告、征求意见情况和专家评审意见。报备的预案</w:t>
      </w:r>
      <w:r>
        <w:rPr>
          <w:rFonts w:hint="eastAsia" w:ascii="仿宋_GB2312" w:hAnsi="仿宋_GB2312" w:eastAsia="仿宋_GB2312" w:cs="仿宋_GB2312"/>
          <w:b/>
          <w:bCs/>
          <w:color w:val="000000" w:themeColor="text1"/>
          <w:spacing w:val="8"/>
          <w:kern w:val="0"/>
          <w:sz w:val="32"/>
          <w:szCs w:val="32"/>
          <w14:textFill>
            <w14:solidFill>
              <w14:schemeClr w14:val="tx1"/>
            </w14:solidFill>
          </w14:textFill>
        </w:rPr>
        <w:t>应提交正式印发的预案文本、风险评估报告和应急资源调查报</w:t>
      </w:r>
      <w:r>
        <w:rPr>
          <w:rFonts w:hint="eastAsia" w:ascii="仿宋_GB2312" w:hAnsi="仿宋_GB2312" w:eastAsia="仿宋_GB2312" w:cs="仿宋_GB2312"/>
          <w:b/>
          <w:bCs/>
          <w:color w:val="000000" w:themeColor="text1"/>
          <w:kern w:val="0"/>
          <w:sz w:val="32"/>
          <w:szCs w:val="32"/>
          <w14:textFill>
            <w14:solidFill>
              <w14:schemeClr w14:val="tx1"/>
            </w14:solidFill>
          </w14:textFill>
        </w:rPr>
        <w:t>告。</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outlineLvl w:val="1"/>
        <w:rPr>
          <w:rFonts w:ascii="楷体_GB2312" w:hAnsi="楷体_GB2312" w:eastAsia="楷体_GB2312" w:cs="楷体_GB2312"/>
          <w:b/>
          <w:bCs/>
          <w:color w:val="000000" w:themeColor="text1"/>
          <w:kern w:val="0"/>
          <w:sz w:val="32"/>
          <w:szCs w:val="32"/>
          <w14:textFill>
            <w14:solidFill>
              <w14:schemeClr w14:val="tx1"/>
            </w14:solidFill>
          </w14:textFill>
        </w:rPr>
      </w:pPr>
      <w:bookmarkStart w:id="93" w:name="_Toc5009"/>
      <w:r>
        <w:rPr>
          <w:rFonts w:hint="eastAsia" w:ascii="楷体_GB2312" w:hAnsi="楷体_GB2312" w:eastAsia="楷体_GB2312" w:cs="楷体_GB2312"/>
          <w:b/>
          <w:bCs/>
          <w:color w:val="000000" w:themeColor="text1"/>
          <w:kern w:val="0"/>
          <w:sz w:val="32"/>
          <w:szCs w:val="32"/>
          <w14:textFill>
            <w14:solidFill>
              <w14:schemeClr w14:val="tx1"/>
            </w14:solidFill>
          </w14:textFill>
        </w:rPr>
        <w:t>5.3预案演练</w:t>
      </w:r>
      <w:bookmarkEnd w:id="93"/>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应急预案编制单位应当建立应急演练制度，根据实际情况采取实战演练、桌面演练等方式，组织开展人员广泛参与、处置联动性强、形式多样、节约高效的应急演练。如预案发生重大调整，需及时按照新的预案开展演练。</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b/>
          <w:bCs/>
          <w:color w:val="000000" w:themeColor="text1"/>
          <w:sz w:val="32"/>
          <w:szCs w:val="32"/>
          <w14:textFill>
            <w14:solidFill>
              <w14:schemeClr w14:val="tx1"/>
            </w14:solidFill>
          </w14:textFill>
        </w:rPr>
      </w:pPr>
      <w:r>
        <w:rPr>
          <w:rFonts w:hint="eastAsia" w:ascii="仿宋_GB2312" w:hAnsi="宋体" w:eastAsia="仿宋_GB2312" w:cs="仿宋_GB2312"/>
          <w:b/>
          <w:bCs/>
          <w:color w:val="000000" w:themeColor="text1"/>
          <w:kern w:val="0"/>
          <w:sz w:val="32"/>
          <w:szCs w:val="32"/>
          <w14:textFill>
            <w14:solidFill>
              <w14:schemeClr w14:val="tx1"/>
            </w14:solidFill>
          </w14:textFill>
        </w:rPr>
        <w:t>应急演练应按照计划准备、组织实施、总结评估、持续改进四个步骤进行。专项应急预案演练由市政府下达应急演练计划，应急预案编制牵头单位组织实施。部门应急预案演练由部门计划安排并组织实施。重大活动应急演练由其组（执）委会下达应急演练计划，由其安保部门统一组织实施，或由其组成机构及部门分别实施。</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根据《突发事件应急预案管理办法》《陕西省突发事件应急预案管理办法》要求，市级专项、部门应急预案每3年至少进行1次应急演练。法律法规和国家另有规定的，从其规定。</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县级以上人民政府及其专项机构、工作机构根据应急预案组织综合应急演练和专项应急演练，必要时可以组织跨地区、跨行业的应急演练，提高快速反应和协同处置能力。专项应急预案、部门应急预案依据有关规定组织常态化应急演练。</w:t>
      </w:r>
    </w:p>
    <w:p>
      <w:pPr>
        <w:overflowPunct w:val="0"/>
        <w:spacing w:line="590" w:lineRule="exact"/>
        <w:ind w:firstLine="643" w:firstLineChars="200"/>
        <w:outlineLvl w:val="1"/>
        <w:rPr>
          <w:rFonts w:ascii="楷体_GB2312" w:hAnsi="楷体_GB2312" w:eastAsia="楷体_GB2312" w:cs="楷体_GB2312"/>
          <w:b/>
          <w:bCs/>
          <w:color w:val="000000" w:themeColor="text1"/>
          <w:kern w:val="0"/>
          <w:sz w:val="32"/>
          <w:szCs w:val="32"/>
          <w14:textFill>
            <w14:solidFill>
              <w14:schemeClr w14:val="tx1"/>
            </w14:solidFill>
          </w14:textFill>
        </w:rPr>
      </w:pPr>
      <w:bookmarkStart w:id="94" w:name="_Toc23673"/>
      <w:r>
        <w:rPr>
          <w:rFonts w:hint="eastAsia" w:ascii="楷体_GB2312" w:hAnsi="楷体_GB2312" w:eastAsia="楷体_GB2312" w:cs="楷体_GB2312"/>
          <w:b/>
          <w:bCs/>
          <w:color w:val="000000" w:themeColor="text1"/>
          <w:kern w:val="0"/>
          <w:sz w:val="32"/>
          <w:szCs w:val="32"/>
          <w14:textFill>
            <w14:solidFill>
              <w14:schemeClr w14:val="tx1"/>
            </w14:solidFill>
          </w14:textFill>
        </w:rPr>
        <w:t>5.4预案评估与修订</w:t>
      </w:r>
      <w:bookmarkEnd w:id="94"/>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（1）应急预案编制单位应当定期对预案进行评估，分析评估预案内容的针对性、实用性和可操作性，并对预案是否需要修订做出结论，实现应急预案的动态优化和科学规范管理。</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（2）有下列情形之一的，应当及时修订应急预案：</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1）有关法律法规、规章、标准、上位预案中的有关规定发生变化；</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2）应急指挥机构及其职责发生重大调整；</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3）面临的风险发生重大变化；</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4）重要应急资源发生重大变化；</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5）预案中的其他重要信息发生变化；</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6）在突发事件实际应对和应急演练中发现问题需要作出重大调整；</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7）应急预案制定单位认为应当修订的其他情况。</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（3）应急预案修订内容不涉及组织指挥体系与职责、应急处置程序、主要处置措施、响应分级标准等的，修订程序可适当简化，相关专项预案修订内容，可以以专项机构牵头部门名义印发，周知有关单位。</w:t>
      </w:r>
    </w:p>
    <w:p>
      <w:pPr>
        <w:overflowPunct w:val="0"/>
        <w:spacing w:line="590" w:lineRule="exact"/>
        <w:ind w:firstLine="643" w:firstLineChars="200"/>
        <w:outlineLvl w:val="0"/>
        <w:rPr>
          <w:rFonts w:ascii="黑体" w:hAnsi="黑体" w:eastAsia="黑体" w:cs="黑体"/>
          <w:b/>
          <w:bCs/>
          <w:color w:val="000000" w:themeColor="text1"/>
          <w:sz w:val="32"/>
          <w:szCs w:val="32"/>
          <w14:textFill>
            <w14:solidFill>
              <w14:schemeClr w14:val="tx1"/>
            </w14:solidFill>
          </w14:textFill>
        </w:rPr>
      </w:pPr>
      <w:bookmarkStart w:id="95" w:name="_Toc14234"/>
      <w:r>
        <w:rPr>
          <w:rFonts w:hint="eastAsia" w:ascii="黑体" w:hAnsi="黑体" w:eastAsia="黑体" w:cs="黑体"/>
          <w:b/>
          <w:bCs/>
          <w:color w:val="000000" w:themeColor="text1"/>
          <w:sz w:val="32"/>
          <w:szCs w:val="32"/>
          <w14:textFill>
            <w14:solidFill>
              <w14:schemeClr w14:val="tx1"/>
            </w14:solidFill>
          </w14:textFill>
        </w:rPr>
        <w:t>6.附则</w:t>
      </w:r>
      <w:bookmarkEnd w:id="95"/>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（1）本预案由市应急管理局负责解释说明。</w:t>
      </w:r>
    </w:p>
    <w:p>
      <w:pPr>
        <w:overflowPunct w:val="0"/>
        <w:spacing w:line="59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（2）各级人民政府及其有关部门、企事业单位，群众自治组织等按照本预案的规定履行职责，制定完善相应的应急预案及其支撑性文件。</w:t>
      </w:r>
    </w:p>
    <w:p>
      <w:pPr>
        <w:overflowPunct w:val="0"/>
        <w:spacing w:line="590" w:lineRule="exact"/>
        <w:ind w:firstLine="619" w:firstLineChars="200"/>
        <w:rPr>
          <w:rFonts w:ascii="仿宋_GB2312" w:hAnsi="仿宋_GB2312" w:eastAsia="仿宋_GB2312" w:cs="仿宋_GB2312"/>
          <w:b/>
          <w:bCs/>
          <w:color w:val="000000" w:themeColor="text1"/>
          <w:spacing w:val="-6"/>
          <w:kern w:val="0"/>
          <w:sz w:val="32"/>
          <w:szCs w:val="32"/>
          <w14:textFill>
            <w14:solidFill>
              <w14:schemeClr w14:val="tx1"/>
            </w14:solidFill>
          </w14:textFill>
        </w:rPr>
      </w:pPr>
      <w:r>
        <w:rPr>
          <w:rFonts w:hint="eastAsia" w:ascii="仿宋_GB2312" w:hAnsi="仿宋_GB2312" w:eastAsia="仿宋_GB2312" w:cs="仿宋_GB2312"/>
          <w:b/>
          <w:bCs/>
          <w:color w:val="000000" w:themeColor="text1"/>
          <w:spacing w:val="-6"/>
          <w:kern w:val="0"/>
          <w:sz w:val="32"/>
          <w:szCs w:val="32"/>
          <w14:textFill>
            <w14:solidFill>
              <w14:schemeClr w14:val="tx1"/>
            </w14:solidFill>
          </w14:textFill>
        </w:rPr>
        <w:t>（3）本预案自发布之日起施行。</w:t>
      </w:r>
      <w:bookmarkEnd w:id="90"/>
    </w:p>
    <w:p>
      <w:pPr>
        <w:overflowPunct w:val="0"/>
        <w:spacing w:line="590" w:lineRule="exact"/>
        <w:ind w:firstLine="619" w:firstLineChars="200"/>
        <w:rPr>
          <w:rFonts w:ascii="仿宋_GB2312" w:hAnsi="仿宋_GB2312" w:eastAsia="仿宋_GB2312" w:cs="仿宋_GB2312"/>
          <w:b/>
          <w:bCs/>
          <w:color w:val="000000" w:themeColor="text1"/>
          <w:spacing w:val="-6"/>
          <w:kern w:val="0"/>
          <w:sz w:val="32"/>
          <w:szCs w:val="32"/>
          <w14:textFill>
            <w14:solidFill>
              <w14:schemeClr w14:val="tx1"/>
            </w14:solidFill>
          </w14:textFill>
        </w:rPr>
      </w:pPr>
    </w:p>
    <w:p>
      <w:pPr>
        <w:overflowPunct w:val="0"/>
        <w:spacing w:line="59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附件</w:t>
      </w:r>
      <w:bookmarkStart w:id="96" w:name="_Toc27267"/>
      <w:bookmarkStart w:id="97" w:name="_Toc29066"/>
      <w:bookmarkStart w:id="98" w:name="_Toc24584"/>
      <w:bookmarkStart w:id="99" w:name="_Toc6650"/>
      <w:bookmarkStart w:id="100" w:name="_Toc3978"/>
      <w:bookmarkStart w:id="101" w:name="_Toc27785"/>
      <w:r>
        <w:rPr>
          <w:rFonts w:hint="eastAsia" w:ascii="仿宋_GB2312" w:hAnsi="仿宋_GB2312" w:eastAsia="仿宋_GB2312" w:cs="仿宋_GB2312"/>
          <w:b/>
          <w:bCs/>
          <w:color w:val="000000" w:themeColor="text1"/>
          <w:sz w:val="32"/>
          <w:szCs w:val="32"/>
          <w14:textFill>
            <w14:solidFill>
              <w14:schemeClr w14:val="tx1"/>
            </w14:solidFill>
          </w14:textFill>
        </w:rPr>
        <w:t>：1.延安市突发事件专项预案和主要牵头部门</w:t>
      </w:r>
    </w:p>
    <w:p>
      <w:pPr>
        <w:overflowPunct w:val="0"/>
        <w:spacing w:line="590" w:lineRule="exact"/>
        <w:ind w:firstLine="1606" w:firstLineChars="5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2.延安市突发事件应急保障工作牵头协调部门和支</w:t>
      </w:r>
    </w:p>
    <w:p>
      <w:pPr>
        <w:overflowPunct w:val="0"/>
        <w:spacing w:line="590" w:lineRule="exact"/>
        <w:ind w:firstLine="1928" w:firstLineChars="6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持部门</w:t>
      </w:r>
    </w:p>
    <w:p>
      <w:pPr>
        <w:overflowPunct w:val="0"/>
        <w:spacing w:line="590" w:lineRule="exact"/>
        <w:ind w:firstLine="1606" w:firstLineChars="5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3.延安市市级部门（单位）应对突发事件主要职责</w:t>
      </w:r>
    </w:p>
    <w:p>
      <w:pPr>
        <w:overflowPunct w:val="0"/>
        <w:spacing w:line="590" w:lineRule="exact"/>
        <w:ind w:firstLine="1606" w:firstLineChars="5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4.延安市突发事件应对工作简图</w:t>
      </w:r>
    </w:p>
    <w:p>
      <w:pPr>
        <w:overflowPunct w:val="0"/>
        <w:spacing w:line="590" w:lineRule="exact"/>
        <w:ind w:firstLine="1606" w:firstLineChars="5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5.专项指挥部编组模式</w:t>
      </w:r>
    </w:p>
    <w:p>
      <w:pPr>
        <w:pStyle w:val="6"/>
        <w:rPr>
          <w:b/>
          <w:bCs/>
          <w:color w:val="000000" w:themeColor="text1"/>
          <w14:textFill>
            <w14:solidFill>
              <w14:schemeClr w14:val="tx1"/>
            </w14:solidFill>
          </w14:textFill>
        </w:rPr>
        <w:sectPr>
          <w:headerReference r:id="rId3" w:type="default"/>
          <w:footerReference r:id="rId4" w:type="default"/>
          <w:footerReference r:id="rId5" w:type="even"/>
          <w:pgSz w:w="11905" w:h="16838"/>
          <w:pgMar w:top="1871" w:right="1531" w:bottom="1984" w:left="1531" w:header="1412" w:footer="1491" w:gutter="0"/>
          <w:pgNumType w:fmt="decimal"/>
          <w:cols w:space="0" w:num="1"/>
          <w:docGrid w:type="lines" w:linePitch="312" w:charSpace="0"/>
        </w:sectPr>
      </w:pPr>
    </w:p>
    <w:p>
      <w:pPr>
        <w:spacing w:line="560" w:lineRule="exact"/>
        <w:outlineLvl w:val="1"/>
        <w:rPr>
          <w:rFonts w:ascii="黑体" w:hAnsi="黑体" w:eastAsia="黑体" w:cs="黑体"/>
          <w:color w:val="000000" w:themeColor="text1"/>
          <w:sz w:val="44"/>
          <w:szCs w:val="44"/>
          <w14:textFill>
            <w14:solidFill>
              <w14:schemeClr w14:val="tx1"/>
            </w14:solidFill>
          </w14:textFill>
        </w:rPr>
      </w:pPr>
      <w:bookmarkStart w:id="102" w:name="_Toc8412"/>
      <w:bookmarkStart w:id="103" w:name="_Toc23083"/>
      <w:bookmarkStart w:id="104" w:name="_Toc24700"/>
      <w:bookmarkStart w:id="105" w:name="_Toc19587"/>
      <w:bookmarkStart w:id="106" w:name="_Toc4096"/>
      <w:bookmarkStart w:id="107" w:name="_Toc14082"/>
      <w:bookmarkStart w:id="108" w:name="_Toc18774"/>
      <w:bookmarkStart w:id="109" w:name="_Toc9932"/>
      <w:bookmarkStart w:id="110" w:name="_Toc7247"/>
      <w:bookmarkStart w:id="111" w:name="_Toc22207"/>
      <w:bookmarkStart w:id="112" w:name="_Toc2708"/>
      <w:r>
        <w:rPr>
          <w:rFonts w:hint="eastAsia" w:ascii="黑体" w:hAnsi="黑体" w:eastAsia="黑体" w:cs="黑体"/>
          <w:b/>
          <w:bCs/>
          <w:color w:val="000000" w:themeColor="text1"/>
          <w:sz w:val="32"/>
          <w:szCs w:val="32"/>
          <w14:textFill>
            <w14:solidFill>
              <w14:schemeClr w14:val="tx1"/>
            </w14:solidFill>
          </w14:textFill>
        </w:rPr>
        <w:t>附件1</w:t>
      </w:r>
      <w:bookmarkEnd w:id="102"/>
      <w:bookmarkEnd w:id="103"/>
      <w:bookmarkEnd w:id="104"/>
      <w:bookmarkEnd w:id="105"/>
      <w:bookmarkEnd w:id="106"/>
      <w:bookmarkEnd w:id="107"/>
      <w:bookmarkEnd w:id="108"/>
      <w:bookmarkEnd w:id="109"/>
    </w:p>
    <w:p>
      <w:pPr>
        <w:spacing w:line="560" w:lineRule="exact"/>
        <w:jc w:val="center"/>
        <w:outlineLvl w:val="1"/>
        <w:rPr>
          <w:rFonts w:ascii="黑体" w:hAnsi="黑体" w:eastAsia="黑体" w:cs="黑体"/>
          <w:color w:val="000000" w:themeColor="text1"/>
          <w:sz w:val="44"/>
          <w:szCs w:val="44"/>
          <w14:textFill>
            <w14:solidFill>
              <w14:schemeClr w14:val="tx1"/>
            </w14:solidFill>
          </w14:textFill>
        </w:rPr>
      </w:pPr>
      <w:bookmarkStart w:id="113" w:name="_Toc11396"/>
      <w:bookmarkStart w:id="114" w:name="_Toc15403"/>
      <w:bookmarkStart w:id="115" w:name="_Toc9530"/>
      <w:bookmarkStart w:id="116" w:name="_Toc19362"/>
      <w:bookmarkStart w:id="117" w:name="_Toc2293"/>
      <w:bookmarkStart w:id="118" w:name="_Toc22925"/>
      <w:bookmarkStart w:id="119" w:name="_Toc22683"/>
      <w:bookmarkStart w:id="120" w:name="_Toc6793"/>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延安市突发事件专项预案和主要牵头部门</w:t>
      </w:r>
      <w:bookmarkEnd w:id="110"/>
      <w:bookmarkEnd w:id="111"/>
      <w:bookmarkEnd w:id="113"/>
      <w:bookmarkEnd w:id="114"/>
      <w:bookmarkEnd w:id="115"/>
      <w:bookmarkEnd w:id="116"/>
      <w:bookmarkEnd w:id="117"/>
      <w:bookmarkEnd w:id="118"/>
      <w:bookmarkEnd w:id="119"/>
      <w:bookmarkEnd w:id="120"/>
    </w:p>
    <w:tbl>
      <w:tblPr>
        <w:tblStyle w:val="16"/>
        <w:tblW w:w="13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9"/>
        <w:gridCol w:w="685"/>
        <w:gridCol w:w="3044"/>
        <w:gridCol w:w="2805"/>
        <w:gridCol w:w="2519"/>
        <w:gridCol w:w="4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blHeader/>
          <w:jc w:val="center"/>
        </w:trPr>
        <w:tc>
          <w:tcPr>
            <w:tcW w:w="649" w:type="dxa"/>
            <w:tcMar>
              <w:top w:w="12" w:type="dxa"/>
              <w:left w:w="12" w:type="dxa"/>
              <w:right w:w="12" w:type="dxa"/>
            </w:tcMar>
            <w:vAlign w:val="center"/>
          </w:tcPr>
          <w:p>
            <w:pPr>
              <w:spacing w:line="400" w:lineRule="exact"/>
              <w:jc w:val="center"/>
              <w:textAlignment w:val="center"/>
              <w:rPr>
                <w:rFonts w:ascii="黑体" w:hAnsi="黑体" w:eastAsia="黑体" w:cs="黑体"/>
                <w:b/>
                <w:bCs/>
                <w:color w:val="000000" w:themeColor="text1"/>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序号</w:t>
            </w:r>
          </w:p>
        </w:tc>
        <w:tc>
          <w:tcPr>
            <w:tcW w:w="3729" w:type="dxa"/>
            <w:gridSpan w:val="2"/>
            <w:tcMar>
              <w:top w:w="12" w:type="dxa"/>
              <w:left w:w="12" w:type="dxa"/>
              <w:right w:w="12" w:type="dxa"/>
            </w:tcMar>
            <w:vAlign w:val="center"/>
          </w:tcPr>
          <w:p>
            <w:pPr>
              <w:spacing w:line="400" w:lineRule="exact"/>
              <w:jc w:val="center"/>
              <w:textAlignment w:val="center"/>
              <w:rPr>
                <w:rFonts w:ascii="黑体" w:hAnsi="黑体" w:eastAsia="黑体" w:cs="黑体"/>
                <w:b/>
                <w:bCs/>
                <w:color w:val="000000" w:themeColor="text1"/>
                <w:kern w:val="0"/>
                <w:sz w:val="24"/>
                <w14:textFill>
                  <w14:solidFill>
                    <w14:schemeClr w14:val="tx1"/>
                  </w14:solidFill>
                </w14:textFill>
              </w:rPr>
            </w:pPr>
            <w:r>
              <w:rPr>
                <w:rStyle w:val="21"/>
                <w:rFonts w:hint="default" w:hAnsi="黑体"/>
                <w:b/>
                <w:bCs/>
                <w:color w:val="000000" w:themeColor="text1"/>
                <w14:textFill>
                  <w14:solidFill>
                    <w14:schemeClr w14:val="tx1"/>
                  </w14:solidFill>
                </w14:textFill>
              </w:rPr>
              <w:t>事件类别</w:t>
            </w:r>
          </w:p>
        </w:tc>
        <w:tc>
          <w:tcPr>
            <w:tcW w:w="2805" w:type="dxa"/>
            <w:tcMar>
              <w:top w:w="12" w:type="dxa"/>
              <w:left w:w="12" w:type="dxa"/>
              <w:right w:w="12" w:type="dxa"/>
            </w:tcMar>
            <w:vAlign w:val="center"/>
          </w:tcPr>
          <w:p>
            <w:pPr>
              <w:spacing w:line="400" w:lineRule="exact"/>
              <w:jc w:val="center"/>
              <w:textAlignment w:val="center"/>
              <w:rPr>
                <w:rFonts w:ascii="黑体" w:hAnsi="黑体" w:eastAsia="黑体" w:cs="黑体"/>
                <w:b/>
                <w:bCs/>
                <w:color w:val="000000" w:themeColor="text1"/>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牵头部门</w:t>
            </w:r>
          </w:p>
        </w:tc>
        <w:tc>
          <w:tcPr>
            <w:tcW w:w="2519" w:type="dxa"/>
            <w:tcMar>
              <w:top w:w="12" w:type="dxa"/>
              <w:left w:w="12" w:type="dxa"/>
              <w:right w:w="12" w:type="dxa"/>
            </w:tcMar>
            <w:vAlign w:val="center"/>
          </w:tcPr>
          <w:p>
            <w:pPr>
              <w:spacing w:line="400" w:lineRule="exact"/>
              <w:jc w:val="center"/>
              <w:textAlignment w:val="center"/>
              <w:rPr>
                <w:rFonts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专项机构</w:t>
            </w:r>
          </w:p>
        </w:tc>
        <w:tc>
          <w:tcPr>
            <w:tcW w:w="4295" w:type="dxa"/>
            <w:tcMar>
              <w:top w:w="12" w:type="dxa"/>
              <w:left w:w="12" w:type="dxa"/>
              <w:right w:w="12" w:type="dxa"/>
            </w:tcMar>
            <w:vAlign w:val="center"/>
          </w:tcPr>
          <w:p>
            <w:pPr>
              <w:spacing w:line="400" w:lineRule="exact"/>
              <w:jc w:val="center"/>
              <w:textAlignment w:val="center"/>
              <w:rPr>
                <w:rFonts w:ascii="黑体" w:hAnsi="黑体" w:eastAsia="黑体" w:cs="黑体"/>
                <w:b/>
                <w:bCs/>
                <w:color w:val="000000" w:themeColor="text1"/>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预案名称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649" w:type="dxa"/>
            <w:tcMar>
              <w:top w:w="12" w:type="dxa"/>
              <w:left w:w="12" w:type="dxa"/>
              <w:right w:w="12" w:type="dxa"/>
            </w:tcMar>
            <w:vAlign w:val="center"/>
          </w:tcPr>
          <w:p>
            <w:pPr>
              <w:keepNext w:val="0"/>
              <w:keepLines w:val="0"/>
              <w:pageBreakBefore w:val="0"/>
              <w:numPr>
                <w:ilvl w:val="0"/>
                <w:numId w:val="2"/>
              </w:numPr>
              <w:tabs>
                <w:tab w:val="left" w:pos="0"/>
              </w:tabs>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restart"/>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color w:val="000000" w:themeColor="text1"/>
                <w:kern w:val="0"/>
                <w:sz w:val="24"/>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color w:val="000000" w:themeColor="text1"/>
                <w:kern w:val="0"/>
                <w:sz w:val="24"/>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color w:val="000000" w:themeColor="text1"/>
                <w:kern w:val="0"/>
                <w:sz w:val="24"/>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color w:val="000000" w:themeColor="text1"/>
                <w:kern w:val="0"/>
                <w:sz w:val="24"/>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color w:val="000000" w:themeColor="text1"/>
                <w:kern w:val="0"/>
                <w:sz w:val="24"/>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color w:val="000000" w:themeColor="text1"/>
                <w:kern w:val="0"/>
                <w:sz w:val="24"/>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color w:val="000000" w:themeColor="text1"/>
                <w:kern w:val="0"/>
                <w:sz w:val="24"/>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color w:val="000000" w:themeColor="text1"/>
                <w:kern w:val="0"/>
                <w:sz w:val="24"/>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color w:val="000000" w:themeColor="text1"/>
                <w:kern w:val="0"/>
                <w:sz w:val="24"/>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事故灾难类</w:t>
            </w:r>
          </w:p>
          <w:p>
            <w:pPr>
              <w:keepNext w:val="0"/>
              <w:keepLines w:val="0"/>
              <w:pageBreakBefore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color w:val="000000" w:themeColor="text1"/>
                <w:kern w:val="0"/>
                <w:sz w:val="24"/>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color w:val="000000" w:themeColor="text1"/>
                <w:kern w:val="0"/>
                <w:sz w:val="24"/>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color w:val="000000" w:themeColor="text1"/>
                <w:kern w:val="0"/>
                <w:sz w:val="24"/>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color w:val="000000" w:themeColor="text1"/>
                <w:kern w:val="0"/>
                <w:sz w:val="24"/>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color w:val="000000" w:themeColor="text1"/>
                <w:kern w:val="0"/>
                <w:sz w:val="24"/>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color w:val="000000" w:themeColor="text1"/>
                <w:kern w:val="0"/>
                <w:sz w:val="24"/>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color w:val="000000" w:themeColor="text1"/>
                <w:kern w:val="0"/>
                <w:sz w:val="24"/>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color w:val="000000" w:themeColor="text1"/>
                <w:kern w:val="0"/>
                <w:sz w:val="24"/>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color w:val="000000" w:themeColor="text1"/>
                <w:kern w:val="0"/>
                <w:sz w:val="24"/>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color w:val="000000" w:themeColor="text1"/>
                <w:kern w:val="0"/>
                <w:sz w:val="24"/>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color w:val="000000" w:themeColor="text1"/>
                <w:kern w:val="0"/>
                <w:sz w:val="24"/>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color w:val="000000" w:themeColor="text1"/>
                <w:kern w:val="0"/>
                <w:sz w:val="24"/>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color w:val="000000" w:themeColor="text1"/>
                <w:kern w:val="0"/>
                <w:sz w:val="24"/>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color w:val="000000" w:themeColor="text1"/>
                <w:kern w:val="0"/>
                <w:sz w:val="24"/>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color w:val="000000" w:themeColor="text1"/>
                <w:kern w:val="0"/>
                <w:sz w:val="24"/>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color w:val="000000" w:themeColor="text1"/>
                <w:kern w:val="0"/>
                <w:sz w:val="24"/>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color w:val="000000" w:themeColor="text1"/>
                <w:kern w:val="0"/>
                <w:sz w:val="24"/>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color w:val="000000" w:themeColor="text1"/>
                <w:kern w:val="0"/>
                <w:sz w:val="24"/>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color w:val="000000" w:themeColor="text1"/>
                <w:kern w:val="0"/>
                <w:sz w:val="24"/>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color w:val="000000" w:themeColor="text1"/>
                <w:kern w:val="0"/>
                <w:sz w:val="24"/>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color w:val="000000" w:themeColor="text1"/>
                <w:kern w:val="0"/>
                <w:sz w:val="24"/>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color w:val="000000" w:themeColor="text1"/>
                <w:kern w:val="0"/>
                <w:sz w:val="24"/>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事故灾难类</w:t>
            </w:r>
          </w:p>
        </w:tc>
        <w:tc>
          <w:tcPr>
            <w:tcW w:w="3044"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生产安全事故</w:t>
            </w:r>
          </w:p>
        </w:tc>
        <w:tc>
          <w:tcPr>
            <w:tcW w:w="2805"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市应急管理局</w:t>
            </w:r>
          </w:p>
        </w:tc>
        <w:tc>
          <w:tcPr>
            <w:tcW w:w="2519"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延安市经济安全和安全生产委员会</w:t>
            </w:r>
          </w:p>
        </w:tc>
        <w:tc>
          <w:tcPr>
            <w:tcW w:w="4295"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延安市生产安全事故应急预案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649" w:type="dxa"/>
            <w:tcMar>
              <w:top w:w="12" w:type="dxa"/>
              <w:left w:w="12" w:type="dxa"/>
              <w:right w:w="12" w:type="dxa"/>
            </w:tcMar>
            <w:vAlign w:val="center"/>
          </w:tcPr>
          <w:p>
            <w:pPr>
              <w:keepNext w:val="0"/>
              <w:keepLines w:val="0"/>
              <w:pageBreakBefore w:val="0"/>
              <w:numPr>
                <w:ilvl w:val="0"/>
                <w:numId w:val="2"/>
              </w:numPr>
              <w:tabs>
                <w:tab w:val="left" w:pos="0"/>
              </w:tabs>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p>
        </w:tc>
        <w:tc>
          <w:tcPr>
            <w:tcW w:w="3044" w:type="dxa"/>
            <w:vMerge w:val="restart"/>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道路交通事件</w:t>
            </w:r>
          </w:p>
        </w:tc>
        <w:tc>
          <w:tcPr>
            <w:tcW w:w="2805" w:type="dxa"/>
            <w:vMerge w:val="restart"/>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市公安局</w:t>
            </w:r>
          </w:p>
        </w:tc>
        <w:tc>
          <w:tcPr>
            <w:tcW w:w="2519" w:type="dxa"/>
            <w:vMerge w:val="restart"/>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延安市道路交通安全</w:t>
            </w:r>
          </w:p>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生产专业委员会</w:t>
            </w:r>
          </w:p>
        </w:tc>
        <w:tc>
          <w:tcPr>
            <w:tcW w:w="4295"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延安市道路交通事故应急预案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649" w:type="dxa"/>
            <w:tcMar>
              <w:top w:w="12" w:type="dxa"/>
              <w:left w:w="12" w:type="dxa"/>
              <w:right w:w="12" w:type="dxa"/>
            </w:tcMar>
            <w:vAlign w:val="center"/>
          </w:tcPr>
          <w:p>
            <w:pPr>
              <w:keepNext w:val="0"/>
              <w:keepLines w:val="0"/>
              <w:pageBreakBefore w:val="0"/>
              <w:numPr>
                <w:ilvl w:val="0"/>
                <w:numId w:val="2"/>
              </w:numPr>
              <w:tabs>
                <w:tab w:val="left" w:pos="0"/>
              </w:tabs>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p>
        </w:tc>
        <w:tc>
          <w:tcPr>
            <w:tcW w:w="3044" w:type="dxa"/>
            <w:vMerge w:val="continue"/>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p>
        </w:tc>
        <w:tc>
          <w:tcPr>
            <w:tcW w:w="2805" w:type="dxa"/>
            <w:vMerge w:val="continue"/>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p>
        </w:tc>
        <w:tc>
          <w:tcPr>
            <w:tcW w:w="2519" w:type="dxa"/>
            <w:vMerge w:val="continue"/>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4295"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延安市公路交通突发事件应急预案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649" w:type="dxa"/>
            <w:tcMar>
              <w:top w:w="12" w:type="dxa"/>
              <w:left w:w="12" w:type="dxa"/>
              <w:right w:w="12" w:type="dxa"/>
            </w:tcMar>
            <w:vAlign w:val="center"/>
          </w:tcPr>
          <w:p>
            <w:pPr>
              <w:keepNext w:val="0"/>
              <w:keepLines w:val="0"/>
              <w:pageBreakBefore w:val="0"/>
              <w:numPr>
                <w:ilvl w:val="0"/>
                <w:numId w:val="2"/>
              </w:numPr>
              <w:tabs>
                <w:tab w:val="left" w:pos="0"/>
              </w:tabs>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p>
        </w:tc>
        <w:tc>
          <w:tcPr>
            <w:tcW w:w="3044"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水上交通事故</w:t>
            </w:r>
          </w:p>
        </w:tc>
        <w:tc>
          <w:tcPr>
            <w:tcW w:w="2805"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市交运局</w:t>
            </w:r>
          </w:p>
        </w:tc>
        <w:tc>
          <w:tcPr>
            <w:tcW w:w="2519"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宋体"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w:t>
            </w:r>
          </w:p>
        </w:tc>
        <w:tc>
          <w:tcPr>
            <w:tcW w:w="4295"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延安市水上交通突发事件应急预案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4" w:hRule="atLeast"/>
          <w:jc w:val="center"/>
        </w:trPr>
        <w:tc>
          <w:tcPr>
            <w:tcW w:w="649" w:type="dxa"/>
            <w:tcMar>
              <w:top w:w="12" w:type="dxa"/>
              <w:left w:w="12" w:type="dxa"/>
              <w:right w:w="12" w:type="dxa"/>
            </w:tcMar>
            <w:vAlign w:val="center"/>
          </w:tcPr>
          <w:p>
            <w:pPr>
              <w:keepNext w:val="0"/>
              <w:keepLines w:val="0"/>
              <w:pageBreakBefore w:val="0"/>
              <w:numPr>
                <w:ilvl w:val="0"/>
                <w:numId w:val="2"/>
              </w:numPr>
              <w:tabs>
                <w:tab w:val="left" w:pos="0"/>
              </w:tabs>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p>
        </w:tc>
        <w:tc>
          <w:tcPr>
            <w:tcW w:w="3044"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民用航空器事故</w:t>
            </w:r>
          </w:p>
        </w:tc>
        <w:tc>
          <w:tcPr>
            <w:tcW w:w="2805"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市发改委、西部机场集团</w:t>
            </w:r>
          </w:p>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延安机场有限公司</w:t>
            </w:r>
          </w:p>
        </w:tc>
        <w:tc>
          <w:tcPr>
            <w:tcW w:w="2519"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w:t>
            </w:r>
          </w:p>
        </w:tc>
        <w:tc>
          <w:tcPr>
            <w:tcW w:w="4295"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ascii="仿宋_GB2312" w:hAnsi="仿宋_GB2312" w:eastAsia="仿宋_GB2312" w:cs="仿宋_GB2312"/>
                <w:b/>
                <w:bCs/>
                <w:color w:val="000000" w:themeColor="text1"/>
                <w:kern w:val="0"/>
                <w:sz w:val="24"/>
                <w14:textFill>
                  <w14:solidFill>
                    <w14:schemeClr w14:val="tx1"/>
                  </w14:solidFill>
                </w14:textFill>
              </w:rPr>
              <w:t>延安市处置航空器飞行事故应急预案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4" w:hRule="atLeast"/>
          <w:jc w:val="center"/>
        </w:trPr>
        <w:tc>
          <w:tcPr>
            <w:tcW w:w="649" w:type="dxa"/>
            <w:tcMar>
              <w:top w:w="12" w:type="dxa"/>
              <w:left w:w="12" w:type="dxa"/>
              <w:right w:w="12" w:type="dxa"/>
            </w:tcMar>
            <w:vAlign w:val="center"/>
          </w:tcPr>
          <w:p>
            <w:pPr>
              <w:keepNext w:val="0"/>
              <w:keepLines w:val="0"/>
              <w:pageBreakBefore w:val="0"/>
              <w:numPr>
                <w:ilvl w:val="0"/>
                <w:numId w:val="2"/>
              </w:numPr>
              <w:tabs>
                <w:tab w:val="left" w:pos="0"/>
              </w:tabs>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p>
        </w:tc>
        <w:tc>
          <w:tcPr>
            <w:tcW w:w="3044"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火灾事故</w:t>
            </w:r>
          </w:p>
        </w:tc>
        <w:tc>
          <w:tcPr>
            <w:tcW w:w="2805"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市消防救援支队</w:t>
            </w:r>
          </w:p>
        </w:tc>
        <w:tc>
          <w:tcPr>
            <w:tcW w:w="2519"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延安市消防安全生产</w:t>
            </w:r>
          </w:p>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专业委员会</w:t>
            </w:r>
          </w:p>
        </w:tc>
        <w:tc>
          <w:tcPr>
            <w:tcW w:w="4295"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延安市火灾事故应急预案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649" w:type="dxa"/>
            <w:tcMar>
              <w:top w:w="12" w:type="dxa"/>
              <w:left w:w="12" w:type="dxa"/>
              <w:right w:w="12" w:type="dxa"/>
            </w:tcMar>
            <w:vAlign w:val="center"/>
          </w:tcPr>
          <w:p>
            <w:pPr>
              <w:keepNext w:val="0"/>
              <w:keepLines w:val="0"/>
              <w:pageBreakBefore w:val="0"/>
              <w:numPr>
                <w:ilvl w:val="0"/>
                <w:numId w:val="2"/>
              </w:numPr>
              <w:tabs>
                <w:tab w:val="left" w:pos="0"/>
              </w:tabs>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p>
        </w:tc>
        <w:tc>
          <w:tcPr>
            <w:tcW w:w="3044"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建设工程施工安全事故</w:t>
            </w:r>
          </w:p>
        </w:tc>
        <w:tc>
          <w:tcPr>
            <w:tcW w:w="2805"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市住建局</w:t>
            </w:r>
          </w:p>
        </w:tc>
        <w:tc>
          <w:tcPr>
            <w:tcW w:w="2519"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延安市建设工程安全</w:t>
            </w:r>
          </w:p>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生产专业委员会</w:t>
            </w:r>
          </w:p>
        </w:tc>
        <w:tc>
          <w:tcPr>
            <w:tcW w:w="4295"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延安市建设工程施工安全事故应急预案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649" w:type="dxa"/>
            <w:tcMar>
              <w:top w:w="12" w:type="dxa"/>
              <w:left w:w="12" w:type="dxa"/>
              <w:right w:w="12" w:type="dxa"/>
            </w:tcMar>
            <w:vAlign w:val="center"/>
          </w:tcPr>
          <w:p>
            <w:pPr>
              <w:keepNext w:val="0"/>
              <w:keepLines w:val="0"/>
              <w:pageBreakBefore w:val="0"/>
              <w:numPr>
                <w:ilvl w:val="0"/>
                <w:numId w:val="2"/>
              </w:numPr>
              <w:tabs>
                <w:tab w:val="left" w:pos="0"/>
              </w:tabs>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p>
        </w:tc>
        <w:tc>
          <w:tcPr>
            <w:tcW w:w="3044"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城镇燃气事故</w:t>
            </w:r>
          </w:p>
        </w:tc>
        <w:tc>
          <w:tcPr>
            <w:tcW w:w="2805"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市城管执法局</w:t>
            </w:r>
          </w:p>
        </w:tc>
        <w:tc>
          <w:tcPr>
            <w:tcW w:w="2519"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延安市城市运行安全</w:t>
            </w:r>
          </w:p>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生产专业委员会</w:t>
            </w:r>
          </w:p>
        </w:tc>
        <w:tc>
          <w:tcPr>
            <w:tcW w:w="4295"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延安市城镇燃气事故应急预案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649" w:type="dxa"/>
            <w:tcMar>
              <w:top w:w="12" w:type="dxa"/>
              <w:left w:w="12" w:type="dxa"/>
              <w:right w:w="12" w:type="dxa"/>
            </w:tcMar>
            <w:vAlign w:val="center"/>
          </w:tcPr>
          <w:p>
            <w:pPr>
              <w:keepNext w:val="0"/>
              <w:keepLines w:val="0"/>
              <w:pageBreakBefore w:val="0"/>
              <w:numPr>
                <w:ilvl w:val="0"/>
                <w:numId w:val="2"/>
              </w:numPr>
              <w:tabs>
                <w:tab w:val="left" w:pos="0"/>
              </w:tabs>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p>
        </w:tc>
        <w:tc>
          <w:tcPr>
            <w:tcW w:w="3044"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煤矿事故</w:t>
            </w:r>
          </w:p>
        </w:tc>
        <w:tc>
          <w:tcPr>
            <w:tcW w:w="2805"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市应急管理局</w:t>
            </w:r>
          </w:p>
        </w:tc>
        <w:tc>
          <w:tcPr>
            <w:tcW w:w="2519"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延安市煤矿安全生产</w:t>
            </w:r>
          </w:p>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专业委员会</w:t>
            </w:r>
          </w:p>
        </w:tc>
        <w:tc>
          <w:tcPr>
            <w:tcW w:w="4295"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延安市煤矿较大安全事故灾难应急预案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649" w:type="dxa"/>
            <w:tcMar>
              <w:top w:w="12" w:type="dxa"/>
              <w:left w:w="12" w:type="dxa"/>
              <w:right w:w="12" w:type="dxa"/>
            </w:tcMar>
            <w:vAlign w:val="center"/>
          </w:tcPr>
          <w:p>
            <w:pPr>
              <w:keepNext w:val="0"/>
              <w:keepLines w:val="0"/>
              <w:pageBreakBefore w:val="0"/>
              <w:numPr>
                <w:ilvl w:val="0"/>
                <w:numId w:val="2"/>
              </w:numPr>
              <w:tabs>
                <w:tab w:val="left" w:pos="0"/>
              </w:tabs>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p>
        </w:tc>
        <w:tc>
          <w:tcPr>
            <w:tcW w:w="3044"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危险化学品事故</w:t>
            </w:r>
          </w:p>
        </w:tc>
        <w:tc>
          <w:tcPr>
            <w:tcW w:w="2805"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市应急管理局</w:t>
            </w:r>
          </w:p>
        </w:tc>
        <w:tc>
          <w:tcPr>
            <w:tcW w:w="2519"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延安市危险化学品安全生产专业委员会</w:t>
            </w:r>
          </w:p>
        </w:tc>
        <w:tc>
          <w:tcPr>
            <w:tcW w:w="4295"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延安市危险化学品事故应急预案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649" w:type="dxa"/>
            <w:tcMar>
              <w:top w:w="12" w:type="dxa"/>
              <w:left w:w="12" w:type="dxa"/>
              <w:right w:w="12" w:type="dxa"/>
            </w:tcMar>
            <w:vAlign w:val="center"/>
          </w:tcPr>
          <w:p>
            <w:pPr>
              <w:keepNext w:val="0"/>
              <w:keepLines w:val="0"/>
              <w:pageBreakBefore w:val="0"/>
              <w:numPr>
                <w:ilvl w:val="0"/>
                <w:numId w:val="2"/>
              </w:numPr>
              <w:tabs>
                <w:tab w:val="left" w:pos="0"/>
              </w:tabs>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p>
        </w:tc>
        <w:tc>
          <w:tcPr>
            <w:tcW w:w="3044"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非煤矿山事故</w:t>
            </w:r>
          </w:p>
        </w:tc>
        <w:tc>
          <w:tcPr>
            <w:tcW w:w="2805"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市应急管理局</w:t>
            </w:r>
          </w:p>
        </w:tc>
        <w:tc>
          <w:tcPr>
            <w:tcW w:w="2519"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延安市非煤矿山安全</w:t>
            </w:r>
          </w:p>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生产专业委员会</w:t>
            </w:r>
          </w:p>
        </w:tc>
        <w:tc>
          <w:tcPr>
            <w:tcW w:w="4295"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延安市非煤矿山事故应急预案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649" w:type="dxa"/>
            <w:tcMar>
              <w:top w:w="12" w:type="dxa"/>
              <w:left w:w="12" w:type="dxa"/>
              <w:right w:w="12" w:type="dxa"/>
            </w:tcMar>
            <w:vAlign w:val="center"/>
          </w:tcPr>
          <w:p>
            <w:pPr>
              <w:keepNext w:val="0"/>
              <w:keepLines w:val="0"/>
              <w:pageBreakBefore w:val="0"/>
              <w:numPr>
                <w:ilvl w:val="0"/>
                <w:numId w:val="2"/>
              </w:numPr>
              <w:tabs>
                <w:tab w:val="left" w:pos="0"/>
              </w:tabs>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p>
        </w:tc>
        <w:tc>
          <w:tcPr>
            <w:tcW w:w="3044"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工业事故</w:t>
            </w:r>
          </w:p>
        </w:tc>
        <w:tc>
          <w:tcPr>
            <w:tcW w:w="2805"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市应急管理局</w:t>
            </w:r>
          </w:p>
        </w:tc>
        <w:tc>
          <w:tcPr>
            <w:tcW w:w="2519" w:type="dxa"/>
            <w:tcMar>
              <w:top w:w="12" w:type="dxa"/>
              <w:left w:w="12" w:type="dxa"/>
              <w:right w:w="12" w:type="dxa"/>
            </w:tcMar>
            <w:vAlign w:val="center"/>
          </w:tcPr>
          <w:p>
            <w:pPr>
              <w:pStyle w:val="13"/>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240" w:lineRule="auto"/>
              <w:jc w:val="center"/>
              <w:outlineLvl w:val="2"/>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kern w:val="2"/>
                <w14:textFill>
                  <w14:solidFill>
                    <w14:schemeClr w14:val="tx1"/>
                  </w14:solidFill>
                </w14:textFill>
              </w:rPr>
              <w:t>延安市经济安全和安全生产委员会</w:t>
            </w:r>
          </w:p>
        </w:tc>
        <w:tc>
          <w:tcPr>
            <w:tcW w:w="4295"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延安市工业生产安全事故应急预案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649" w:type="dxa"/>
            <w:tcMar>
              <w:top w:w="12" w:type="dxa"/>
              <w:left w:w="12" w:type="dxa"/>
              <w:right w:w="12" w:type="dxa"/>
            </w:tcMar>
            <w:vAlign w:val="center"/>
          </w:tcPr>
          <w:p>
            <w:pPr>
              <w:keepNext w:val="0"/>
              <w:keepLines w:val="0"/>
              <w:pageBreakBefore w:val="0"/>
              <w:numPr>
                <w:ilvl w:val="0"/>
                <w:numId w:val="2"/>
              </w:numPr>
              <w:tabs>
                <w:tab w:val="left" w:pos="0"/>
              </w:tabs>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p>
        </w:tc>
        <w:tc>
          <w:tcPr>
            <w:tcW w:w="3044"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旅游事故</w:t>
            </w:r>
          </w:p>
        </w:tc>
        <w:tc>
          <w:tcPr>
            <w:tcW w:w="2805"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市文旅局</w:t>
            </w:r>
          </w:p>
        </w:tc>
        <w:tc>
          <w:tcPr>
            <w:tcW w:w="2519"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延安市文化旅游安全</w:t>
            </w:r>
          </w:p>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生产专业委员会</w:t>
            </w:r>
          </w:p>
        </w:tc>
        <w:tc>
          <w:tcPr>
            <w:tcW w:w="4295"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延安市旅游突发事件应急预案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4" w:hRule="atLeast"/>
          <w:jc w:val="center"/>
        </w:trPr>
        <w:tc>
          <w:tcPr>
            <w:tcW w:w="649" w:type="dxa"/>
            <w:tcMar>
              <w:top w:w="12" w:type="dxa"/>
              <w:left w:w="12" w:type="dxa"/>
              <w:right w:w="12" w:type="dxa"/>
            </w:tcMar>
            <w:vAlign w:val="center"/>
          </w:tcPr>
          <w:p>
            <w:pPr>
              <w:keepNext w:val="0"/>
              <w:keepLines w:val="0"/>
              <w:pageBreakBefore w:val="0"/>
              <w:numPr>
                <w:ilvl w:val="0"/>
                <w:numId w:val="2"/>
              </w:numPr>
              <w:tabs>
                <w:tab w:val="left" w:pos="0"/>
              </w:tabs>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p>
        </w:tc>
        <w:tc>
          <w:tcPr>
            <w:tcW w:w="3044"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特种设备事故</w:t>
            </w:r>
          </w:p>
        </w:tc>
        <w:tc>
          <w:tcPr>
            <w:tcW w:w="2805"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市市场监管局</w:t>
            </w:r>
          </w:p>
        </w:tc>
        <w:tc>
          <w:tcPr>
            <w:tcW w:w="2519"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延安市特种设备安全</w:t>
            </w:r>
          </w:p>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生产专业委员会</w:t>
            </w:r>
          </w:p>
        </w:tc>
        <w:tc>
          <w:tcPr>
            <w:tcW w:w="4295"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延安市特种设备事故应急预案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atLeast"/>
          <w:jc w:val="center"/>
        </w:trPr>
        <w:tc>
          <w:tcPr>
            <w:tcW w:w="649" w:type="dxa"/>
            <w:tcMar>
              <w:top w:w="12" w:type="dxa"/>
              <w:left w:w="12" w:type="dxa"/>
              <w:right w:w="12" w:type="dxa"/>
            </w:tcMar>
            <w:vAlign w:val="center"/>
          </w:tcPr>
          <w:p>
            <w:pPr>
              <w:keepNext w:val="0"/>
              <w:keepLines w:val="0"/>
              <w:pageBreakBefore w:val="0"/>
              <w:numPr>
                <w:ilvl w:val="0"/>
                <w:numId w:val="2"/>
              </w:numPr>
              <w:tabs>
                <w:tab w:val="left" w:pos="0"/>
              </w:tabs>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p>
        </w:tc>
        <w:tc>
          <w:tcPr>
            <w:tcW w:w="3044"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校园事故</w:t>
            </w:r>
          </w:p>
        </w:tc>
        <w:tc>
          <w:tcPr>
            <w:tcW w:w="2805"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市教育局</w:t>
            </w:r>
          </w:p>
        </w:tc>
        <w:tc>
          <w:tcPr>
            <w:tcW w:w="2519"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延安市校园安全生产</w:t>
            </w:r>
          </w:p>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专业委员会</w:t>
            </w:r>
          </w:p>
        </w:tc>
        <w:tc>
          <w:tcPr>
            <w:tcW w:w="4295"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延安市校园突发事件应急预案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649" w:type="dxa"/>
            <w:tcMar>
              <w:top w:w="12" w:type="dxa"/>
              <w:left w:w="12" w:type="dxa"/>
              <w:right w:w="12" w:type="dxa"/>
            </w:tcMar>
            <w:vAlign w:val="center"/>
          </w:tcPr>
          <w:p>
            <w:pPr>
              <w:keepNext w:val="0"/>
              <w:keepLines w:val="0"/>
              <w:pageBreakBefore w:val="0"/>
              <w:numPr>
                <w:ilvl w:val="0"/>
                <w:numId w:val="2"/>
              </w:numPr>
              <w:tabs>
                <w:tab w:val="left" w:pos="0"/>
              </w:tabs>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p>
        </w:tc>
        <w:tc>
          <w:tcPr>
            <w:tcW w:w="3044" w:type="dxa"/>
            <w:vMerge w:val="restart"/>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油气长输管线和电力事故</w:t>
            </w:r>
          </w:p>
        </w:tc>
        <w:tc>
          <w:tcPr>
            <w:tcW w:w="2805"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市发改委</w:t>
            </w:r>
          </w:p>
        </w:tc>
        <w:tc>
          <w:tcPr>
            <w:tcW w:w="2519" w:type="dxa"/>
            <w:vMerge w:val="restart"/>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延安市石油天然气长输</w:t>
            </w:r>
            <w:r>
              <w:rPr>
                <w:rFonts w:hint="eastAsia" w:ascii="仿宋_GB2312" w:hAnsi="仿宋_GB2312" w:eastAsia="仿宋_GB2312" w:cs="仿宋_GB2312"/>
                <w:b/>
                <w:bCs/>
                <w:color w:val="000000" w:themeColor="text1"/>
                <w:spacing w:val="-8"/>
                <w:sz w:val="24"/>
                <w14:textFill>
                  <w14:solidFill>
                    <w14:schemeClr w14:val="tx1"/>
                  </w14:solidFill>
                </w14:textFill>
              </w:rPr>
              <w:t>管线和电力安全生产专业</w:t>
            </w:r>
            <w:r>
              <w:rPr>
                <w:rFonts w:hint="eastAsia" w:ascii="仿宋_GB2312" w:hAnsi="仿宋_GB2312" w:eastAsia="仿宋_GB2312" w:cs="仿宋_GB2312"/>
                <w:b/>
                <w:bCs/>
                <w:color w:val="000000" w:themeColor="text1"/>
                <w:sz w:val="24"/>
                <w14:textFill>
                  <w14:solidFill>
                    <w14:schemeClr w14:val="tx1"/>
                  </w14:solidFill>
                </w14:textFill>
              </w:rPr>
              <w:t>委员会</w:t>
            </w:r>
          </w:p>
        </w:tc>
        <w:tc>
          <w:tcPr>
            <w:tcW w:w="4295"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延</w:t>
            </w:r>
            <w:r>
              <w:rPr>
                <w:rFonts w:hint="eastAsia" w:ascii="仿宋_GB2312" w:hAnsi="仿宋_GB2312" w:eastAsia="仿宋_GB2312" w:cs="仿宋_GB2312"/>
                <w:b/>
                <w:bCs/>
                <w:color w:val="000000" w:themeColor="text1"/>
                <w:spacing w:val="-4"/>
                <w:kern w:val="0"/>
                <w:sz w:val="24"/>
                <w14:textFill>
                  <w14:solidFill>
                    <w14:schemeClr w14:val="tx1"/>
                  </w14:solidFill>
                </w14:textFill>
              </w:rPr>
              <w:t>安市石油天然气长输管道事故应急预案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9" w:hRule="atLeast"/>
          <w:jc w:val="center"/>
        </w:trPr>
        <w:tc>
          <w:tcPr>
            <w:tcW w:w="649" w:type="dxa"/>
            <w:tcMar>
              <w:top w:w="12" w:type="dxa"/>
              <w:left w:w="12" w:type="dxa"/>
              <w:right w:w="12" w:type="dxa"/>
            </w:tcMar>
            <w:vAlign w:val="center"/>
          </w:tcPr>
          <w:p>
            <w:pPr>
              <w:keepNext w:val="0"/>
              <w:keepLines w:val="0"/>
              <w:pageBreakBefore w:val="0"/>
              <w:numPr>
                <w:ilvl w:val="0"/>
                <w:numId w:val="2"/>
              </w:numPr>
              <w:tabs>
                <w:tab w:val="left" w:pos="0"/>
              </w:tabs>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p>
        </w:tc>
        <w:tc>
          <w:tcPr>
            <w:tcW w:w="3044" w:type="dxa"/>
            <w:vMerge w:val="continue"/>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p>
        </w:tc>
        <w:tc>
          <w:tcPr>
            <w:tcW w:w="2805"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市发改委、国网陕西电力</w:t>
            </w:r>
          </w:p>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有限公司延安供电公司</w:t>
            </w:r>
          </w:p>
        </w:tc>
        <w:tc>
          <w:tcPr>
            <w:tcW w:w="2519" w:type="dxa"/>
            <w:vMerge w:val="continue"/>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4295"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延安市大面积停电事件应急预案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4" w:hRule="atLeast"/>
          <w:jc w:val="center"/>
        </w:trPr>
        <w:tc>
          <w:tcPr>
            <w:tcW w:w="649" w:type="dxa"/>
            <w:tcMar>
              <w:top w:w="12" w:type="dxa"/>
              <w:left w:w="12" w:type="dxa"/>
              <w:right w:w="12" w:type="dxa"/>
            </w:tcMar>
            <w:vAlign w:val="center"/>
          </w:tcPr>
          <w:p>
            <w:pPr>
              <w:keepNext w:val="0"/>
              <w:keepLines w:val="0"/>
              <w:pageBreakBefore w:val="0"/>
              <w:numPr>
                <w:ilvl w:val="0"/>
                <w:numId w:val="2"/>
              </w:numPr>
              <w:tabs>
                <w:tab w:val="left" w:pos="0"/>
              </w:tabs>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p>
        </w:tc>
        <w:tc>
          <w:tcPr>
            <w:tcW w:w="3044"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民爆物品事故</w:t>
            </w:r>
          </w:p>
        </w:tc>
        <w:tc>
          <w:tcPr>
            <w:tcW w:w="2805"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市公安局</w:t>
            </w:r>
          </w:p>
        </w:tc>
        <w:tc>
          <w:tcPr>
            <w:tcW w:w="2519"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延安市民爆物品安全</w:t>
            </w:r>
          </w:p>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生产专业委员会</w:t>
            </w:r>
          </w:p>
        </w:tc>
        <w:tc>
          <w:tcPr>
            <w:tcW w:w="4295"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延安市民爆行业生产安全事故应急预案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atLeast"/>
          <w:jc w:val="center"/>
        </w:trPr>
        <w:tc>
          <w:tcPr>
            <w:tcW w:w="649" w:type="dxa"/>
            <w:tcMar>
              <w:top w:w="12" w:type="dxa"/>
              <w:left w:w="12" w:type="dxa"/>
              <w:right w:w="12" w:type="dxa"/>
            </w:tcMar>
            <w:vAlign w:val="center"/>
          </w:tcPr>
          <w:p>
            <w:pPr>
              <w:keepNext w:val="0"/>
              <w:keepLines w:val="0"/>
              <w:pageBreakBefore w:val="0"/>
              <w:numPr>
                <w:ilvl w:val="0"/>
                <w:numId w:val="2"/>
              </w:numPr>
              <w:tabs>
                <w:tab w:val="left" w:pos="0"/>
              </w:tabs>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p>
        </w:tc>
        <w:tc>
          <w:tcPr>
            <w:tcW w:w="3044"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通信网络事故</w:t>
            </w:r>
          </w:p>
        </w:tc>
        <w:tc>
          <w:tcPr>
            <w:tcW w:w="2805"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市工信局</w:t>
            </w:r>
          </w:p>
        </w:tc>
        <w:tc>
          <w:tcPr>
            <w:tcW w:w="2519"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延安市工业和信息安全生产专业委员会</w:t>
            </w:r>
          </w:p>
        </w:tc>
        <w:tc>
          <w:tcPr>
            <w:tcW w:w="4295"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延安市通信保障应急预案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649" w:type="dxa"/>
            <w:tcMar>
              <w:top w:w="12" w:type="dxa"/>
              <w:left w:w="12" w:type="dxa"/>
              <w:right w:w="12" w:type="dxa"/>
            </w:tcMar>
            <w:vAlign w:val="center"/>
          </w:tcPr>
          <w:p>
            <w:pPr>
              <w:keepNext w:val="0"/>
              <w:keepLines w:val="0"/>
              <w:pageBreakBefore w:val="0"/>
              <w:numPr>
                <w:ilvl w:val="0"/>
                <w:numId w:val="2"/>
              </w:numPr>
              <w:tabs>
                <w:tab w:val="left" w:pos="0"/>
              </w:tabs>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p>
        </w:tc>
        <w:tc>
          <w:tcPr>
            <w:tcW w:w="3044"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辐射事故</w:t>
            </w:r>
          </w:p>
        </w:tc>
        <w:tc>
          <w:tcPr>
            <w:tcW w:w="2805"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市生态环境局</w:t>
            </w:r>
          </w:p>
        </w:tc>
        <w:tc>
          <w:tcPr>
            <w:tcW w:w="2519"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w:t>
            </w:r>
          </w:p>
        </w:tc>
        <w:tc>
          <w:tcPr>
            <w:tcW w:w="4295"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延安市辐射事故应急预案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649" w:type="dxa"/>
            <w:tcMar>
              <w:top w:w="12" w:type="dxa"/>
              <w:left w:w="12" w:type="dxa"/>
              <w:right w:w="12" w:type="dxa"/>
            </w:tcMar>
            <w:vAlign w:val="center"/>
          </w:tcPr>
          <w:p>
            <w:pPr>
              <w:keepNext w:val="0"/>
              <w:keepLines w:val="0"/>
              <w:pageBreakBefore w:val="0"/>
              <w:numPr>
                <w:ilvl w:val="0"/>
                <w:numId w:val="2"/>
              </w:numPr>
              <w:tabs>
                <w:tab w:val="left" w:pos="0"/>
              </w:tabs>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仿宋_GB2312" w:eastAsia="仿宋_GB2312" w:cs="仿宋_GB2312"/>
                <w:b/>
                <w:bCs/>
                <w:color w:val="000000" w:themeColor="text1"/>
                <w:sz w:val="24"/>
                <w14:textFill>
                  <w14:solidFill>
                    <w14:schemeClr w14:val="tx1"/>
                  </w14:solidFill>
                </w14:textFill>
              </w:rPr>
            </w:pPr>
          </w:p>
        </w:tc>
        <w:tc>
          <w:tcPr>
            <w:tcW w:w="3044" w:type="dxa"/>
            <w:vMerge w:val="restart"/>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突发环境事件和重污染天气</w:t>
            </w:r>
          </w:p>
        </w:tc>
        <w:tc>
          <w:tcPr>
            <w:tcW w:w="2805" w:type="dxa"/>
            <w:vMerge w:val="restart"/>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市生态环境局</w:t>
            </w:r>
          </w:p>
        </w:tc>
        <w:tc>
          <w:tcPr>
            <w:tcW w:w="2519"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延安市突发环境事件</w:t>
            </w:r>
          </w:p>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应急指挥部</w:t>
            </w:r>
          </w:p>
        </w:tc>
        <w:tc>
          <w:tcPr>
            <w:tcW w:w="4295"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延安市突发环境事件应急预案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9" w:hRule="atLeast"/>
          <w:jc w:val="center"/>
        </w:trPr>
        <w:tc>
          <w:tcPr>
            <w:tcW w:w="649" w:type="dxa"/>
            <w:tcMar>
              <w:top w:w="12" w:type="dxa"/>
              <w:left w:w="12" w:type="dxa"/>
              <w:right w:w="12" w:type="dxa"/>
            </w:tcMar>
            <w:vAlign w:val="center"/>
          </w:tcPr>
          <w:p>
            <w:pPr>
              <w:keepNext w:val="0"/>
              <w:keepLines w:val="0"/>
              <w:pageBreakBefore w:val="0"/>
              <w:numPr>
                <w:ilvl w:val="0"/>
                <w:numId w:val="2"/>
              </w:numPr>
              <w:tabs>
                <w:tab w:val="left" w:pos="0"/>
              </w:tabs>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仿宋_GB2312" w:eastAsia="仿宋_GB2312" w:cs="仿宋_GB2312"/>
                <w:b/>
                <w:bCs/>
                <w:color w:val="000000" w:themeColor="text1"/>
                <w:sz w:val="24"/>
                <w14:textFill>
                  <w14:solidFill>
                    <w14:schemeClr w14:val="tx1"/>
                  </w14:solidFill>
                </w14:textFill>
              </w:rPr>
            </w:pPr>
          </w:p>
        </w:tc>
        <w:tc>
          <w:tcPr>
            <w:tcW w:w="3044" w:type="dxa"/>
            <w:vMerge w:val="continue"/>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p>
        </w:tc>
        <w:tc>
          <w:tcPr>
            <w:tcW w:w="2805" w:type="dxa"/>
            <w:vMerge w:val="continue"/>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2519"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延安市重污染天气应急指挥部</w:t>
            </w:r>
          </w:p>
        </w:tc>
        <w:tc>
          <w:tcPr>
            <w:tcW w:w="4295"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延安市重污染天气应急预案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649" w:type="dxa"/>
            <w:tcMar>
              <w:top w:w="12" w:type="dxa"/>
              <w:left w:w="12" w:type="dxa"/>
              <w:right w:w="12" w:type="dxa"/>
            </w:tcMar>
            <w:vAlign w:val="center"/>
          </w:tcPr>
          <w:p>
            <w:pPr>
              <w:keepNext w:val="0"/>
              <w:keepLines w:val="0"/>
              <w:pageBreakBefore w:val="0"/>
              <w:numPr>
                <w:ilvl w:val="0"/>
                <w:numId w:val="2"/>
              </w:numPr>
              <w:tabs>
                <w:tab w:val="left" w:pos="0"/>
              </w:tabs>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仿宋_GB2312" w:eastAsia="仿宋_GB2312" w:cs="仿宋_GB2312"/>
                <w:b/>
                <w:bCs/>
                <w:color w:val="000000" w:themeColor="text1"/>
                <w:sz w:val="24"/>
                <w14:textFill>
                  <w14:solidFill>
                    <w14:schemeClr w14:val="tx1"/>
                  </w14:solidFill>
                </w14:textFill>
              </w:rPr>
            </w:pPr>
          </w:p>
        </w:tc>
        <w:tc>
          <w:tcPr>
            <w:tcW w:w="3044" w:type="dxa"/>
            <w:vMerge w:val="continue"/>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p>
        </w:tc>
        <w:tc>
          <w:tcPr>
            <w:tcW w:w="2805"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市林业局</w:t>
            </w:r>
          </w:p>
        </w:tc>
        <w:tc>
          <w:tcPr>
            <w:tcW w:w="2519"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w:t>
            </w:r>
          </w:p>
        </w:tc>
        <w:tc>
          <w:tcPr>
            <w:tcW w:w="4295"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延安市林业生态破坏事故应急预案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2" w:hRule="atLeast"/>
          <w:jc w:val="center"/>
        </w:trPr>
        <w:tc>
          <w:tcPr>
            <w:tcW w:w="649" w:type="dxa"/>
            <w:tcMar>
              <w:top w:w="12" w:type="dxa"/>
              <w:left w:w="12" w:type="dxa"/>
              <w:right w:w="12" w:type="dxa"/>
            </w:tcMar>
            <w:vAlign w:val="center"/>
          </w:tcPr>
          <w:p>
            <w:pPr>
              <w:keepNext w:val="0"/>
              <w:keepLines w:val="0"/>
              <w:pageBreakBefore w:val="0"/>
              <w:numPr>
                <w:ilvl w:val="0"/>
                <w:numId w:val="2"/>
              </w:numPr>
              <w:tabs>
                <w:tab w:val="left" w:pos="0"/>
              </w:tabs>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仿宋_GB2312" w:eastAsia="仿宋_GB2312" w:cs="仿宋_GB2312"/>
                <w:b/>
                <w:bCs/>
                <w:color w:val="000000" w:themeColor="text1"/>
                <w:sz w:val="24"/>
                <w14:textFill>
                  <w14:solidFill>
                    <w14:schemeClr w14:val="tx1"/>
                  </w14:solidFill>
                </w14:textFill>
              </w:rPr>
            </w:pPr>
          </w:p>
        </w:tc>
        <w:tc>
          <w:tcPr>
            <w:tcW w:w="3044"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文物安全突发事件</w:t>
            </w:r>
          </w:p>
        </w:tc>
        <w:tc>
          <w:tcPr>
            <w:tcW w:w="2805"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延安革命纪念地管理局</w:t>
            </w:r>
          </w:p>
        </w:tc>
        <w:tc>
          <w:tcPr>
            <w:tcW w:w="2519"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延安市文化旅游安全</w:t>
            </w:r>
          </w:p>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生产专业委员会</w:t>
            </w:r>
          </w:p>
        </w:tc>
        <w:tc>
          <w:tcPr>
            <w:tcW w:w="4295" w:type="dxa"/>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延安市文物安全突发事件应急预案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649" w:type="dxa"/>
            <w:tcMar>
              <w:top w:w="12" w:type="dxa"/>
              <w:left w:w="12" w:type="dxa"/>
              <w:right w:w="12" w:type="dxa"/>
            </w:tcMar>
            <w:vAlign w:val="center"/>
          </w:tcPr>
          <w:p>
            <w:pPr>
              <w:numPr>
                <w:ilvl w:val="0"/>
                <w:numId w:val="2"/>
              </w:numPr>
              <w:tabs>
                <w:tab w:val="left" w:pos="0"/>
              </w:tabs>
              <w:spacing w:line="40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restart"/>
            <w:tcMar>
              <w:top w:w="12" w:type="dxa"/>
              <w:left w:w="12" w:type="dxa"/>
              <w:right w:w="12" w:type="dxa"/>
            </w:tcMar>
            <w:vAlign w:val="center"/>
          </w:tcPr>
          <w:p>
            <w:pPr>
              <w:spacing w:line="40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自然灾害类</w:t>
            </w:r>
          </w:p>
        </w:tc>
        <w:tc>
          <w:tcPr>
            <w:tcW w:w="3044"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val="0"/>
              <w:spacing w:line="276"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气象灾害</w:t>
            </w:r>
          </w:p>
        </w:tc>
        <w:tc>
          <w:tcPr>
            <w:tcW w:w="280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val="0"/>
              <w:spacing w:line="276"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市气象局</w:t>
            </w:r>
          </w:p>
        </w:tc>
        <w:tc>
          <w:tcPr>
            <w:tcW w:w="2519"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center"/>
              <w:rPr>
                <w:rFonts w:hint="eastAsia"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延安市气象灾害应急</w:t>
            </w:r>
          </w:p>
          <w:p>
            <w:pPr>
              <w:keepNext w:val="0"/>
              <w:keepLines w:val="0"/>
              <w:pageBreakBefore w:val="0"/>
              <w:widowControl w:val="0"/>
              <w:kinsoku/>
              <w:wordWrap/>
              <w:overflowPunct/>
              <w:topLinePunct w:val="0"/>
              <w:autoSpaceDE/>
              <w:autoSpaceDN/>
              <w:bidi w:val="0"/>
              <w:adjustRightInd/>
              <w:snapToGrid w:val="0"/>
              <w:spacing w:line="26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指挥部</w:t>
            </w:r>
          </w:p>
        </w:tc>
        <w:tc>
          <w:tcPr>
            <w:tcW w:w="429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延安市气象灾害应急预案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649" w:type="dxa"/>
            <w:tcMar>
              <w:top w:w="12" w:type="dxa"/>
              <w:left w:w="12" w:type="dxa"/>
              <w:right w:w="12" w:type="dxa"/>
            </w:tcMar>
            <w:vAlign w:val="center"/>
          </w:tcPr>
          <w:p>
            <w:pPr>
              <w:numPr>
                <w:ilvl w:val="0"/>
                <w:numId w:val="2"/>
              </w:numPr>
              <w:tabs>
                <w:tab w:val="left" w:pos="0"/>
              </w:tabs>
              <w:spacing w:line="40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c>
          <w:tcPr>
            <w:tcW w:w="3044"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val="0"/>
              <w:spacing w:line="276"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自然灾害救助</w:t>
            </w:r>
          </w:p>
        </w:tc>
        <w:tc>
          <w:tcPr>
            <w:tcW w:w="280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val="0"/>
              <w:spacing w:line="276"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市应急管理局</w:t>
            </w:r>
          </w:p>
        </w:tc>
        <w:tc>
          <w:tcPr>
            <w:tcW w:w="2519"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center"/>
              <w:rPr>
                <w:rFonts w:hint="eastAsia"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延安市防灾减灾救灾</w:t>
            </w:r>
          </w:p>
          <w:p>
            <w:pPr>
              <w:keepNext w:val="0"/>
              <w:keepLines w:val="0"/>
              <w:pageBreakBefore w:val="0"/>
              <w:widowControl w:val="0"/>
              <w:kinsoku/>
              <w:wordWrap/>
              <w:overflowPunct/>
              <w:topLinePunct w:val="0"/>
              <w:autoSpaceDE/>
              <w:autoSpaceDN/>
              <w:bidi w:val="0"/>
              <w:adjustRightInd/>
              <w:snapToGrid w:val="0"/>
              <w:spacing w:line="26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工作委员会</w:t>
            </w:r>
          </w:p>
        </w:tc>
        <w:tc>
          <w:tcPr>
            <w:tcW w:w="429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延安市自然灾害救助应急预案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jc w:val="center"/>
        </w:trPr>
        <w:tc>
          <w:tcPr>
            <w:tcW w:w="649" w:type="dxa"/>
            <w:tcMar>
              <w:top w:w="12" w:type="dxa"/>
              <w:left w:w="12" w:type="dxa"/>
              <w:right w:w="12" w:type="dxa"/>
            </w:tcMar>
            <w:vAlign w:val="center"/>
          </w:tcPr>
          <w:p>
            <w:pPr>
              <w:numPr>
                <w:ilvl w:val="0"/>
                <w:numId w:val="2"/>
              </w:numPr>
              <w:tabs>
                <w:tab w:val="left" w:pos="0"/>
              </w:tabs>
              <w:spacing w:line="40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c>
          <w:tcPr>
            <w:tcW w:w="3044" w:type="dxa"/>
            <w:vMerge w:val="restart"/>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val="0"/>
              <w:spacing w:line="276"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水旱灾害</w:t>
            </w:r>
          </w:p>
        </w:tc>
        <w:tc>
          <w:tcPr>
            <w:tcW w:w="2805" w:type="dxa"/>
            <w:vMerge w:val="restart"/>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val="0"/>
              <w:spacing w:line="276"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市应急管理局</w:t>
            </w:r>
          </w:p>
        </w:tc>
        <w:tc>
          <w:tcPr>
            <w:tcW w:w="2519" w:type="dxa"/>
            <w:vMerge w:val="restart"/>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center"/>
              <w:rPr>
                <w:rFonts w:hint="eastAsia" w:ascii="仿宋_GB2312" w:hAnsi="仿宋_GB2312" w:eastAsia="仿宋_GB2312" w:cs="仿宋_GB2312"/>
                <w:b/>
                <w:bCs/>
                <w:color w:val="000000" w:themeColor="text1"/>
                <w:kern w:val="0"/>
                <w:sz w:val="24"/>
                <w:lang w:eastAsia="zh-CN"/>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延安市</w:t>
            </w:r>
            <w:r>
              <w:rPr>
                <w:rFonts w:hint="eastAsia" w:ascii="仿宋_GB2312" w:hAnsi="仿宋_GB2312" w:eastAsia="仿宋_GB2312" w:cs="仿宋_GB2312"/>
                <w:b/>
                <w:bCs/>
                <w:color w:val="000000" w:themeColor="text1"/>
                <w:kern w:val="0"/>
                <w:sz w:val="24"/>
                <w:lang w:eastAsia="zh-CN"/>
                <w14:textFill>
                  <w14:solidFill>
                    <w14:schemeClr w14:val="tx1"/>
                  </w14:solidFill>
                </w14:textFill>
              </w:rPr>
              <w:t>防汛抗旱指挥部</w:t>
            </w:r>
          </w:p>
        </w:tc>
        <w:tc>
          <w:tcPr>
            <w:tcW w:w="4295" w:type="dxa"/>
            <w:tcMar>
              <w:top w:w="12" w:type="dxa"/>
              <w:left w:w="12" w:type="dxa"/>
              <w:right w:w="12" w:type="dxa"/>
            </w:tcMar>
            <w:vAlign w:val="center"/>
          </w:tcPr>
          <w:p>
            <w:pPr>
              <w:pStyle w:val="6"/>
              <w:keepNext w:val="0"/>
              <w:keepLines w:val="0"/>
              <w:pageBreakBefore w:val="0"/>
              <w:widowControl w:val="0"/>
              <w:kinsoku/>
              <w:wordWrap/>
              <w:overflowPunct/>
              <w:topLinePunct w:val="0"/>
              <w:autoSpaceDE/>
              <w:autoSpaceDN/>
              <w:bidi w:val="0"/>
              <w:adjustRightInd/>
              <w:snapToGrid w:val="0"/>
              <w:spacing w:line="260" w:lineRule="exact"/>
              <w:jc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延安市防汛应急预案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7" w:hRule="atLeast"/>
          <w:jc w:val="center"/>
        </w:trPr>
        <w:tc>
          <w:tcPr>
            <w:tcW w:w="649" w:type="dxa"/>
            <w:tcMar>
              <w:top w:w="12" w:type="dxa"/>
              <w:left w:w="12" w:type="dxa"/>
              <w:right w:w="12" w:type="dxa"/>
            </w:tcMar>
            <w:vAlign w:val="center"/>
          </w:tcPr>
          <w:p>
            <w:pPr>
              <w:numPr>
                <w:ilvl w:val="0"/>
                <w:numId w:val="2"/>
              </w:numPr>
              <w:tabs>
                <w:tab w:val="left" w:pos="0"/>
              </w:tabs>
              <w:spacing w:line="40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c>
          <w:tcPr>
            <w:tcW w:w="3044" w:type="dxa"/>
            <w:vMerge w:val="continue"/>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val="0"/>
              <w:spacing w:line="276"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p>
        </w:tc>
        <w:tc>
          <w:tcPr>
            <w:tcW w:w="2805" w:type="dxa"/>
            <w:vMerge w:val="continue"/>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val="0"/>
              <w:spacing w:line="276"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p>
        </w:tc>
        <w:tc>
          <w:tcPr>
            <w:tcW w:w="2519" w:type="dxa"/>
            <w:vMerge w:val="continue"/>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p>
        </w:tc>
        <w:tc>
          <w:tcPr>
            <w:tcW w:w="4295" w:type="dxa"/>
            <w:tcMar>
              <w:top w:w="12" w:type="dxa"/>
              <w:left w:w="12" w:type="dxa"/>
              <w:right w:w="12" w:type="dxa"/>
            </w:tcMar>
            <w:vAlign w:val="center"/>
          </w:tcPr>
          <w:p>
            <w:pPr>
              <w:pStyle w:val="6"/>
              <w:keepNext w:val="0"/>
              <w:keepLines w:val="0"/>
              <w:pageBreakBefore w:val="0"/>
              <w:widowControl w:val="0"/>
              <w:kinsoku/>
              <w:wordWrap/>
              <w:overflowPunct/>
              <w:topLinePunct w:val="0"/>
              <w:autoSpaceDE/>
              <w:autoSpaceDN/>
              <w:bidi w:val="0"/>
              <w:adjustRightInd/>
              <w:snapToGrid w:val="0"/>
              <w:spacing w:line="260" w:lineRule="exact"/>
              <w:jc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延安市抗旱应急预案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649" w:type="dxa"/>
            <w:tcMar>
              <w:top w:w="12" w:type="dxa"/>
              <w:left w:w="12" w:type="dxa"/>
              <w:right w:w="12" w:type="dxa"/>
            </w:tcMar>
            <w:vAlign w:val="center"/>
          </w:tcPr>
          <w:p>
            <w:pPr>
              <w:numPr>
                <w:ilvl w:val="0"/>
                <w:numId w:val="2"/>
              </w:numPr>
              <w:tabs>
                <w:tab w:val="left" w:pos="0"/>
              </w:tabs>
              <w:spacing w:line="40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c>
          <w:tcPr>
            <w:tcW w:w="3044"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val="0"/>
              <w:spacing w:line="276"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地震灾害</w:t>
            </w:r>
          </w:p>
        </w:tc>
        <w:tc>
          <w:tcPr>
            <w:tcW w:w="280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val="0"/>
              <w:spacing w:line="276"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市应急管理局</w:t>
            </w:r>
          </w:p>
        </w:tc>
        <w:tc>
          <w:tcPr>
            <w:tcW w:w="2519"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center"/>
              <w:rPr>
                <w:rFonts w:hint="eastAsia" w:ascii="仿宋_GB2312" w:hAnsi="仿宋_GB2312" w:eastAsia="仿宋_GB2312" w:cs="仿宋_GB2312"/>
                <w:b/>
                <w:bCs/>
                <w:color w:val="000000" w:themeColor="text1"/>
                <w:kern w:val="0"/>
                <w:sz w:val="24"/>
                <w:lang w:eastAsia="zh-CN"/>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延安市</w:t>
            </w:r>
            <w:r>
              <w:rPr>
                <w:rFonts w:hint="eastAsia" w:ascii="仿宋_GB2312" w:hAnsi="仿宋_GB2312" w:eastAsia="仿宋_GB2312" w:cs="仿宋_GB2312"/>
                <w:b/>
                <w:bCs/>
                <w:color w:val="000000" w:themeColor="text1"/>
                <w:kern w:val="0"/>
                <w:sz w:val="24"/>
                <w:lang w:eastAsia="zh-CN"/>
                <w14:textFill>
                  <w14:solidFill>
                    <w14:schemeClr w14:val="tx1"/>
                  </w14:solidFill>
                </w14:textFill>
              </w:rPr>
              <w:t>抗震救灾指挥部</w:t>
            </w:r>
          </w:p>
        </w:tc>
        <w:tc>
          <w:tcPr>
            <w:tcW w:w="429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延安市地震应急预案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jc w:val="center"/>
        </w:trPr>
        <w:tc>
          <w:tcPr>
            <w:tcW w:w="649" w:type="dxa"/>
            <w:tcMar>
              <w:top w:w="12" w:type="dxa"/>
              <w:left w:w="12" w:type="dxa"/>
              <w:right w:w="12" w:type="dxa"/>
            </w:tcMar>
            <w:vAlign w:val="center"/>
          </w:tcPr>
          <w:p>
            <w:pPr>
              <w:numPr>
                <w:ilvl w:val="0"/>
                <w:numId w:val="2"/>
              </w:numPr>
              <w:tabs>
                <w:tab w:val="left" w:pos="0"/>
              </w:tabs>
              <w:spacing w:line="40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c>
          <w:tcPr>
            <w:tcW w:w="3044"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val="0"/>
              <w:spacing w:line="276"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地质灾害</w:t>
            </w:r>
          </w:p>
        </w:tc>
        <w:tc>
          <w:tcPr>
            <w:tcW w:w="280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val="0"/>
              <w:spacing w:line="276" w:lineRule="exact"/>
              <w:jc w:val="center"/>
              <w:textAlignment w:val="center"/>
              <w:rPr>
                <w:rFonts w:hint="eastAsia" w:ascii="仿宋_GB2312" w:hAnsi="仿宋_GB2312" w:eastAsia="仿宋_GB2312" w:cs="仿宋_GB2312"/>
                <w:b/>
                <w:bCs/>
                <w:color w:val="000000" w:themeColor="text1"/>
                <w:sz w:val="24"/>
                <w:lang w:eastAsia="zh-CN"/>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市</w:t>
            </w:r>
            <w:r>
              <w:rPr>
                <w:rFonts w:hint="eastAsia" w:ascii="仿宋_GB2312" w:hAnsi="仿宋_GB2312" w:eastAsia="仿宋_GB2312" w:cs="仿宋_GB2312"/>
                <w:b/>
                <w:bCs/>
                <w:color w:val="000000" w:themeColor="text1"/>
                <w:sz w:val="24"/>
                <w:lang w:eastAsia="zh-CN"/>
                <w14:textFill>
                  <w14:solidFill>
                    <w14:schemeClr w14:val="tx1"/>
                  </w14:solidFill>
                </w14:textFill>
              </w:rPr>
              <w:t>自然资源局</w:t>
            </w:r>
          </w:p>
        </w:tc>
        <w:tc>
          <w:tcPr>
            <w:tcW w:w="2519"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center"/>
              <w:rPr>
                <w:rFonts w:hint="eastAsia"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延安市</w:t>
            </w:r>
            <w:r>
              <w:rPr>
                <w:rFonts w:hint="eastAsia" w:ascii="仿宋_GB2312" w:hAnsi="仿宋_GB2312" w:eastAsia="仿宋_GB2312" w:cs="仿宋_GB2312"/>
                <w:b/>
                <w:bCs/>
                <w:color w:val="000000" w:themeColor="text1"/>
                <w:kern w:val="0"/>
                <w:sz w:val="24"/>
                <w14:textFill>
                  <w14:solidFill>
                    <w14:schemeClr w14:val="tx1"/>
                  </w14:solidFill>
                </w14:textFill>
              </w:rPr>
              <w:t>地质灾害安全</w:t>
            </w:r>
          </w:p>
          <w:p>
            <w:pPr>
              <w:keepNext w:val="0"/>
              <w:keepLines w:val="0"/>
              <w:pageBreakBefore w:val="0"/>
              <w:widowControl w:val="0"/>
              <w:kinsoku/>
              <w:wordWrap/>
              <w:overflowPunct/>
              <w:topLinePunct w:val="0"/>
              <w:autoSpaceDE/>
              <w:autoSpaceDN/>
              <w:bidi w:val="0"/>
              <w:adjustRightInd/>
              <w:snapToGrid w:val="0"/>
              <w:spacing w:line="26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生产专业委员会</w:t>
            </w:r>
          </w:p>
        </w:tc>
        <w:tc>
          <w:tcPr>
            <w:tcW w:w="429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延安市地质灾害应急预案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649" w:type="dxa"/>
            <w:tcMar>
              <w:top w:w="12" w:type="dxa"/>
              <w:left w:w="12" w:type="dxa"/>
              <w:right w:w="12" w:type="dxa"/>
            </w:tcMar>
            <w:vAlign w:val="center"/>
          </w:tcPr>
          <w:p>
            <w:pPr>
              <w:numPr>
                <w:ilvl w:val="0"/>
                <w:numId w:val="2"/>
              </w:numPr>
              <w:tabs>
                <w:tab w:val="left" w:pos="0"/>
              </w:tabs>
              <w:spacing w:line="40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c>
          <w:tcPr>
            <w:tcW w:w="3044"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val="0"/>
              <w:spacing w:line="276"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森林草原火灾</w:t>
            </w:r>
          </w:p>
        </w:tc>
        <w:tc>
          <w:tcPr>
            <w:tcW w:w="280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val="0"/>
              <w:spacing w:line="276"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市应急管理局</w:t>
            </w:r>
          </w:p>
        </w:tc>
        <w:tc>
          <w:tcPr>
            <w:tcW w:w="2519"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延安</w:t>
            </w:r>
            <w:r>
              <w:rPr>
                <w:rFonts w:ascii="仿宋_GB2312" w:hAnsi="仿宋_GB2312" w:eastAsia="仿宋_GB2312" w:cs="仿宋_GB2312"/>
                <w:b/>
                <w:bCs/>
                <w:color w:val="000000" w:themeColor="text1"/>
                <w:kern w:val="0"/>
                <w:sz w:val="24"/>
                <w14:textFill>
                  <w14:solidFill>
                    <w14:schemeClr w14:val="tx1"/>
                  </w14:solidFill>
                </w14:textFill>
              </w:rPr>
              <w:t>市森林草原防灭火指挥部</w:t>
            </w:r>
          </w:p>
        </w:tc>
        <w:tc>
          <w:tcPr>
            <w:tcW w:w="429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延安市森林草原火灾应急预案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649" w:type="dxa"/>
            <w:tcMar>
              <w:top w:w="12" w:type="dxa"/>
              <w:left w:w="12" w:type="dxa"/>
              <w:right w:w="12" w:type="dxa"/>
            </w:tcMar>
            <w:vAlign w:val="center"/>
          </w:tcPr>
          <w:p>
            <w:pPr>
              <w:numPr>
                <w:ilvl w:val="0"/>
                <w:numId w:val="2"/>
              </w:numPr>
              <w:tabs>
                <w:tab w:val="left" w:pos="0"/>
              </w:tabs>
              <w:spacing w:line="40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c>
          <w:tcPr>
            <w:tcW w:w="3044"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val="0"/>
              <w:spacing w:line="276"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生物灾害</w:t>
            </w:r>
          </w:p>
        </w:tc>
        <w:tc>
          <w:tcPr>
            <w:tcW w:w="280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val="0"/>
              <w:spacing w:line="276"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市林业局</w:t>
            </w:r>
          </w:p>
        </w:tc>
        <w:tc>
          <w:tcPr>
            <w:tcW w:w="2519"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center"/>
              <w:rPr>
                <w:rFonts w:hint="eastAsia" w:ascii="仿宋_GB2312" w:hAnsi="仿宋_GB2312" w:eastAsia="仿宋_GB2312" w:cs="仿宋_GB2312"/>
                <w:b/>
                <w:bCs/>
                <w:color w:val="000000" w:themeColor="text1"/>
                <w:kern w:val="0"/>
                <w:sz w:val="24"/>
                <w:lang w:eastAsia="zh-CN"/>
                <w14:textFill>
                  <w14:solidFill>
                    <w14:schemeClr w14:val="tx1"/>
                  </w14:solidFill>
                </w14:textFill>
              </w:rPr>
            </w:pPr>
            <w:r>
              <w:rPr>
                <w:rFonts w:hint="eastAsia" w:ascii="仿宋_GB2312" w:hAnsi="仿宋_GB2312" w:eastAsia="仿宋_GB2312" w:cs="仿宋_GB2312"/>
                <w:b/>
                <w:bCs/>
                <w:color w:val="000000" w:themeColor="text1"/>
                <w:kern w:val="0"/>
                <w:sz w:val="24"/>
                <w:lang w:eastAsia="zh-CN"/>
                <w14:textFill>
                  <w14:solidFill>
                    <w14:schemeClr w14:val="tx1"/>
                  </w14:solidFill>
                </w14:textFill>
              </w:rPr>
              <w:t>延安市重大林业有害生物防控指挥部</w:t>
            </w:r>
          </w:p>
        </w:tc>
        <w:tc>
          <w:tcPr>
            <w:tcW w:w="429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延安市林业有害生物灾害应急预案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649" w:type="dxa"/>
            <w:tcMar>
              <w:top w:w="12" w:type="dxa"/>
              <w:left w:w="12" w:type="dxa"/>
              <w:right w:w="12" w:type="dxa"/>
            </w:tcMar>
            <w:vAlign w:val="center"/>
          </w:tcPr>
          <w:p>
            <w:pPr>
              <w:numPr>
                <w:ilvl w:val="0"/>
                <w:numId w:val="2"/>
              </w:numPr>
              <w:tabs>
                <w:tab w:val="left" w:pos="0"/>
              </w:tabs>
              <w:spacing w:line="40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restart"/>
            <w:tcMar>
              <w:top w:w="12" w:type="dxa"/>
              <w:left w:w="12" w:type="dxa"/>
              <w:right w:w="12" w:type="dxa"/>
            </w:tcMar>
            <w:vAlign w:val="center"/>
          </w:tcPr>
          <w:p>
            <w:pPr>
              <w:spacing w:line="40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公共卫生事件类</w:t>
            </w:r>
          </w:p>
        </w:tc>
        <w:tc>
          <w:tcPr>
            <w:tcW w:w="3044"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276"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突发公共卫生事件</w:t>
            </w:r>
          </w:p>
        </w:tc>
        <w:tc>
          <w:tcPr>
            <w:tcW w:w="280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276"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市卫健委</w:t>
            </w:r>
          </w:p>
        </w:tc>
        <w:tc>
          <w:tcPr>
            <w:tcW w:w="2519"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w:t>
            </w:r>
          </w:p>
        </w:tc>
        <w:tc>
          <w:tcPr>
            <w:tcW w:w="429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延安市突发公共卫生事件应急预案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649" w:type="dxa"/>
            <w:tcMar>
              <w:top w:w="12" w:type="dxa"/>
              <w:left w:w="12" w:type="dxa"/>
              <w:right w:w="12" w:type="dxa"/>
            </w:tcMar>
            <w:vAlign w:val="center"/>
          </w:tcPr>
          <w:p>
            <w:pPr>
              <w:numPr>
                <w:ilvl w:val="0"/>
                <w:numId w:val="2"/>
              </w:numPr>
              <w:tabs>
                <w:tab w:val="left" w:pos="0"/>
              </w:tabs>
              <w:spacing w:line="40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c>
          <w:tcPr>
            <w:tcW w:w="3044" w:type="dxa"/>
            <w:vMerge w:val="restart"/>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276"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传染病疫情</w:t>
            </w:r>
          </w:p>
        </w:tc>
        <w:tc>
          <w:tcPr>
            <w:tcW w:w="2805" w:type="dxa"/>
            <w:vMerge w:val="restart"/>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276"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市卫健委</w:t>
            </w:r>
          </w:p>
        </w:tc>
        <w:tc>
          <w:tcPr>
            <w:tcW w:w="2519" w:type="dxa"/>
            <w:vMerge w:val="restart"/>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w:t>
            </w:r>
          </w:p>
        </w:tc>
        <w:tc>
          <w:tcPr>
            <w:tcW w:w="429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延安市流感大流行应急预案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 w:hRule="atLeast"/>
          <w:jc w:val="center"/>
        </w:trPr>
        <w:tc>
          <w:tcPr>
            <w:tcW w:w="649" w:type="dxa"/>
            <w:tcMar>
              <w:top w:w="12" w:type="dxa"/>
              <w:left w:w="12" w:type="dxa"/>
              <w:right w:w="12" w:type="dxa"/>
            </w:tcMar>
            <w:vAlign w:val="center"/>
          </w:tcPr>
          <w:p>
            <w:pPr>
              <w:numPr>
                <w:ilvl w:val="0"/>
                <w:numId w:val="2"/>
              </w:numPr>
              <w:tabs>
                <w:tab w:val="left" w:pos="0"/>
              </w:tabs>
              <w:spacing w:line="40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c>
          <w:tcPr>
            <w:tcW w:w="3044" w:type="dxa"/>
            <w:vMerge w:val="continue"/>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276"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p>
        </w:tc>
        <w:tc>
          <w:tcPr>
            <w:tcW w:w="2805" w:type="dxa"/>
            <w:vMerge w:val="continue"/>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276"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2519" w:type="dxa"/>
            <w:vMerge w:val="continue"/>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p>
        </w:tc>
        <w:tc>
          <w:tcPr>
            <w:tcW w:w="429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延安市鼠疫控制应急预案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649" w:type="dxa"/>
            <w:tcMar>
              <w:top w:w="12" w:type="dxa"/>
              <w:left w:w="12" w:type="dxa"/>
              <w:right w:w="12" w:type="dxa"/>
            </w:tcMar>
            <w:vAlign w:val="center"/>
          </w:tcPr>
          <w:p>
            <w:pPr>
              <w:numPr>
                <w:ilvl w:val="0"/>
                <w:numId w:val="2"/>
              </w:numPr>
              <w:tabs>
                <w:tab w:val="left" w:pos="0"/>
              </w:tabs>
              <w:spacing w:line="40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c>
          <w:tcPr>
            <w:tcW w:w="3044"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276"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生物安全事件</w:t>
            </w:r>
          </w:p>
        </w:tc>
        <w:tc>
          <w:tcPr>
            <w:tcW w:w="280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276"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市卫健委</w:t>
            </w:r>
          </w:p>
        </w:tc>
        <w:tc>
          <w:tcPr>
            <w:tcW w:w="2519"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w:t>
            </w:r>
          </w:p>
        </w:tc>
        <w:tc>
          <w:tcPr>
            <w:tcW w:w="429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延安市生物安全事件应急预案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649" w:type="dxa"/>
            <w:tcMar>
              <w:top w:w="12" w:type="dxa"/>
              <w:left w:w="12" w:type="dxa"/>
              <w:right w:w="12" w:type="dxa"/>
            </w:tcMar>
            <w:vAlign w:val="center"/>
          </w:tcPr>
          <w:p>
            <w:pPr>
              <w:numPr>
                <w:ilvl w:val="0"/>
                <w:numId w:val="2"/>
              </w:numPr>
              <w:tabs>
                <w:tab w:val="left" w:pos="0"/>
              </w:tabs>
              <w:spacing w:line="40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c>
          <w:tcPr>
            <w:tcW w:w="3044"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276"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食品安全事件</w:t>
            </w:r>
          </w:p>
        </w:tc>
        <w:tc>
          <w:tcPr>
            <w:tcW w:w="280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276"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市市场监管局</w:t>
            </w:r>
          </w:p>
        </w:tc>
        <w:tc>
          <w:tcPr>
            <w:tcW w:w="2519" w:type="dxa"/>
            <w:vMerge w:val="restart"/>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center"/>
              <w:rPr>
                <w:rFonts w:hint="eastAsia"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延安市食品药品安全</w:t>
            </w:r>
          </w:p>
          <w:p>
            <w:pPr>
              <w:keepNext w:val="0"/>
              <w:keepLines w:val="0"/>
              <w:pageBreakBefore w:val="0"/>
              <w:widowControl w:val="0"/>
              <w:kinsoku/>
              <w:wordWrap/>
              <w:overflowPunct/>
              <w:topLinePunct w:val="0"/>
              <w:autoSpaceDE/>
              <w:autoSpaceDN/>
              <w:bidi w:val="0"/>
              <w:adjustRightInd/>
              <w:snapToGrid w:val="0"/>
              <w:spacing w:line="26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生产委员会</w:t>
            </w:r>
          </w:p>
        </w:tc>
        <w:tc>
          <w:tcPr>
            <w:tcW w:w="429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延安市食品安全突发事件应急预案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649" w:type="dxa"/>
            <w:tcMar>
              <w:top w:w="12" w:type="dxa"/>
              <w:left w:w="12" w:type="dxa"/>
              <w:right w:w="12" w:type="dxa"/>
            </w:tcMar>
            <w:vAlign w:val="center"/>
          </w:tcPr>
          <w:p>
            <w:pPr>
              <w:numPr>
                <w:ilvl w:val="0"/>
                <w:numId w:val="2"/>
              </w:numPr>
              <w:tabs>
                <w:tab w:val="left" w:pos="0"/>
              </w:tabs>
              <w:spacing w:line="40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c>
          <w:tcPr>
            <w:tcW w:w="3044"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276"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药品安全事件</w:t>
            </w:r>
          </w:p>
        </w:tc>
        <w:tc>
          <w:tcPr>
            <w:tcW w:w="280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276"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市市场监管局</w:t>
            </w:r>
          </w:p>
        </w:tc>
        <w:tc>
          <w:tcPr>
            <w:tcW w:w="2519" w:type="dxa"/>
            <w:vMerge w:val="continue"/>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p>
        </w:tc>
        <w:tc>
          <w:tcPr>
            <w:tcW w:w="429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center"/>
              <w:rPr>
                <w:rFonts w:hint="eastAsia"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延安市药品和医疗器械安全突发事件</w:t>
            </w:r>
          </w:p>
          <w:p>
            <w:pPr>
              <w:keepNext w:val="0"/>
              <w:keepLines w:val="0"/>
              <w:pageBreakBefore w:val="0"/>
              <w:widowControl w:val="0"/>
              <w:kinsoku/>
              <w:wordWrap/>
              <w:overflowPunct/>
              <w:topLinePunct w:val="0"/>
              <w:autoSpaceDE/>
              <w:autoSpaceDN/>
              <w:bidi w:val="0"/>
              <w:adjustRightInd/>
              <w:snapToGrid w:val="0"/>
              <w:spacing w:line="26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649" w:type="dxa"/>
            <w:tcMar>
              <w:top w:w="12" w:type="dxa"/>
              <w:left w:w="12" w:type="dxa"/>
              <w:right w:w="12" w:type="dxa"/>
            </w:tcMar>
            <w:vAlign w:val="center"/>
          </w:tcPr>
          <w:p>
            <w:pPr>
              <w:numPr>
                <w:ilvl w:val="0"/>
                <w:numId w:val="2"/>
              </w:numPr>
              <w:tabs>
                <w:tab w:val="left" w:pos="0"/>
              </w:tabs>
              <w:spacing w:line="40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c>
          <w:tcPr>
            <w:tcW w:w="3044"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276"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疫苗安全突发事件</w:t>
            </w:r>
          </w:p>
        </w:tc>
        <w:tc>
          <w:tcPr>
            <w:tcW w:w="280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276"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市市场监管局</w:t>
            </w:r>
          </w:p>
        </w:tc>
        <w:tc>
          <w:tcPr>
            <w:tcW w:w="2519" w:type="dxa"/>
            <w:vMerge w:val="continue"/>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p>
        </w:tc>
        <w:tc>
          <w:tcPr>
            <w:tcW w:w="429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延安市疫苗安全突发事件应急预案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649" w:type="dxa"/>
            <w:tcMar>
              <w:top w:w="12" w:type="dxa"/>
              <w:left w:w="12" w:type="dxa"/>
              <w:right w:w="12" w:type="dxa"/>
            </w:tcMar>
            <w:vAlign w:val="center"/>
          </w:tcPr>
          <w:p>
            <w:pPr>
              <w:numPr>
                <w:ilvl w:val="0"/>
                <w:numId w:val="2"/>
              </w:numPr>
              <w:tabs>
                <w:tab w:val="left" w:pos="0"/>
              </w:tabs>
              <w:spacing w:line="40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c>
          <w:tcPr>
            <w:tcW w:w="3044" w:type="dxa"/>
            <w:vMerge w:val="restart"/>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276"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突发动物疫情</w:t>
            </w:r>
          </w:p>
        </w:tc>
        <w:tc>
          <w:tcPr>
            <w:tcW w:w="280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276"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市农业农村局</w:t>
            </w:r>
          </w:p>
        </w:tc>
        <w:tc>
          <w:tcPr>
            <w:tcW w:w="2519"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center"/>
              <w:rPr>
                <w:rFonts w:hint="eastAsia" w:ascii="仿宋_GB2312" w:hAnsi="仿宋_GB2312" w:eastAsia="仿宋_GB2312" w:cs="仿宋_GB2312"/>
                <w:b/>
                <w:bCs/>
                <w:color w:val="000000" w:themeColor="text1"/>
                <w:sz w:val="24"/>
                <w:lang w:bidi="zh-CN"/>
                <w14:textFill>
                  <w14:solidFill>
                    <w14:schemeClr w14:val="tx1"/>
                  </w14:solidFill>
                </w14:textFill>
              </w:rPr>
            </w:pPr>
            <w:r>
              <w:rPr>
                <w:rFonts w:hint="eastAsia" w:ascii="仿宋_GB2312" w:hAnsi="仿宋_GB2312" w:eastAsia="仿宋_GB2312" w:cs="仿宋_GB2312"/>
                <w:b/>
                <w:bCs/>
                <w:color w:val="000000" w:themeColor="text1"/>
                <w:sz w:val="24"/>
                <w:lang w:bidi="zh-CN"/>
                <w14:textFill>
                  <w14:solidFill>
                    <w14:schemeClr w14:val="tx1"/>
                  </w14:solidFill>
                </w14:textFill>
              </w:rPr>
              <w:t>延安市农业农村安全</w:t>
            </w:r>
          </w:p>
          <w:p>
            <w:pPr>
              <w:keepNext w:val="0"/>
              <w:keepLines w:val="0"/>
              <w:pageBreakBefore w:val="0"/>
              <w:widowControl w:val="0"/>
              <w:kinsoku/>
              <w:wordWrap/>
              <w:overflowPunct/>
              <w:topLinePunct w:val="0"/>
              <w:autoSpaceDE/>
              <w:autoSpaceDN/>
              <w:bidi w:val="0"/>
              <w:adjustRightInd/>
              <w:snapToGrid w:val="0"/>
              <w:spacing w:line="260" w:lineRule="exact"/>
              <w:jc w:val="center"/>
              <w:textAlignment w:val="center"/>
              <w:rPr>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sz w:val="24"/>
                <w:lang w:bidi="zh-CN"/>
                <w14:textFill>
                  <w14:solidFill>
                    <w14:schemeClr w14:val="tx1"/>
                  </w14:solidFill>
                </w14:textFill>
              </w:rPr>
              <w:t>生产专业委员会</w:t>
            </w:r>
          </w:p>
        </w:tc>
        <w:tc>
          <w:tcPr>
            <w:tcW w:w="429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延安市突发较大动物疫情应急预案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649" w:type="dxa"/>
            <w:tcMar>
              <w:top w:w="12" w:type="dxa"/>
              <w:left w:w="12" w:type="dxa"/>
              <w:right w:w="12" w:type="dxa"/>
            </w:tcMar>
            <w:vAlign w:val="center"/>
          </w:tcPr>
          <w:p>
            <w:pPr>
              <w:numPr>
                <w:ilvl w:val="0"/>
                <w:numId w:val="2"/>
              </w:numPr>
              <w:tabs>
                <w:tab w:val="left" w:pos="0"/>
              </w:tabs>
              <w:spacing w:line="40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c>
          <w:tcPr>
            <w:tcW w:w="3044" w:type="dxa"/>
            <w:vMerge w:val="continue"/>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276"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p>
        </w:tc>
        <w:tc>
          <w:tcPr>
            <w:tcW w:w="280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276"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市林业局</w:t>
            </w:r>
          </w:p>
        </w:tc>
        <w:tc>
          <w:tcPr>
            <w:tcW w:w="2519"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center"/>
              <w:rPr>
                <w:rFonts w:hint="eastAsia" w:ascii="仿宋_GB2312" w:hAnsi="仿宋_GB2312" w:eastAsia="仿宋_GB2312" w:cs="仿宋_GB2312"/>
                <w:b/>
                <w:bCs/>
                <w:color w:val="000000" w:themeColor="text1"/>
                <w:sz w:val="24"/>
                <w:lang w:bidi="zh-CN"/>
                <w14:textFill>
                  <w14:solidFill>
                    <w14:schemeClr w14:val="tx1"/>
                  </w14:solidFill>
                </w14:textFill>
              </w:rPr>
            </w:pPr>
            <w:r>
              <w:rPr>
                <w:rFonts w:hint="eastAsia" w:ascii="仿宋_GB2312" w:hAnsi="仿宋_GB2312" w:eastAsia="仿宋_GB2312" w:cs="仿宋_GB2312"/>
                <w:b/>
                <w:bCs/>
                <w:color w:val="000000" w:themeColor="text1"/>
                <w:sz w:val="24"/>
                <w:lang w:bidi="zh-CN"/>
                <w14:textFill>
                  <w14:solidFill>
                    <w14:schemeClr w14:val="tx1"/>
                  </w14:solidFill>
                </w14:textFill>
              </w:rPr>
              <w:t>延安市农业农村安全</w:t>
            </w:r>
          </w:p>
          <w:p>
            <w:pPr>
              <w:keepNext w:val="0"/>
              <w:keepLines w:val="0"/>
              <w:pageBreakBefore w:val="0"/>
              <w:widowControl w:val="0"/>
              <w:kinsoku/>
              <w:wordWrap/>
              <w:overflowPunct/>
              <w:topLinePunct w:val="0"/>
              <w:autoSpaceDE/>
              <w:autoSpaceDN/>
              <w:bidi w:val="0"/>
              <w:adjustRightInd/>
              <w:snapToGrid w:val="0"/>
              <w:spacing w:line="26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sz w:val="24"/>
                <w:lang w:bidi="zh-CN"/>
                <w14:textFill>
                  <w14:solidFill>
                    <w14:schemeClr w14:val="tx1"/>
                  </w14:solidFill>
                </w14:textFill>
              </w:rPr>
              <w:t>生产专业委员会</w:t>
            </w:r>
          </w:p>
        </w:tc>
        <w:tc>
          <w:tcPr>
            <w:tcW w:w="429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center"/>
              <w:rPr>
                <w:rFonts w:hint="eastAsia"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延安市突发较大陆生野生动物疫情</w:t>
            </w:r>
          </w:p>
          <w:p>
            <w:pPr>
              <w:keepNext w:val="0"/>
              <w:keepLines w:val="0"/>
              <w:pageBreakBefore w:val="0"/>
              <w:widowControl w:val="0"/>
              <w:kinsoku/>
              <w:wordWrap/>
              <w:overflowPunct/>
              <w:topLinePunct w:val="0"/>
              <w:autoSpaceDE/>
              <w:autoSpaceDN/>
              <w:bidi w:val="0"/>
              <w:adjustRightInd/>
              <w:snapToGrid w:val="0"/>
              <w:spacing w:line="26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649" w:type="dxa"/>
            <w:tcMar>
              <w:top w:w="12" w:type="dxa"/>
              <w:left w:w="12" w:type="dxa"/>
              <w:right w:w="12" w:type="dxa"/>
            </w:tcMar>
            <w:vAlign w:val="center"/>
          </w:tcPr>
          <w:p>
            <w:pPr>
              <w:numPr>
                <w:ilvl w:val="0"/>
                <w:numId w:val="2"/>
              </w:numPr>
              <w:tabs>
                <w:tab w:val="left" w:pos="0"/>
              </w:tabs>
              <w:spacing w:line="40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restart"/>
            <w:tcMar>
              <w:top w:w="12" w:type="dxa"/>
              <w:left w:w="12" w:type="dxa"/>
              <w:right w:w="12" w:type="dxa"/>
            </w:tcMar>
            <w:vAlign w:val="center"/>
          </w:tcPr>
          <w:p>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社会安全事件类</w:t>
            </w:r>
          </w:p>
        </w:tc>
        <w:tc>
          <w:tcPr>
            <w:tcW w:w="3044" w:type="dxa"/>
            <w:vMerge w:val="restart"/>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群体性事件</w:t>
            </w:r>
          </w:p>
        </w:tc>
        <w:tc>
          <w:tcPr>
            <w:tcW w:w="280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市公安局</w:t>
            </w:r>
          </w:p>
        </w:tc>
        <w:tc>
          <w:tcPr>
            <w:tcW w:w="2519" w:type="dxa"/>
            <w:vMerge w:val="restart"/>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center"/>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政治安全和社会稳定</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委员会</w:t>
            </w:r>
          </w:p>
        </w:tc>
        <w:tc>
          <w:tcPr>
            <w:tcW w:w="429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延安市处置大规模群体性事件应急预案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649" w:type="dxa"/>
            <w:tcMar>
              <w:top w:w="12" w:type="dxa"/>
              <w:left w:w="12" w:type="dxa"/>
              <w:right w:w="12" w:type="dxa"/>
            </w:tcMar>
            <w:vAlign w:val="center"/>
          </w:tcPr>
          <w:p>
            <w:pPr>
              <w:numPr>
                <w:ilvl w:val="0"/>
                <w:numId w:val="2"/>
              </w:numPr>
              <w:tabs>
                <w:tab w:val="left" w:pos="0"/>
              </w:tabs>
              <w:spacing w:line="40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3044" w:type="dxa"/>
            <w:vMerge w:val="continue"/>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p>
        </w:tc>
        <w:tc>
          <w:tcPr>
            <w:tcW w:w="280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市人社局、市公安局、</w:t>
            </w:r>
          </w:p>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市信访局</w:t>
            </w:r>
          </w:p>
        </w:tc>
        <w:tc>
          <w:tcPr>
            <w:tcW w:w="2519" w:type="dxa"/>
            <w:vMerge w:val="continue"/>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p>
        </w:tc>
        <w:tc>
          <w:tcPr>
            <w:tcW w:w="429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延安市农民工讨薪群体性和极端事件应急处置方案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649" w:type="dxa"/>
            <w:tcMar>
              <w:top w:w="12" w:type="dxa"/>
              <w:left w:w="12" w:type="dxa"/>
              <w:right w:w="12" w:type="dxa"/>
            </w:tcMar>
            <w:vAlign w:val="center"/>
          </w:tcPr>
          <w:p>
            <w:pPr>
              <w:numPr>
                <w:ilvl w:val="0"/>
                <w:numId w:val="2"/>
              </w:numPr>
              <w:tabs>
                <w:tab w:val="left" w:pos="0"/>
              </w:tabs>
              <w:spacing w:line="40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c>
          <w:tcPr>
            <w:tcW w:w="3044" w:type="dxa"/>
            <w:vMerge w:val="restart"/>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恐怖袭击事件</w:t>
            </w:r>
          </w:p>
        </w:tc>
        <w:tc>
          <w:tcPr>
            <w:tcW w:w="2805" w:type="dxa"/>
            <w:vMerge w:val="restart"/>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市公安局</w:t>
            </w:r>
          </w:p>
        </w:tc>
        <w:tc>
          <w:tcPr>
            <w:tcW w:w="2519" w:type="dxa"/>
            <w:vMerge w:val="restart"/>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center"/>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政治安全和社会稳定</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委员会</w:t>
            </w:r>
          </w:p>
        </w:tc>
        <w:tc>
          <w:tcPr>
            <w:tcW w:w="429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延安市恐怖袭击事件应急预案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649" w:type="dxa"/>
            <w:tcMar>
              <w:top w:w="12" w:type="dxa"/>
              <w:left w:w="12" w:type="dxa"/>
              <w:right w:w="12" w:type="dxa"/>
            </w:tcMar>
            <w:vAlign w:val="center"/>
          </w:tcPr>
          <w:p>
            <w:pPr>
              <w:numPr>
                <w:ilvl w:val="0"/>
                <w:numId w:val="2"/>
              </w:numPr>
              <w:tabs>
                <w:tab w:val="left" w:pos="0"/>
              </w:tabs>
              <w:spacing w:line="40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c>
          <w:tcPr>
            <w:tcW w:w="3044" w:type="dxa"/>
            <w:vMerge w:val="continue"/>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p>
        </w:tc>
        <w:tc>
          <w:tcPr>
            <w:tcW w:w="2805" w:type="dxa"/>
            <w:vMerge w:val="continue"/>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p>
        </w:tc>
        <w:tc>
          <w:tcPr>
            <w:tcW w:w="2519" w:type="dxa"/>
            <w:vMerge w:val="continue"/>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p>
        </w:tc>
        <w:tc>
          <w:tcPr>
            <w:tcW w:w="429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延安市处置劫机事件应急预案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649" w:type="dxa"/>
            <w:tcMar>
              <w:top w:w="12" w:type="dxa"/>
              <w:left w:w="12" w:type="dxa"/>
              <w:right w:w="12" w:type="dxa"/>
            </w:tcMar>
            <w:vAlign w:val="center"/>
          </w:tcPr>
          <w:p>
            <w:pPr>
              <w:numPr>
                <w:ilvl w:val="0"/>
                <w:numId w:val="2"/>
              </w:numPr>
              <w:tabs>
                <w:tab w:val="left" w:pos="0"/>
              </w:tabs>
              <w:spacing w:line="40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c>
          <w:tcPr>
            <w:tcW w:w="3044"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刑事案件</w:t>
            </w:r>
          </w:p>
        </w:tc>
        <w:tc>
          <w:tcPr>
            <w:tcW w:w="280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市公安局</w:t>
            </w:r>
          </w:p>
        </w:tc>
        <w:tc>
          <w:tcPr>
            <w:tcW w:w="2519"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center"/>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政治安全和社会稳定</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委员会</w:t>
            </w:r>
          </w:p>
        </w:tc>
        <w:tc>
          <w:tcPr>
            <w:tcW w:w="429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spacing w:val="-6"/>
                <w:kern w:val="0"/>
                <w:sz w:val="24"/>
                <w14:textFill>
                  <w14:solidFill>
                    <w14:schemeClr w14:val="tx1"/>
                  </w14:solidFill>
                </w14:textFill>
              </w:rPr>
              <w:t>延安市处置大规模暴力犯罪事件应急预案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649" w:type="dxa"/>
            <w:tcMar>
              <w:top w:w="12" w:type="dxa"/>
              <w:left w:w="12" w:type="dxa"/>
              <w:right w:w="12" w:type="dxa"/>
            </w:tcMar>
            <w:vAlign w:val="center"/>
          </w:tcPr>
          <w:p>
            <w:pPr>
              <w:numPr>
                <w:ilvl w:val="0"/>
                <w:numId w:val="2"/>
              </w:numPr>
              <w:tabs>
                <w:tab w:val="left" w:pos="0"/>
              </w:tabs>
              <w:spacing w:line="40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c>
          <w:tcPr>
            <w:tcW w:w="3044"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涉外突发事件</w:t>
            </w:r>
          </w:p>
        </w:tc>
        <w:tc>
          <w:tcPr>
            <w:tcW w:w="280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市委办</w:t>
            </w:r>
          </w:p>
        </w:tc>
        <w:tc>
          <w:tcPr>
            <w:tcW w:w="2519"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政治安全和社会稳定</w:t>
            </w:r>
          </w:p>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委员会</w:t>
            </w:r>
          </w:p>
        </w:tc>
        <w:tc>
          <w:tcPr>
            <w:tcW w:w="429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延安市涉外突发事件应急预案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649" w:type="dxa"/>
            <w:tcMar>
              <w:top w:w="12" w:type="dxa"/>
              <w:left w:w="12" w:type="dxa"/>
              <w:right w:w="12" w:type="dxa"/>
            </w:tcMar>
            <w:vAlign w:val="center"/>
          </w:tcPr>
          <w:p>
            <w:pPr>
              <w:numPr>
                <w:ilvl w:val="0"/>
                <w:numId w:val="2"/>
              </w:numPr>
              <w:tabs>
                <w:tab w:val="left" w:pos="0"/>
              </w:tabs>
              <w:spacing w:line="40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c>
          <w:tcPr>
            <w:tcW w:w="3044"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网络与信息安全事件</w:t>
            </w:r>
          </w:p>
        </w:tc>
        <w:tc>
          <w:tcPr>
            <w:tcW w:w="280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市委网信办</w:t>
            </w:r>
          </w:p>
        </w:tc>
        <w:tc>
          <w:tcPr>
            <w:tcW w:w="2519"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延安市</w:t>
            </w:r>
            <w:r>
              <w:rPr>
                <w:rFonts w:hint="eastAsia" w:ascii="仿宋_GB2312" w:hAnsi="仿宋_GB2312" w:eastAsia="仿宋_GB2312" w:cs="仿宋_GB2312"/>
                <w:b/>
                <w:bCs/>
                <w:color w:val="000000" w:themeColor="text1"/>
                <w:sz w:val="24"/>
                <w14:textFill>
                  <w14:solidFill>
                    <w14:schemeClr w14:val="tx1"/>
                  </w14:solidFill>
                </w14:textFill>
              </w:rPr>
              <w:t>意识形态和网络安全工作专业委员会</w:t>
            </w:r>
          </w:p>
        </w:tc>
        <w:tc>
          <w:tcPr>
            <w:tcW w:w="429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延安市网络安全事件应急预案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649" w:type="dxa"/>
            <w:tcMar>
              <w:top w:w="12" w:type="dxa"/>
              <w:left w:w="12" w:type="dxa"/>
              <w:right w:w="12" w:type="dxa"/>
            </w:tcMar>
            <w:vAlign w:val="center"/>
          </w:tcPr>
          <w:p>
            <w:pPr>
              <w:numPr>
                <w:ilvl w:val="0"/>
                <w:numId w:val="2"/>
              </w:numPr>
              <w:tabs>
                <w:tab w:val="left" w:pos="0"/>
              </w:tabs>
              <w:spacing w:line="40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c>
          <w:tcPr>
            <w:tcW w:w="3044"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粮食安全事件</w:t>
            </w:r>
          </w:p>
        </w:tc>
        <w:tc>
          <w:tcPr>
            <w:tcW w:w="280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市发改委</w:t>
            </w:r>
          </w:p>
        </w:tc>
        <w:tc>
          <w:tcPr>
            <w:tcW w:w="2519"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延安市</w:t>
            </w:r>
            <w:r>
              <w:rPr>
                <w:rFonts w:hint="eastAsia" w:ascii="仿宋_GB2312" w:hAnsi="仿宋_GB2312" w:eastAsia="仿宋_GB2312" w:cs="仿宋_GB2312"/>
                <w:b/>
                <w:bCs/>
                <w:color w:val="000000" w:themeColor="text1"/>
                <w:sz w:val="24"/>
                <w14:textFill>
                  <w14:solidFill>
                    <w14:schemeClr w14:val="tx1"/>
                  </w14:solidFill>
                </w14:textFill>
              </w:rPr>
              <w:t>粮食安全专业</w:t>
            </w:r>
          </w:p>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委员会</w:t>
            </w:r>
          </w:p>
        </w:tc>
        <w:tc>
          <w:tcPr>
            <w:tcW w:w="429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延安市粮食应急预案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649" w:type="dxa"/>
            <w:tcMar>
              <w:top w:w="12" w:type="dxa"/>
              <w:left w:w="12" w:type="dxa"/>
              <w:right w:w="12" w:type="dxa"/>
            </w:tcMar>
            <w:vAlign w:val="center"/>
          </w:tcPr>
          <w:p>
            <w:pPr>
              <w:numPr>
                <w:ilvl w:val="0"/>
                <w:numId w:val="2"/>
              </w:numPr>
              <w:tabs>
                <w:tab w:val="left" w:pos="0"/>
              </w:tabs>
              <w:spacing w:line="40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c>
          <w:tcPr>
            <w:tcW w:w="3044"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金融突发事件</w:t>
            </w:r>
          </w:p>
        </w:tc>
        <w:tc>
          <w:tcPr>
            <w:tcW w:w="280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市金融办</w:t>
            </w:r>
          </w:p>
        </w:tc>
        <w:tc>
          <w:tcPr>
            <w:tcW w:w="2519"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延安市金融风险化解</w:t>
            </w:r>
          </w:p>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专业委员会</w:t>
            </w:r>
          </w:p>
        </w:tc>
        <w:tc>
          <w:tcPr>
            <w:tcW w:w="429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延安市金融突发事件应急预案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649" w:type="dxa"/>
            <w:tcMar>
              <w:top w:w="12" w:type="dxa"/>
              <w:left w:w="12" w:type="dxa"/>
              <w:right w:w="12" w:type="dxa"/>
            </w:tcMar>
            <w:vAlign w:val="center"/>
          </w:tcPr>
          <w:p>
            <w:pPr>
              <w:numPr>
                <w:ilvl w:val="0"/>
                <w:numId w:val="2"/>
              </w:numPr>
              <w:tabs>
                <w:tab w:val="left" w:pos="0"/>
              </w:tabs>
              <w:spacing w:line="40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c>
          <w:tcPr>
            <w:tcW w:w="3044"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民族宗教事件</w:t>
            </w:r>
          </w:p>
        </w:tc>
        <w:tc>
          <w:tcPr>
            <w:tcW w:w="280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市民宗局</w:t>
            </w:r>
          </w:p>
        </w:tc>
        <w:tc>
          <w:tcPr>
            <w:tcW w:w="2519"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政治安全工作专业</w:t>
            </w:r>
          </w:p>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委员会</w:t>
            </w:r>
          </w:p>
        </w:tc>
        <w:tc>
          <w:tcPr>
            <w:tcW w:w="429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延安市处理涉及民族宗教方面群体性</w:t>
            </w:r>
          </w:p>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突发事件应急预案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649" w:type="dxa"/>
            <w:tcMar>
              <w:top w:w="12" w:type="dxa"/>
              <w:left w:w="12" w:type="dxa"/>
              <w:right w:w="12" w:type="dxa"/>
            </w:tcMar>
            <w:vAlign w:val="center"/>
          </w:tcPr>
          <w:p>
            <w:pPr>
              <w:numPr>
                <w:ilvl w:val="0"/>
                <w:numId w:val="2"/>
              </w:numPr>
              <w:tabs>
                <w:tab w:val="left" w:pos="0"/>
              </w:tabs>
              <w:spacing w:line="40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c>
          <w:tcPr>
            <w:tcW w:w="3044"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影响市场稳定突发事件</w:t>
            </w:r>
          </w:p>
        </w:tc>
        <w:tc>
          <w:tcPr>
            <w:tcW w:w="280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市发改委</w:t>
            </w:r>
          </w:p>
        </w:tc>
        <w:tc>
          <w:tcPr>
            <w:tcW w:w="2519"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政治安全和社会稳定</w:t>
            </w:r>
          </w:p>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委员会</w:t>
            </w:r>
          </w:p>
        </w:tc>
        <w:tc>
          <w:tcPr>
            <w:tcW w:w="429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延安市价格异常波动应急预案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649" w:type="dxa"/>
            <w:tcMar>
              <w:top w:w="12" w:type="dxa"/>
              <w:left w:w="12" w:type="dxa"/>
              <w:right w:w="12" w:type="dxa"/>
            </w:tcMar>
            <w:vAlign w:val="center"/>
          </w:tcPr>
          <w:p>
            <w:pPr>
              <w:numPr>
                <w:ilvl w:val="0"/>
                <w:numId w:val="2"/>
              </w:numPr>
              <w:tabs>
                <w:tab w:val="left" w:pos="0"/>
              </w:tabs>
              <w:spacing w:line="40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c>
          <w:tcPr>
            <w:tcW w:w="3044"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舆情突发事件</w:t>
            </w:r>
          </w:p>
        </w:tc>
        <w:tc>
          <w:tcPr>
            <w:tcW w:w="280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市委宣传部</w:t>
            </w:r>
          </w:p>
        </w:tc>
        <w:tc>
          <w:tcPr>
            <w:tcW w:w="2519"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延安市</w:t>
            </w:r>
            <w:r>
              <w:rPr>
                <w:rFonts w:hint="eastAsia" w:ascii="仿宋_GB2312" w:hAnsi="仿宋_GB2312" w:eastAsia="仿宋_GB2312" w:cs="仿宋_GB2312"/>
                <w:b/>
                <w:bCs/>
                <w:color w:val="000000" w:themeColor="text1"/>
                <w:sz w:val="24"/>
                <w14:textFill>
                  <w14:solidFill>
                    <w14:schemeClr w14:val="tx1"/>
                  </w14:solidFill>
                </w14:textFill>
              </w:rPr>
              <w:t>意识形态和网络安全工作专业委员会</w:t>
            </w:r>
          </w:p>
        </w:tc>
        <w:tc>
          <w:tcPr>
            <w:tcW w:w="429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涉延热点敏感舆情应对处置工作机制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649" w:type="dxa"/>
            <w:tcMar>
              <w:top w:w="12" w:type="dxa"/>
              <w:left w:w="12" w:type="dxa"/>
              <w:right w:w="12" w:type="dxa"/>
            </w:tcMar>
            <w:vAlign w:val="center"/>
          </w:tcPr>
          <w:p>
            <w:pPr>
              <w:numPr>
                <w:ilvl w:val="0"/>
                <w:numId w:val="2"/>
              </w:numPr>
              <w:tabs>
                <w:tab w:val="left" w:pos="0"/>
              </w:tabs>
              <w:spacing w:line="40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p>
        </w:tc>
        <w:tc>
          <w:tcPr>
            <w:tcW w:w="685" w:type="dxa"/>
            <w:vMerge w:val="continue"/>
            <w:tcMar>
              <w:top w:w="12" w:type="dxa"/>
              <w:left w:w="12" w:type="dxa"/>
              <w:right w:w="12" w:type="dxa"/>
            </w:tcMar>
            <w:vAlign w:val="center"/>
          </w:tcPr>
          <w:p>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c>
          <w:tcPr>
            <w:tcW w:w="3044"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突发事件新闻发布</w:t>
            </w:r>
          </w:p>
        </w:tc>
        <w:tc>
          <w:tcPr>
            <w:tcW w:w="280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市委宣传部</w:t>
            </w:r>
          </w:p>
        </w:tc>
        <w:tc>
          <w:tcPr>
            <w:tcW w:w="2519"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w:t>
            </w:r>
          </w:p>
        </w:tc>
        <w:tc>
          <w:tcPr>
            <w:tcW w:w="4295" w:type="dxa"/>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延安市突发事件新闻发布应急预案</w:t>
            </w:r>
          </w:p>
        </w:tc>
      </w:tr>
    </w:tbl>
    <w:p>
      <w:pPr>
        <w:pStyle w:val="8"/>
        <w:spacing w:after="0"/>
        <w:ind w:left="0" w:leftChars="0" w:right="0" w:rightChars="0"/>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注：牵头部门为多部门的，第一顺位为预案起草或协调部门，其他为配合部门；根据情况变化，市专项预案将不断调整完善。</w:t>
      </w:r>
    </w:p>
    <w:p>
      <w:pPr>
        <w:pStyle w:val="8"/>
        <w:ind w:left="0" w:leftChars="0" w:right="1470"/>
        <w:rPr>
          <w:b/>
          <w:bCs/>
          <w:color w:val="000000" w:themeColor="text1"/>
          <w14:textFill>
            <w14:solidFill>
              <w14:schemeClr w14:val="tx1"/>
            </w14:solidFill>
          </w14:textFill>
        </w:rPr>
        <w:sectPr>
          <w:footerReference r:id="rId6" w:type="default"/>
          <w:footerReference r:id="rId7" w:type="even"/>
          <w:pgSz w:w="16838" w:h="11905" w:orient="landscape"/>
          <w:pgMar w:top="1587" w:right="2098" w:bottom="1474" w:left="1984" w:header="850" w:footer="964" w:gutter="0"/>
          <w:pgNumType w:fmt="decimal"/>
          <w:cols w:space="0" w:num="1"/>
          <w:docGrid w:type="lines" w:linePitch="315" w:charSpace="0"/>
        </w:sectPr>
      </w:pPr>
    </w:p>
    <w:bookmarkEnd w:id="96"/>
    <w:bookmarkEnd w:id="97"/>
    <w:bookmarkEnd w:id="98"/>
    <w:bookmarkEnd w:id="99"/>
    <w:bookmarkEnd w:id="100"/>
    <w:bookmarkEnd w:id="101"/>
    <w:bookmarkEnd w:id="112"/>
    <w:p>
      <w:pPr>
        <w:spacing w:line="560" w:lineRule="exact"/>
        <w:jc w:val="left"/>
        <w:outlineLvl w:val="1"/>
        <w:rPr>
          <w:rFonts w:ascii="黑体" w:hAnsi="黑体" w:eastAsia="黑体" w:cs="黑体"/>
          <w:b/>
          <w:bCs/>
          <w:color w:val="000000" w:themeColor="text1"/>
          <w:sz w:val="32"/>
          <w:szCs w:val="32"/>
          <w14:textFill>
            <w14:solidFill>
              <w14:schemeClr w14:val="tx1"/>
            </w14:solidFill>
          </w14:textFill>
        </w:rPr>
      </w:pPr>
      <w:bookmarkStart w:id="121" w:name="_Toc30794"/>
      <w:bookmarkStart w:id="122" w:name="_Toc16325"/>
      <w:bookmarkStart w:id="123" w:name="_Toc28230"/>
      <w:bookmarkStart w:id="124" w:name="_Toc11665"/>
      <w:bookmarkStart w:id="125" w:name="_Toc29841"/>
      <w:bookmarkStart w:id="126" w:name="_Toc2122"/>
      <w:bookmarkStart w:id="127" w:name="_Toc10320"/>
      <w:bookmarkStart w:id="128" w:name="_Toc17281"/>
      <w:bookmarkStart w:id="129" w:name="_Toc26081"/>
      <w:bookmarkStart w:id="130" w:name="_Toc2811"/>
      <w:bookmarkStart w:id="131" w:name="_Toc28728"/>
      <w:bookmarkStart w:id="132" w:name="_Toc12968"/>
      <w:bookmarkStart w:id="133" w:name="_Toc2569"/>
      <w:bookmarkStart w:id="134" w:name="_Toc6260"/>
      <w:bookmarkStart w:id="135" w:name="_Toc14732"/>
      <w:r>
        <w:rPr>
          <w:rFonts w:hint="eastAsia" w:ascii="黑体" w:hAnsi="黑体" w:eastAsia="黑体" w:cs="黑体"/>
          <w:b/>
          <w:bCs/>
          <w:color w:val="000000" w:themeColor="text1"/>
          <w:sz w:val="32"/>
          <w:szCs w:val="32"/>
          <w14:textFill>
            <w14:solidFill>
              <w14:schemeClr w14:val="tx1"/>
            </w14:solidFill>
          </w14:textFill>
        </w:rPr>
        <w:t>附件</w:t>
      </w:r>
      <w:bookmarkEnd w:id="121"/>
      <w:bookmarkEnd w:id="122"/>
      <w:r>
        <w:rPr>
          <w:rFonts w:hint="eastAsia" w:ascii="黑体" w:hAnsi="黑体" w:eastAsia="黑体" w:cs="黑体"/>
          <w:b/>
          <w:bCs/>
          <w:color w:val="000000" w:themeColor="text1"/>
          <w:sz w:val="32"/>
          <w:szCs w:val="32"/>
          <w14:textFill>
            <w14:solidFill>
              <w14:schemeClr w14:val="tx1"/>
            </w14:solidFill>
          </w14:textFill>
        </w:rPr>
        <w:t>2</w:t>
      </w:r>
      <w:bookmarkEnd w:id="123"/>
      <w:bookmarkEnd w:id="124"/>
      <w:bookmarkEnd w:id="125"/>
      <w:bookmarkEnd w:id="126"/>
    </w:p>
    <w:p>
      <w:pPr>
        <w:spacing w:line="560" w:lineRule="exact"/>
        <w:jc w:val="center"/>
        <w:outlineLvl w:val="1"/>
        <w:rPr>
          <w:rFonts w:ascii="方正小标宋简体" w:hAnsi="方正小标宋简体" w:eastAsia="方正小标宋简体" w:cs="方正小标宋简体"/>
          <w:color w:val="000000" w:themeColor="text1"/>
          <w:sz w:val="44"/>
          <w:szCs w:val="44"/>
          <w14:textFill>
            <w14:solidFill>
              <w14:schemeClr w14:val="tx1"/>
            </w14:solidFill>
          </w14:textFill>
        </w:rPr>
      </w:pPr>
      <w:bookmarkStart w:id="136" w:name="_Toc30671"/>
      <w:bookmarkStart w:id="137" w:name="_Toc5289"/>
      <w:bookmarkStart w:id="138" w:name="_Toc12602"/>
      <w:bookmarkStart w:id="139" w:name="_Toc10084"/>
      <w:bookmarkStart w:id="140" w:name="_Toc9134"/>
      <w:bookmarkStart w:id="141" w:name="_Toc28236"/>
      <w:bookmarkStart w:id="142" w:name="_Toc19007"/>
      <w:bookmarkStart w:id="143" w:name="_Toc21243"/>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延安市突发事件应急保障工作牵头协调部门和支持部门</w:t>
      </w:r>
      <w:bookmarkEnd w:id="127"/>
      <w:bookmarkEnd w:id="128"/>
      <w:bookmarkEnd w:id="129"/>
      <w:bookmarkEnd w:id="130"/>
      <w:bookmarkEnd w:id="131"/>
      <w:bookmarkEnd w:id="132"/>
      <w:bookmarkEnd w:id="133"/>
      <w:bookmarkEnd w:id="134"/>
      <w:bookmarkEnd w:id="136"/>
      <w:bookmarkEnd w:id="137"/>
      <w:bookmarkEnd w:id="138"/>
      <w:bookmarkEnd w:id="139"/>
      <w:bookmarkEnd w:id="140"/>
      <w:bookmarkEnd w:id="141"/>
      <w:bookmarkEnd w:id="142"/>
      <w:bookmarkEnd w:id="143"/>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4"/>
        <w:gridCol w:w="2138"/>
        <w:gridCol w:w="3493"/>
        <w:gridCol w:w="6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2" w:hRule="atLeast"/>
          <w:tblHeader/>
          <w:jc w:val="center"/>
        </w:trPr>
        <w:tc>
          <w:tcPr>
            <w:tcW w:w="624" w:type="dxa"/>
            <w:tcMar>
              <w:top w:w="12" w:type="dxa"/>
              <w:left w:w="12" w:type="dxa"/>
              <w:right w:w="12" w:type="dxa"/>
            </w:tcMar>
            <w:vAlign w:val="center"/>
          </w:tcPr>
          <w:p>
            <w:pPr>
              <w:spacing w:line="400" w:lineRule="exact"/>
              <w:jc w:val="center"/>
              <w:textAlignment w:val="center"/>
              <w:rPr>
                <w:rFonts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14:textFill>
                  <w14:solidFill>
                    <w14:schemeClr w14:val="tx1"/>
                  </w14:solidFill>
                </w14:textFill>
              </w:rPr>
              <w:t>序号</w:t>
            </w:r>
          </w:p>
        </w:tc>
        <w:tc>
          <w:tcPr>
            <w:tcW w:w="2138" w:type="dxa"/>
            <w:tcMar>
              <w:top w:w="12" w:type="dxa"/>
              <w:left w:w="12" w:type="dxa"/>
              <w:right w:w="12" w:type="dxa"/>
            </w:tcMar>
            <w:vAlign w:val="center"/>
          </w:tcPr>
          <w:p>
            <w:pPr>
              <w:spacing w:line="400" w:lineRule="exact"/>
              <w:jc w:val="center"/>
              <w:textAlignment w:val="center"/>
              <w:rPr>
                <w:rFonts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14:textFill>
                  <w14:solidFill>
                    <w14:schemeClr w14:val="tx1"/>
                  </w14:solidFill>
                </w14:textFill>
              </w:rPr>
              <w:t>应急保障</w:t>
            </w:r>
          </w:p>
        </w:tc>
        <w:tc>
          <w:tcPr>
            <w:tcW w:w="3493" w:type="dxa"/>
            <w:tcMar>
              <w:top w:w="12" w:type="dxa"/>
              <w:left w:w="12" w:type="dxa"/>
              <w:right w:w="12" w:type="dxa"/>
            </w:tcMar>
            <w:vAlign w:val="center"/>
          </w:tcPr>
          <w:p>
            <w:pPr>
              <w:spacing w:line="400" w:lineRule="exact"/>
              <w:jc w:val="center"/>
              <w:textAlignment w:val="center"/>
              <w:rPr>
                <w:rFonts w:ascii="黑体" w:hAnsi="黑体" w:eastAsia="黑体" w:cs="黑体"/>
                <w:b/>
                <w:bCs/>
                <w:color w:val="000000" w:themeColor="text1"/>
                <w:kern w:val="0"/>
                <w:szCs w:val="21"/>
                <w14:textFill>
                  <w14:solidFill>
                    <w14:schemeClr w14:val="tx1"/>
                  </w14:solidFill>
                </w14:textFill>
              </w:rPr>
            </w:pPr>
            <w:r>
              <w:rPr>
                <w:rFonts w:hint="eastAsia" w:ascii="黑体" w:hAnsi="黑体" w:eastAsia="黑体" w:cs="黑体"/>
                <w:b/>
                <w:bCs/>
                <w:color w:val="000000" w:themeColor="text1"/>
                <w:kern w:val="0"/>
                <w:szCs w:val="21"/>
                <w14:textFill>
                  <w14:solidFill>
                    <w14:schemeClr w14:val="tx1"/>
                  </w14:solidFill>
                </w14:textFill>
              </w:rPr>
              <w:t>牵头协调部门</w:t>
            </w:r>
          </w:p>
        </w:tc>
        <w:tc>
          <w:tcPr>
            <w:tcW w:w="6514" w:type="dxa"/>
            <w:tcMar>
              <w:top w:w="12" w:type="dxa"/>
              <w:left w:w="12" w:type="dxa"/>
              <w:right w:w="12" w:type="dxa"/>
            </w:tcMar>
            <w:vAlign w:val="center"/>
          </w:tcPr>
          <w:p>
            <w:pPr>
              <w:spacing w:line="400" w:lineRule="exact"/>
              <w:jc w:val="center"/>
              <w:textAlignment w:val="center"/>
              <w:rPr>
                <w:rFonts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szCs w:val="21"/>
                <w14:textFill>
                  <w14:solidFill>
                    <w14:schemeClr w14:val="tx1"/>
                  </w14:solidFill>
                </w14:textFill>
              </w:rPr>
              <w:t>支持部门和单位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24" w:type="dxa"/>
            <w:tcMar>
              <w:top w:w="12" w:type="dxa"/>
              <w:left w:w="12" w:type="dxa"/>
              <w:right w:w="12" w:type="dxa"/>
            </w:tcMar>
            <w:vAlign w:val="center"/>
          </w:tcPr>
          <w:p>
            <w:pPr>
              <w:numPr>
                <w:ilvl w:val="0"/>
                <w:numId w:val="3"/>
              </w:numPr>
              <w:tabs>
                <w:tab w:val="left" w:pos="0"/>
              </w:tabs>
              <w:spacing w:line="400" w:lineRule="exact"/>
              <w:jc w:val="center"/>
              <w:textAlignment w:val="center"/>
              <w:rPr>
                <w:rFonts w:ascii="仿宋_GB2312" w:hAnsi="仿宋_GB2312" w:eastAsia="仿宋_GB2312" w:cs="仿宋_GB2312"/>
                <w:b/>
                <w:bCs/>
                <w:color w:val="000000" w:themeColor="text1"/>
                <w:szCs w:val="21"/>
                <w14:textFill>
                  <w14:solidFill>
                    <w14:schemeClr w14:val="tx1"/>
                  </w14:solidFill>
                </w14:textFill>
              </w:rPr>
            </w:pPr>
          </w:p>
        </w:tc>
        <w:tc>
          <w:tcPr>
            <w:tcW w:w="2138" w:type="dxa"/>
            <w:tcMar>
              <w:top w:w="12" w:type="dxa"/>
              <w:left w:w="12" w:type="dxa"/>
              <w:right w:w="12" w:type="dxa"/>
            </w:tcMar>
            <w:vAlign w:val="center"/>
          </w:tcPr>
          <w:p>
            <w:pPr>
              <w:spacing w:line="400" w:lineRule="exact"/>
              <w:jc w:val="center"/>
              <w:textAlignment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交通运输</w:t>
            </w:r>
          </w:p>
        </w:tc>
        <w:tc>
          <w:tcPr>
            <w:tcW w:w="3493" w:type="dxa"/>
            <w:tcMar>
              <w:top w:w="12" w:type="dxa"/>
              <w:left w:w="12" w:type="dxa"/>
              <w:right w:w="12" w:type="dxa"/>
            </w:tcMar>
            <w:vAlign w:val="center"/>
          </w:tcPr>
          <w:p>
            <w:pPr>
              <w:spacing w:line="400" w:lineRule="exact"/>
              <w:jc w:val="center"/>
              <w:textAlignment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市交运局</w:t>
            </w:r>
          </w:p>
        </w:tc>
        <w:tc>
          <w:tcPr>
            <w:tcW w:w="6514" w:type="dxa"/>
            <w:tcMar>
              <w:top w:w="12" w:type="dxa"/>
              <w:left w:w="12" w:type="dxa"/>
              <w:right w:w="12" w:type="dxa"/>
            </w:tcMar>
            <w:vAlign w:val="center"/>
          </w:tcPr>
          <w:p>
            <w:pPr>
              <w:spacing w:line="400" w:lineRule="exact"/>
              <w:jc w:val="left"/>
              <w:textAlignment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市公安局、市应急管理局、</w:t>
            </w:r>
            <w:r>
              <w:rPr>
                <w:rFonts w:hint="eastAsia" w:ascii="仿宋_GB2312" w:hAnsi="仿宋_GB2312" w:eastAsia="仿宋_GB2312" w:cs="仿宋_GB2312"/>
                <w:b/>
                <w:bCs/>
                <w:color w:val="000000" w:themeColor="text1"/>
                <w:szCs w:val="21"/>
                <w14:textFill>
                  <w14:solidFill>
                    <w14:schemeClr w14:val="tx1"/>
                  </w14:solidFill>
                </w14:textFill>
              </w:rPr>
              <w:t>武警延安支队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24" w:type="dxa"/>
            <w:tcMar>
              <w:top w:w="12" w:type="dxa"/>
              <w:left w:w="12" w:type="dxa"/>
              <w:right w:w="12" w:type="dxa"/>
            </w:tcMar>
            <w:vAlign w:val="center"/>
          </w:tcPr>
          <w:p>
            <w:pPr>
              <w:numPr>
                <w:ilvl w:val="0"/>
                <w:numId w:val="3"/>
              </w:numPr>
              <w:tabs>
                <w:tab w:val="left" w:pos="0"/>
              </w:tabs>
              <w:spacing w:line="400" w:lineRule="exact"/>
              <w:jc w:val="center"/>
              <w:textAlignment w:val="center"/>
              <w:rPr>
                <w:rFonts w:ascii="仿宋_GB2312" w:hAnsi="仿宋_GB2312" w:eastAsia="仿宋_GB2312" w:cs="仿宋_GB2312"/>
                <w:b/>
                <w:bCs/>
                <w:color w:val="000000" w:themeColor="text1"/>
                <w:szCs w:val="21"/>
                <w14:textFill>
                  <w14:solidFill>
                    <w14:schemeClr w14:val="tx1"/>
                  </w14:solidFill>
                </w14:textFill>
              </w:rPr>
            </w:pPr>
          </w:p>
        </w:tc>
        <w:tc>
          <w:tcPr>
            <w:tcW w:w="2138" w:type="dxa"/>
            <w:tcMar>
              <w:top w:w="12" w:type="dxa"/>
              <w:left w:w="12" w:type="dxa"/>
              <w:right w:w="12" w:type="dxa"/>
            </w:tcMar>
            <w:vAlign w:val="center"/>
          </w:tcPr>
          <w:p>
            <w:pPr>
              <w:spacing w:line="400" w:lineRule="exact"/>
              <w:jc w:val="center"/>
              <w:textAlignment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医学救援</w:t>
            </w:r>
          </w:p>
        </w:tc>
        <w:tc>
          <w:tcPr>
            <w:tcW w:w="3493" w:type="dxa"/>
            <w:tcMar>
              <w:top w:w="12" w:type="dxa"/>
              <w:left w:w="12" w:type="dxa"/>
              <w:right w:w="12" w:type="dxa"/>
            </w:tcMar>
            <w:vAlign w:val="center"/>
          </w:tcPr>
          <w:p>
            <w:pPr>
              <w:spacing w:line="400" w:lineRule="exact"/>
              <w:jc w:val="center"/>
              <w:textAlignment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市卫健委</w:t>
            </w:r>
          </w:p>
        </w:tc>
        <w:tc>
          <w:tcPr>
            <w:tcW w:w="6514" w:type="dxa"/>
            <w:tcMar>
              <w:top w:w="12" w:type="dxa"/>
              <w:left w:w="12" w:type="dxa"/>
              <w:right w:w="12" w:type="dxa"/>
            </w:tcMar>
            <w:vAlign w:val="center"/>
          </w:tcPr>
          <w:p>
            <w:pPr>
              <w:spacing w:line="400" w:lineRule="exact"/>
              <w:jc w:val="left"/>
              <w:textAlignment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市市场监管局、市医疗保障局、红十字会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tcMar>
              <w:top w:w="12" w:type="dxa"/>
              <w:left w:w="12" w:type="dxa"/>
              <w:right w:w="12" w:type="dxa"/>
            </w:tcMar>
            <w:vAlign w:val="center"/>
          </w:tcPr>
          <w:p>
            <w:pPr>
              <w:numPr>
                <w:ilvl w:val="0"/>
                <w:numId w:val="3"/>
              </w:numPr>
              <w:tabs>
                <w:tab w:val="left" w:pos="0"/>
              </w:tabs>
              <w:spacing w:line="400" w:lineRule="exact"/>
              <w:jc w:val="center"/>
              <w:textAlignment w:val="center"/>
              <w:rPr>
                <w:rFonts w:ascii="仿宋_GB2312" w:hAnsi="仿宋_GB2312" w:eastAsia="仿宋_GB2312" w:cs="仿宋_GB2312"/>
                <w:b/>
                <w:bCs/>
                <w:color w:val="000000" w:themeColor="text1"/>
                <w:szCs w:val="21"/>
                <w14:textFill>
                  <w14:solidFill>
                    <w14:schemeClr w14:val="tx1"/>
                  </w14:solidFill>
                </w14:textFill>
              </w:rPr>
            </w:pPr>
          </w:p>
        </w:tc>
        <w:tc>
          <w:tcPr>
            <w:tcW w:w="2138" w:type="dxa"/>
            <w:tcMar>
              <w:top w:w="12" w:type="dxa"/>
              <w:left w:w="12" w:type="dxa"/>
              <w:right w:w="12" w:type="dxa"/>
            </w:tcMar>
            <w:vAlign w:val="center"/>
          </w:tcPr>
          <w:p>
            <w:pPr>
              <w:spacing w:line="400" w:lineRule="exact"/>
              <w:jc w:val="center"/>
              <w:textAlignment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通信保障</w:t>
            </w:r>
          </w:p>
        </w:tc>
        <w:tc>
          <w:tcPr>
            <w:tcW w:w="3493" w:type="dxa"/>
            <w:tcMar>
              <w:top w:w="12" w:type="dxa"/>
              <w:left w:w="12" w:type="dxa"/>
              <w:right w:w="12" w:type="dxa"/>
            </w:tcMar>
            <w:vAlign w:val="center"/>
          </w:tcPr>
          <w:p>
            <w:pPr>
              <w:spacing w:line="400" w:lineRule="exact"/>
              <w:jc w:val="center"/>
              <w:textAlignment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市工信局</w:t>
            </w:r>
          </w:p>
        </w:tc>
        <w:tc>
          <w:tcPr>
            <w:tcW w:w="6514" w:type="dxa"/>
            <w:tcMar>
              <w:top w:w="12" w:type="dxa"/>
              <w:left w:w="12" w:type="dxa"/>
              <w:right w:w="12" w:type="dxa"/>
            </w:tcMar>
            <w:vAlign w:val="center"/>
          </w:tcPr>
          <w:p>
            <w:pPr>
              <w:spacing w:line="400" w:lineRule="exact"/>
              <w:jc w:val="left"/>
              <w:textAlignment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市文旅局、市应急管理局、市发改委、延安移动公司、延安电信公司、延安联通公司、延安铁塔公司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24" w:type="dxa"/>
            <w:tcMar>
              <w:top w:w="12" w:type="dxa"/>
              <w:left w:w="12" w:type="dxa"/>
              <w:right w:w="12" w:type="dxa"/>
            </w:tcMar>
            <w:vAlign w:val="center"/>
          </w:tcPr>
          <w:p>
            <w:pPr>
              <w:numPr>
                <w:ilvl w:val="0"/>
                <w:numId w:val="3"/>
              </w:numPr>
              <w:tabs>
                <w:tab w:val="left" w:pos="0"/>
              </w:tabs>
              <w:spacing w:line="400" w:lineRule="exact"/>
              <w:jc w:val="center"/>
              <w:textAlignment w:val="center"/>
              <w:rPr>
                <w:rFonts w:ascii="仿宋_GB2312" w:hAnsi="仿宋_GB2312" w:eastAsia="仿宋_GB2312" w:cs="仿宋_GB2312"/>
                <w:b/>
                <w:bCs/>
                <w:color w:val="000000" w:themeColor="text1"/>
                <w:szCs w:val="21"/>
                <w14:textFill>
                  <w14:solidFill>
                    <w14:schemeClr w14:val="tx1"/>
                  </w14:solidFill>
                </w14:textFill>
              </w:rPr>
            </w:pPr>
          </w:p>
        </w:tc>
        <w:tc>
          <w:tcPr>
            <w:tcW w:w="2138" w:type="dxa"/>
            <w:tcMar>
              <w:top w:w="12" w:type="dxa"/>
              <w:left w:w="12" w:type="dxa"/>
              <w:right w:w="12" w:type="dxa"/>
            </w:tcMar>
            <w:vAlign w:val="center"/>
          </w:tcPr>
          <w:p>
            <w:pPr>
              <w:spacing w:line="400" w:lineRule="exact"/>
              <w:jc w:val="center"/>
              <w:textAlignment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现场信息</w:t>
            </w:r>
          </w:p>
        </w:tc>
        <w:tc>
          <w:tcPr>
            <w:tcW w:w="3493" w:type="dxa"/>
            <w:tcMar>
              <w:top w:w="12" w:type="dxa"/>
              <w:left w:w="12" w:type="dxa"/>
              <w:right w:w="12" w:type="dxa"/>
            </w:tcMar>
            <w:vAlign w:val="center"/>
          </w:tcPr>
          <w:p>
            <w:pPr>
              <w:spacing w:line="400" w:lineRule="exact"/>
              <w:jc w:val="center"/>
              <w:textAlignment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突发事件处置牵头部门</w:t>
            </w:r>
          </w:p>
        </w:tc>
        <w:tc>
          <w:tcPr>
            <w:tcW w:w="6514" w:type="dxa"/>
            <w:tcMar>
              <w:top w:w="12" w:type="dxa"/>
              <w:left w:w="12" w:type="dxa"/>
              <w:right w:w="12" w:type="dxa"/>
            </w:tcMar>
            <w:vAlign w:val="center"/>
          </w:tcPr>
          <w:p>
            <w:pPr>
              <w:spacing w:line="400" w:lineRule="exact"/>
              <w:jc w:val="left"/>
              <w:textAlignment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市应急管理局、市交运局、市公安局、市工信局、</w:t>
            </w:r>
            <w:r>
              <w:rPr>
                <w:rFonts w:hint="eastAsia" w:ascii="仿宋_GB2312" w:hAnsi="仿宋_GB2312" w:eastAsia="仿宋_GB2312" w:cs="仿宋_GB2312"/>
                <w:b/>
                <w:bCs/>
                <w:color w:val="000000" w:themeColor="text1"/>
                <w:szCs w:val="21"/>
                <w14:textFill>
                  <w14:solidFill>
                    <w14:schemeClr w14:val="tx1"/>
                  </w14:solidFill>
                </w14:textFill>
              </w:rPr>
              <w:t>武警延安支队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tcMar>
              <w:top w:w="12" w:type="dxa"/>
              <w:left w:w="12" w:type="dxa"/>
              <w:right w:w="12" w:type="dxa"/>
            </w:tcMar>
            <w:vAlign w:val="center"/>
          </w:tcPr>
          <w:p>
            <w:pPr>
              <w:numPr>
                <w:ilvl w:val="0"/>
                <w:numId w:val="3"/>
              </w:numPr>
              <w:tabs>
                <w:tab w:val="left" w:pos="0"/>
              </w:tabs>
              <w:spacing w:line="400" w:lineRule="exact"/>
              <w:jc w:val="center"/>
              <w:textAlignment w:val="center"/>
              <w:rPr>
                <w:rFonts w:ascii="仿宋_GB2312" w:hAnsi="仿宋_GB2312" w:eastAsia="仿宋_GB2312" w:cs="仿宋_GB2312"/>
                <w:b/>
                <w:bCs/>
                <w:color w:val="000000" w:themeColor="text1"/>
                <w:szCs w:val="21"/>
                <w14:textFill>
                  <w14:solidFill>
                    <w14:schemeClr w14:val="tx1"/>
                  </w14:solidFill>
                </w14:textFill>
              </w:rPr>
            </w:pPr>
          </w:p>
        </w:tc>
        <w:tc>
          <w:tcPr>
            <w:tcW w:w="2138" w:type="dxa"/>
            <w:tcMar>
              <w:top w:w="12" w:type="dxa"/>
              <w:left w:w="12" w:type="dxa"/>
              <w:right w:w="12" w:type="dxa"/>
            </w:tcMar>
            <w:vAlign w:val="center"/>
          </w:tcPr>
          <w:p>
            <w:pPr>
              <w:spacing w:line="400" w:lineRule="exact"/>
              <w:jc w:val="center"/>
              <w:textAlignment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抢险救援</w:t>
            </w:r>
          </w:p>
          <w:p>
            <w:pPr>
              <w:spacing w:line="400" w:lineRule="exact"/>
              <w:jc w:val="center"/>
              <w:textAlignment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物资装备</w:t>
            </w:r>
          </w:p>
        </w:tc>
        <w:tc>
          <w:tcPr>
            <w:tcW w:w="3493" w:type="dxa"/>
            <w:tcMar>
              <w:top w:w="12" w:type="dxa"/>
              <w:left w:w="12" w:type="dxa"/>
              <w:right w:w="12" w:type="dxa"/>
            </w:tcMar>
            <w:vAlign w:val="center"/>
          </w:tcPr>
          <w:p>
            <w:pPr>
              <w:spacing w:line="400" w:lineRule="exact"/>
              <w:jc w:val="center"/>
              <w:textAlignment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市应急管理局、市发改委、市工信局</w:t>
            </w:r>
          </w:p>
        </w:tc>
        <w:tc>
          <w:tcPr>
            <w:tcW w:w="6514" w:type="dxa"/>
            <w:tcMar>
              <w:top w:w="12" w:type="dxa"/>
              <w:left w:w="12" w:type="dxa"/>
              <w:right w:w="12" w:type="dxa"/>
            </w:tcMar>
            <w:vAlign w:val="center"/>
          </w:tcPr>
          <w:p>
            <w:pPr>
              <w:spacing w:line="400" w:lineRule="exact"/>
              <w:jc w:val="left"/>
              <w:textAlignment w:val="center"/>
              <w:rPr>
                <w:rFonts w:hint="eastAsia"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市财政局、市公安局、市水务局、市自然资源局、市市场监管局、</w:t>
            </w:r>
          </w:p>
          <w:p>
            <w:pPr>
              <w:spacing w:line="400" w:lineRule="exact"/>
              <w:jc w:val="left"/>
              <w:textAlignment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市城管执法局、武警延安支队、市消防救援支队、红十字会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tcMar>
              <w:top w:w="12" w:type="dxa"/>
              <w:left w:w="12" w:type="dxa"/>
              <w:right w:w="12" w:type="dxa"/>
            </w:tcMar>
            <w:vAlign w:val="center"/>
          </w:tcPr>
          <w:p>
            <w:pPr>
              <w:numPr>
                <w:ilvl w:val="0"/>
                <w:numId w:val="3"/>
              </w:numPr>
              <w:tabs>
                <w:tab w:val="left" w:pos="0"/>
              </w:tabs>
              <w:spacing w:line="400" w:lineRule="exact"/>
              <w:jc w:val="center"/>
              <w:textAlignment w:val="center"/>
              <w:rPr>
                <w:rFonts w:ascii="仿宋_GB2312" w:hAnsi="仿宋_GB2312" w:eastAsia="仿宋_GB2312" w:cs="仿宋_GB2312"/>
                <w:b/>
                <w:bCs/>
                <w:color w:val="000000" w:themeColor="text1"/>
                <w:szCs w:val="21"/>
                <w14:textFill>
                  <w14:solidFill>
                    <w14:schemeClr w14:val="tx1"/>
                  </w14:solidFill>
                </w14:textFill>
              </w:rPr>
            </w:pPr>
          </w:p>
        </w:tc>
        <w:tc>
          <w:tcPr>
            <w:tcW w:w="2138" w:type="dxa"/>
            <w:tcMar>
              <w:top w:w="12" w:type="dxa"/>
              <w:left w:w="12" w:type="dxa"/>
              <w:right w:w="12" w:type="dxa"/>
            </w:tcMar>
            <w:vAlign w:val="center"/>
          </w:tcPr>
          <w:p>
            <w:pPr>
              <w:spacing w:line="400" w:lineRule="exact"/>
              <w:jc w:val="center"/>
              <w:textAlignment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群众生活</w:t>
            </w:r>
          </w:p>
        </w:tc>
        <w:tc>
          <w:tcPr>
            <w:tcW w:w="3493" w:type="dxa"/>
            <w:tcMar>
              <w:top w:w="12" w:type="dxa"/>
              <w:left w:w="12" w:type="dxa"/>
              <w:right w:w="12" w:type="dxa"/>
            </w:tcMar>
            <w:vAlign w:val="center"/>
          </w:tcPr>
          <w:p>
            <w:pPr>
              <w:spacing w:line="400" w:lineRule="exact"/>
              <w:jc w:val="center"/>
              <w:textAlignment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市应急管理局</w:t>
            </w:r>
          </w:p>
        </w:tc>
        <w:tc>
          <w:tcPr>
            <w:tcW w:w="6514" w:type="dxa"/>
            <w:tcMar>
              <w:top w:w="12" w:type="dxa"/>
              <w:left w:w="12" w:type="dxa"/>
              <w:right w:w="12" w:type="dxa"/>
            </w:tcMar>
            <w:vAlign w:val="center"/>
          </w:tcPr>
          <w:p>
            <w:pPr>
              <w:spacing w:line="400" w:lineRule="exact"/>
              <w:jc w:val="left"/>
              <w:textAlignment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市发改委、市财政局、市商务局、市卫健委、市民政局、市市场监管局、红十字会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24" w:type="dxa"/>
            <w:tcMar>
              <w:top w:w="12" w:type="dxa"/>
              <w:left w:w="12" w:type="dxa"/>
              <w:right w:w="12" w:type="dxa"/>
            </w:tcMar>
            <w:vAlign w:val="center"/>
          </w:tcPr>
          <w:p>
            <w:pPr>
              <w:numPr>
                <w:ilvl w:val="0"/>
                <w:numId w:val="3"/>
              </w:numPr>
              <w:tabs>
                <w:tab w:val="left" w:pos="0"/>
              </w:tabs>
              <w:spacing w:line="400" w:lineRule="exact"/>
              <w:jc w:val="center"/>
              <w:textAlignment w:val="center"/>
              <w:rPr>
                <w:rFonts w:ascii="仿宋_GB2312" w:hAnsi="仿宋_GB2312" w:eastAsia="仿宋_GB2312" w:cs="仿宋_GB2312"/>
                <w:b/>
                <w:bCs/>
                <w:color w:val="000000" w:themeColor="text1"/>
                <w:szCs w:val="21"/>
                <w14:textFill>
                  <w14:solidFill>
                    <w14:schemeClr w14:val="tx1"/>
                  </w14:solidFill>
                </w14:textFill>
              </w:rPr>
            </w:pPr>
          </w:p>
        </w:tc>
        <w:tc>
          <w:tcPr>
            <w:tcW w:w="2138" w:type="dxa"/>
            <w:tcMar>
              <w:top w:w="12" w:type="dxa"/>
              <w:left w:w="12" w:type="dxa"/>
              <w:right w:w="12" w:type="dxa"/>
            </w:tcMar>
            <w:vAlign w:val="center"/>
          </w:tcPr>
          <w:p>
            <w:pPr>
              <w:spacing w:line="400" w:lineRule="exact"/>
              <w:jc w:val="center"/>
              <w:textAlignment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社会秩序</w:t>
            </w:r>
          </w:p>
        </w:tc>
        <w:tc>
          <w:tcPr>
            <w:tcW w:w="3493" w:type="dxa"/>
            <w:tcMar>
              <w:top w:w="12" w:type="dxa"/>
              <w:left w:w="12" w:type="dxa"/>
              <w:right w:w="12" w:type="dxa"/>
            </w:tcMar>
            <w:vAlign w:val="center"/>
          </w:tcPr>
          <w:p>
            <w:pPr>
              <w:spacing w:line="400" w:lineRule="exact"/>
              <w:jc w:val="center"/>
              <w:textAlignment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市公安局</w:t>
            </w:r>
          </w:p>
        </w:tc>
        <w:tc>
          <w:tcPr>
            <w:tcW w:w="6514" w:type="dxa"/>
            <w:tcMar>
              <w:top w:w="12" w:type="dxa"/>
              <w:left w:w="12" w:type="dxa"/>
              <w:right w:w="12" w:type="dxa"/>
            </w:tcMar>
            <w:vAlign w:val="center"/>
          </w:tcPr>
          <w:p>
            <w:pPr>
              <w:spacing w:line="400" w:lineRule="exact"/>
              <w:jc w:val="left"/>
              <w:textAlignment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武警延安支队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24" w:type="dxa"/>
            <w:tcMar>
              <w:top w:w="12" w:type="dxa"/>
              <w:left w:w="12" w:type="dxa"/>
              <w:right w:w="12" w:type="dxa"/>
            </w:tcMar>
            <w:vAlign w:val="center"/>
          </w:tcPr>
          <w:p>
            <w:pPr>
              <w:numPr>
                <w:ilvl w:val="0"/>
                <w:numId w:val="3"/>
              </w:numPr>
              <w:tabs>
                <w:tab w:val="left" w:pos="0"/>
              </w:tabs>
              <w:spacing w:line="400" w:lineRule="exact"/>
              <w:jc w:val="center"/>
              <w:textAlignment w:val="center"/>
              <w:rPr>
                <w:rFonts w:ascii="仿宋_GB2312" w:hAnsi="仿宋_GB2312" w:eastAsia="仿宋_GB2312" w:cs="仿宋_GB2312"/>
                <w:b/>
                <w:bCs/>
                <w:color w:val="000000" w:themeColor="text1"/>
                <w:szCs w:val="21"/>
                <w14:textFill>
                  <w14:solidFill>
                    <w14:schemeClr w14:val="tx1"/>
                  </w14:solidFill>
                </w14:textFill>
              </w:rPr>
            </w:pPr>
          </w:p>
        </w:tc>
        <w:tc>
          <w:tcPr>
            <w:tcW w:w="2138" w:type="dxa"/>
            <w:tcMar>
              <w:top w:w="12" w:type="dxa"/>
              <w:left w:w="12" w:type="dxa"/>
              <w:right w:w="12" w:type="dxa"/>
            </w:tcMar>
            <w:vAlign w:val="center"/>
          </w:tcPr>
          <w:p>
            <w:pPr>
              <w:spacing w:line="400" w:lineRule="exact"/>
              <w:jc w:val="center"/>
              <w:textAlignment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新闻保障</w:t>
            </w:r>
          </w:p>
        </w:tc>
        <w:tc>
          <w:tcPr>
            <w:tcW w:w="3493" w:type="dxa"/>
            <w:tcMar>
              <w:top w:w="12" w:type="dxa"/>
              <w:left w:w="12" w:type="dxa"/>
              <w:right w:w="12" w:type="dxa"/>
            </w:tcMar>
            <w:vAlign w:val="center"/>
          </w:tcPr>
          <w:p>
            <w:pPr>
              <w:spacing w:line="400" w:lineRule="exact"/>
              <w:jc w:val="center"/>
              <w:textAlignment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市委宣传部</w:t>
            </w:r>
          </w:p>
        </w:tc>
        <w:tc>
          <w:tcPr>
            <w:tcW w:w="6514" w:type="dxa"/>
            <w:tcMar>
              <w:top w:w="12" w:type="dxa"/>
              <w:left w:w="12" w:type="dxa"/>
              <w:right w:w="12" w:type="dxa"/>
            </w:tcMar>
            <w:vAlign w:val="center"/>
          </w:tcPr>
          <w:p>
            <w:pPr>
              <w:spacing w:line="400" w:lineRule="exact"/>
              <w:jc w:val="left"/>
              <w:textAlignment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市委网信办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24" w:type="dxa"/>
            <w:tcMar>
              <w:top w:w="12" w:type="dxa"/>
              <w:left w:w="12" w:type="dxa"/>
              <w:right w:w="12" w:type="dxa"/>
            </w:tcMar>
            <w:vAlign w:val="center"/>
          </w:tcPr>
          <w:p>
            <w:pPr>
              <w:numPr>
                <w:ilvl w:val="0"/>
                <w:numId w:val="3"/>
              </w:numPr>
              <w:tabs>
                <w:tab w:val="left" w:pos="0"/>
              </w:tabs>
              <w:spacing w:line="400" w:lineRule="exact"/>
              <w:jc w:val="center"/>
              <w:textAlignment w:val="center"/>
              <w:rPr>
                <w:rFonts w:ascii="仿宋_GB2312" w:hAnsi="仿宋_GB2312" w:eastAsia="仿宋_GB2312" w:cs="仿宋_GB2312"/>
                <w:b/>
                <w:bCs/>
                <w:color w:val="000000" w:themeColor="text1"/>
                <w:szCs w:val="21"/>
                <w14:textFill>
                  <w14:solidFill>
                    <w14:schemeClr w14:val="tx1"/>
                  </w14:solidFill>
                </w14:textFill>
              </w:rPr>
            </w:pPr>
          </w:p>
        </w:tc>
        <w:tc>
          <w:tcPr>
            <w:tcW w:w="2138" w:type="dxa"/>
            <w:tcMar>
              <w:top w:w="12" w:type="dxa"/>
              <w:left w:w="12" w:type="dxa"/>
              <w:right w:w="12" w:type="dxa"/>
            </w:tcMar>
            <w:vAlign w:val="center"/>
          </w:tcPr>
          <w:p>
            <w:pPr>
              <w:spacing w:line="400" w:lineRule="exact"/>
              <w:jc w:val="center"/>
              <w:textAlignment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勤务保障</w:t>
            </w:r>
          </w:p>
        </w:tc>
        <w:tc>
          <w:tcPr>
            <w:tcW w:w="3493" w:type="dxa"/>
            <w:tcMar>
              <w:top w:w="12" w:type="dxa"/>
              <w:left w:w="12" w:type="dxa"/>
              <w:right w:w="12" w:type="dxa"/>
            </w:tcMar>
            <w:vAlign w:val="center"/>
          </w:tcPr>
          <w:p>
            <w:pPr>
              <w:spacing w:line="400" w:lineRule="exact"/>
              <w:jc w:val="center"/>
              <w:textAlignment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突发事件主要牵头部门</w:t>
            </w:r>
          </w:p>
        </w:tc>
        <w:tc>
          <w:tcPr>
            <w:tcW w:w="6514" w:type="dxa"/>
            <w:tcMar>
              <w:top w:w="12" w:type="dxa"/>
              <w:left w:w="12" w:type="dxa"/>
              <w:right w:w="12" w:type="dxa"/>
            </w:tcMar>
            <w:vAlign w:val="center"/>
          </w:tcPr>
          <w:p>
            <w:pPr>
              <w:spacing w:line="400" w:lineRule="exact"/>
              <w:jc w:val="left"/>
              <w:textAlignment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市公安局、市卫健委、</w:t>
            </w:r>
            <w:r>
              <w:rPr>
                <w:rFonts w:hint="eastAsia" w:ascii="仿宋_GB2312" w:hAnsi="仿宋_GB2312" w:eastAsia="仿宋_GB2312" w:cs="仿宋_GB2312"/>
                <w:b/>
                <w:bCs/>
                <w:color w:val="000000" w:themeColor="text1"/>
                <w:szCs w:val="21"/>
                <w14:textFill>
                  <w14:solidFill>
                    <w14:schemeClr w14:val="tx1"/>
                  </w14:solidFill>
                </w14:textFill>
              </w:rPr>
              <w:t>武警延安支队</w:t>
            </w:r>
          </w:p>
        </w:tc>
      </w:tr>
    </w:tbl>
    <w:p>
      <w:pPr>
        <w:pStyle w:val="8"/>
        <w:spacing w:after="0" w:line="360" w:lineRule="auto"/>
        <w:ind w:left="0" w:leftChars="0" w:right="0" w:rightChars="0"/>
        <w:rPr>
          <w:rFonts w:ascii="仿宋_GB2312" w:hAnsi="仿宋_GB2312" w:eastAsia="仿宋_GB2312" w:cs="仿宋_GB2312"/>
          <w:b/>
          <w:bCs/>
          <w:color w:val="000000" w:themeColor="text1"/>
          <w14:textFill>
            <w14:solidFill>
              <w14:schemeClr w14:val="tx1"/>
            </w14:solidFill>
          </w14:textFill>
        </w:rPr>
        <w:sectPr>
          <w:headerReference r:id="rId8" w:type="default"/>
          <w:footerReference r:id="rId9" w:type="default"/>
          <w:pgSz w:w="16838" w:h="11905" w:orient="landscape"/>
          <w:pgMar w:top="1587" w:right="2098" w:bottom="1474" w:left="1984" w:header="850" w:footer="992" w:gutter="0"/>
          <w:pgNumType w:fmt="decimal"/>
          <w:cols w:space="0" w:num="1"/>
          <w:docGrid w:type="lines" w:linePitch="315" w:charSpace="0"/>
        </w:sectPr>
      </w:pPr>
      <w:r>
        <w:rPr>
          <w:rFonts w:hint="eastAsia" w:ascii="仿宋_GB2312" w:hAnsi="仿宋_GB2312" w:eastAsia="仿宋_GB2312" w:cs="仿宋_GB2312"/>
          <w:b/>
          <w:bCs/>
          <w:color w:val="000000" w:themeColor="text1"/>
          <w14:textFill>
            <w14:solidFill>
              <w14:schemeClr w14:val="tx1"/>
            </w14:solidFill>
          </w14:textFill>
        </w:rPr>
        <w:t>注：根据突发事件应对需要，视情增加相关部门和单位。军队单位、民兵兵力使用遵照军队兵力调动使用有关规定执行。</w:t>
      </w:r>
    </w:p>
    <w:bookmarkEnd w:id="135"/>
    <w:p>
      <w:pPr>
        <w:tabs>
          <w:tab w:val="left" w:pos="5369"/>
        </w:tabs>
        <w:spacing w:line="560" w:lineRule="exact"/>
        <w:jc w:val="left"/>
        <w:outlineLvl w:val="1"/>
        <w:rPr>
          <w:rFonts w:ascii="黑体" w:hAnsi="黑体" w:eastAsia="黑体" w:cs="黑体"/>
          <w:b/>
          <w:bCs/>
          <w:color w:val="000000" w:themeColor="text1"/>
          <w:kern w:val="0"/>
          <w:sz w:val="32"/>
          <w:szCs w:val="32"/>
          <w14:textFill>
            <w14:solidFill>
              <w14:schemeClr w14:val="tx1"/>
            </w14:solidFill>
          </w14:textFill>
        </w:rPr>
      </w:pPr>
      <w:bookmarkStart w:id="144" w:name="_Toc29241"/>
      <w:bookmarkStart w:id="145" w:name="_Toc4576"/>
      <w:bookmarkStart w:id="146" w:name="_Toc2406"/>
      <w:bookmarkStart w:id="147" w:name="_Toc5240"/>
      <w:bookmarkStart w:id="148" w:name="_Toc14124"/>
      <w:bookmarkStart w:id="149" w:name="_Toc12820"/>
      <w:bookmarkStart w:id="150" w:name="_Toc25121"/>
      <w:bookmarkStart w:id="151" w:name="_Toc29400"/>
      <w:bookmarkStart w:id="152" w:name="_Toc23220"/>
      <w:bookmarkStart w:id="153" w:name="_Toc32563"/>
      <w:bookmarkStart w:id="154" w:name="_Toc27367"/>
      <w:bookmarkStart w:id="155" w:name="_Toc7735"/>
      <w:r>
        <w:rPr>
          <w:rFonts w:hint="eastAsia" w:ascii="黑体" w:hAnsi="黑体" w:eastAsia="黑体" w:cs="黑体"/>
          <w:b/>
          <w:bCs/>
          <w:color w:val="000000" w:themeColor="text1"/>
          <w:kern w:val="0"/>
          <w:sz w:val="32"/>
          <w:szCs w:val="32"/>
          <w14:textFill>
            <w14:solidFill>
              <w14:schemeClr w14:val="tx1"/>
            </w14:solidFill>
          </w14:textFill>
        </w:rPr>
        <w:t>附件3</w:t>
      </w:r>
      <w:bookmarkEnd w:id="144"/>
      <w:bookmarkEnd w:id="145"/>
      <w:bookmarkEnd w:id="146"/>
    </w:p>
    <w:p>
      <w:pPr>
        <w:spacing w:line="560" w:lineRule="exact"/>
        <w:jc w:val="center"/>
        <w:outlineLvl w:val="1"/>
        <w:rPr>
          <w:rFonts w:ascii="方正小标宋简体" w:hAnsi="方正小标宋简体" w:eastAsia="方正小标宋简体" w:cs="方正小标宋简体"/>
          <w:color w:val="000000" w:themeColor="text1"/>
          <w:sz w:val="44"/>
          <w:szCs w:val="44"/>
          <w14:textFill>
            <w14:solidFill>
              <w14:schemeClr w14:val="tx1"/>
            </w14:solidFill>
          </w14:textFill>
        </w:rPr>
      </w:pPr>
      <w:bookmarkStart w:id="156" w:name="_Toc23292"/>
      <w:bookmarkStart w:id="157" w:name="_Toc24730"/>
      <w:bookmarkStart w:id="158" w:name="_Toc24766"/>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延安市市级部门（单位）应对突发事件主要职责</w:t>
      </w:r>
      <w:bookmarkEnd w:id="156"/>
      <w:bookmarkEnd w:id="157"/>
      <w:bookmarkEnd w:id="158"/>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2273"/>
        <w:gridCol w:w="9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34" w:type="dxa"/>
            <w:vAlign w:val="center"/>
          </w:tcPr>
          <w:p>
            <w:pPr>
              <w:spacing w:line="400" w:lineRule="exact"/>
              <w:jc w:val="center"/>
              <w:rPr>
                <w:rFonts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序号</w:t>
            </w:r>
          </w:p>
        </w:tc>
        <w:tc>
          <w:tcPr>
            <w:tcW w:w="2273" w:type="dxa"/>
            <w:vAlign w:val="center"/>
          </w:tcPr>
          <w:p>
            <w:pPr>
              <w:spacing w:line="400" w:lineRule="exact"/>
              <w:jc w:val="center"/>
              <w:rPr>
                <w:rFonts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部门（单位）名称</w:t>
            </w:r>
          </w:p>
        </w:tc>
        <w:tc>
          <w:tcPr>
            <w:tcW w:w="9965" w:type="dxa"/>
            <w:vAlign w:val="center"/>
          </w:tcPr>
          <w:p>
            <w:pPr>
              <w:spacing w:line="400" w:lineRule="exact"/>
              <w:jc w:val="center"/>
              <w:rPr>
                <w:rFonts w:ascii="黑体" w:hAnsi="黑体" w:eastAsia="黑体" w:cs="黑体"/>
                <w:b/>
                <w:bCs/>
                <w:color w:val="000000" w:themeColor="text1"/>
                <w:kern w:val="0"/>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734" w:type="dxa"/>
            <w:vAlign w:val="center"/>
          </w:tcPr>
          <w:p>
            <w:pPr>
              <w:numPr>
                <w:ilvl w:val="0"/>
                <w:numId w:val="4"/>
              </w:num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273" w:type="dxa"/>
            <w:vAlign w:val="center"/>
          </w:tcPr>
          <w:p>
            <w:p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市委宣传部</w:t>
            </w:r>
          </w:p>
        </w:tc>
        <w:tc>
          <w:tcPr>
            <w:tcW w:w="9965" w:type="dxa"/>
            <w:vAlign w:val="center"/>
          </w:tcPr>
          <w:p>
            <w:pPr>
              <w:spacing w:line="400" w:lineRule="exact"/>
              <w:jc w:val="left"/>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负责归口管理延安市突发事件的新闻报道工作；提出突发事件新闻报道意见；做好延安市紧急处置突发事件的新闻发布工作；协调新闻媒体做好新闻报道工作；做好突发事件舆论引导工作。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734" w:type="dxa"/>
            <w:vAlign w:val="center"/>
          </w:tcPr>
          <w:p>
            <w:pPr>
              <w:numPr>
                <w:ilvl w:val="0"/>
                <w:numId w:val="4"/>
              </w:num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273" w:type="dxa"/>
            <w:vAlign w:val="center"/>
          </w:tcPr>
          <w:p>
            <w:p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市委办</w:t>
            </w:r>
          </w:p>
        </w:tc>
        <w:tc>
          <w:tcPr>
            <w:tcW w:w="9965" w:type="dxa"/>
            <w:vAlign w:val="center"/>
          </w:tcPr>
          <w:p>
            <w:pPr>
              <w:spacing w:line="400" w:lineRule="exact"/>
              <w:jc w:val="left"/>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负责市委值班工作，报告重要和紧急情况，传达落实市委领导同志指示批示；及时向省委、市委报送信息，反映各方面动态；贯彻执行中央和省委关于涉外事件的决策部署，组织、协调延安市涉外突发事件应急处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734" w:type="dxa"/>
            <w:vAlign w:val="center"/>
          </w:tcPr>
          <w:p>
            <w:pPr>
              <w:numPr>
                <w:ilvl w:val="0"/>
                <w:numId w:val="4"/>
              </w:num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273" w:type="dxa"/>
            <w:vAlign w:val="center"/>
          </w:tcPr>
          <w:p>
            <w:p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市政府办</w:t>
            </w:r>
          </w:p>
        </w:tc>
        <w:tc>
          <w:tcPr>
            <w:tcW w:w="9965" w:type="dxa"/>
            <w:vAlign w:val="center"/>
          </w:tcPr>
          <w:p>
            <w:pPr>
              <w:spacing w:line="400" w:lineRule="exact"/>
              <w:jc w:val="left"/>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负责市政府值班工作，报告重要和紧急情况，传达落实市政府领导同志指示批示；协助市政府领导同志开展调查研究，反映情况，提出建议，发挥参谋助手作用；及时向省政府、市政府报送信息，反映各方面动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3" w:hRule="atLeast"/>
        </w:trPr>
        <w:tc>
          <w:tcPr>
            <w:tcW w:w="734" w:type="dxa"/>
            <w:vAlign w:val="center"/>
          </w:tcPr>
          <w:p>
            <w:pPr>
              <w:numPr>
                <w:ilvl w:val="0"/>
                <w:numId w:val="4"/>
              </w:num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273" w:type="dxa"/>
            <w:vAlign w:val="center"/>
          </w:tcPr>
          <w:p>
            <w:p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市发改委</w:t>
            </w:r>
          </w:p>
        </w:tc>
        <w:tc>
          <w:tcPr>
            <w:tcW w:w="9965" w:type="dxa"/>
            <w:vAlign w:val="center"/>
          </w:tcPr>
          <w:p>
            <w:pPr>
              <w:spacing w:line="400" w:lineRule="exact"/>
              <w:jc w:val="left"/>
              <w:rPr>
                <w:rFonts w:ascii="仿宋_GB2312" w:hAnsi="仿宋_GB2312" w:eastAsia="宋体"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根据市应急救灾物资储备规划、品种目录和标准、年度购置计划，负责全市应急救灾物资的收储、轮换和日常管理；根据市应急管理局的动用指令按程序组织调出；承担全市粮食统计、粮油市场保供稳价等工作；负责能源行业突发事件应急处置工作；负责炼油、燃料乙醇和煤制燃料的行业管理，承担煤、电、油、天然气、运等经济保障要素和重要物资的综合协调与应急调节职责；承担能源预测预警工作，跟踪研判涉及全市经济安全、生态安全、资源安全、科技安全、社会安全等各类风险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pPr>
              <w:numPr>
                <w:ilvl w:val="0"/>
                <w:numId w:val="4"/>
              </w:num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273" w:type="dxa"/>
            <w:vAlign w:val="center"/>
          </w:tcPr>
          <w:p>
            <w:p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市卫健委</w:t>
            </w:r>
          </w:p>
        </w:tc>
        <w:tc>
          <w:tcPr>
            <w:tcW w:w="9965" w:type="dxa"/>
            <w:vAlign w:val="center"/>
          </w:tcPr>
          <w:p>
            <w:pPr>
              <w:spacing w:line="400" w:lineRule="exact"/>
              <w:jc w:val="left"/>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统筹公共卫生安全，负责卫生应急工作；组织指导全市突发公共卫生事件的预防控制和各类突发公共事件的医疗救援；根据授权发布法定报告传染病疫情信息，承担疾病监测和预警预测，根据授权承担传染病疫情信息发布工作；负责全市食品安全风险监测工作；组织编制专项预案，承担预案演练的组织实施和指导监督工作；指导卫生应急体系和能力建设；根据授权发布突发公共卫生事件应急处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pPr>
              <w:numPr>
                <w:ilvl w:val="0"/>
                <w:numId w:val="4"/>
              </w:num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273" w:type="dxa"/>
            <w:vAlign w:val="center"/>
          </w:tcPr>
          <w:p>
            <w:p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市教育局</w:t>
            </w:r>
          </w:p>
        </w:tc>
        <w:tc>
          <w:tcPr>
            <w:tcW w:w="9965" w:type="dxa"/>
            <w:vAlign w:val="center"/>
          </w:tcPr>
          <w:p>
            <w:pPr>
              <w:spacing w:line="400" w:lineRule="exact"/>
              <w:jc w:val="left"/>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承担全市教育系统安全稳定工作的宏观管理和业务指导工作；指导学校拟定突发事件应急处置预案，组织协调或参与安全事故的调查处理、应急处置等工作；负责协助事发地区、单位开展被毁校舍的恢复重建工作，指导学校及时调整、恢复正常教学秩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pPr>
              <w:numPr>
                <w:ilvl w:val="0"/>
                <w:numId w:val="4"/>
              </w:num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273" w:type="dxa"/>
            <w:vAlign w:val="center"/>
          </w:tcPr>
          <w:p>
            <w:p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市工信局</w:t>
            </w:r>
          </w:p>
        </w:tc>
        <w:tc>
          <w:tcPr>
            <w:tcW w:w="9965" w:type="dxa"/>
            <w:vAlign w:val="center"/>
          </w:tcPr>
          <w:p>
            <w:pPr>
              <w:spacing w:line="400" w:lineRule="exact"/>
              <w:jc w:val="left"/>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负责盐业生产和市场供应过程突发事件的应急处置；协调各通信运营商为突发事件应急处置过程提供通信保障；监测分析全市工业和中小企业、非公经济运行态势，统计并发布相关信息，进行预测预警和信息引导，协调解决工业运行发展中的问题并提出政策建议，负责工业应急管理、产业安全和国防动员有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pPr>
              <w:numPr>
                <w:ilvl w:val="0"/>
                <w:numId w:val="4"/>
              </w:num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273" w:type="dxa"/>
            <w:vAlign w:val="center"/>
          </w:tcPr>
          <w:p>
            <w:p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市民宗局</w:t>
            </w:r>
          </w:p>
        </w:tc>
        <w:tc>
          <w:tcPr>
            <w:tcW w:w="9965" w:type="dxa"/>
            <w:vAlign w:val="center"/>
          </w:tcPr>
          <w:p>
            <w:pPr>
              <w:spacing w:line="400" w:lineRule="exact"/>
              <w:jc w:val="left"/>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认真落实市委、市政府关于延安市民族和宗教工作的指示、要求和安排部署；协调处理民族</w:t>
            </w:r>
            <w:r>
              <w:rPr>
                <w:rFonts w:hint="eastAsia" w:ascii="仿宋_GB2312" w:hAnsi="仿宋_GB2312" w:eastAsia="仿宋_GB2312" w:cs="仿宋_GB2312"/>
                <w:b/>
                <w:bCs/>
                <w:color w:val="000000" w:themeColor="text1"/>
                <w:spacing w:val="-6"/>
                <w:kern w:val="0"/>
                <w:sz w:val="24"/>
                <w14:textFill>
                  <w14:solidFill>
                    <w14:schemeClr w14:val="tx1"/>
                  </w14:solidFill>
                </w14:textFill>
              </w:rPr>
              <w:t>宗教关系事宜，保障少数民族群众及信教群众合法权益，维护民族团结、宗教和顺和社会稳定。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trPr>
        <w:tc>
          <w:tcPr>
            <w:tcW w:w="734" w:type="dxa"/>
            <w:vAlign w:val="center"/>
          </w:tcPr>
          <w:p>
            <w:pPr>
              <w:numPr>
                <w:ilvl w:val="0"/>
                <w:numId w:val="4"/>
              </w:num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273" w:type="dxa"/>
            <w:vAlign w:val="center"/>
          </w:tcPr>
          <w:p>
            <w:p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市公安局</w:t>
            </w:r>
          </w:p>
        </w:tc>
        <w:tc>
          <w:tcPr>
            <w:tcW w:w="9965" w:type="dxa"/>
            <w:vAlign w:val="center"/>
          </w:tcPr>
          <w:p>
            <w:pPr>
              <w:spacing w:line="400" w:lineRule="exact"/>
              <w:jc w:val="left"/>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统筹社会安全应急工作，维护社会治安秩序；负责预防、制止和侦查违法犯罪活动；负责道路交通事故、恐怖袭击事件；负责公共场所安全事故中涉及治安和刑事案件的情况、群体性事件等应急工作；负责维护突发事件地区、单位的治安秩序，确保社会稳定；负责其他应急工作中的治安保障、交通管制和抢险救援等工作；负责异常天气（暴雨、浓雾、雨雪及路面结冰等）条件下的公共秩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trPr>
        <w:tc>
          <w:tcPr>
            <w:tcW w:w="734" w:type="dxa"/>
            <w:vAlign w:val="center"/>
          </w:tcPr>
          <w:p>
            <w:pPr>
              <w:numPr>
                <w:ilvl w:val="0"/>
                <w:numId w:val="4"/>
              </w:num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273" w:type="dxa"/>
            <w:vAlign w:val="center"/>
          </w:tcPr>
          <w:p>
            <w:p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市民政局</w:t>
            </w:r>
          </w:p>
        </w:tc>
        <w:tc>
          <w:tcPr>
            <w:tcW w:w="9965" w:type="dxa"/>
            <w:vAlign w:val="center"/>
          </w:tcPr>
          <w:p>
            <w:pPr>
              <w:spacing w:line="400" w:lineRule="exact"/>
              <w:jc w:val="left"/>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加强基本生活救助与受灾人员救助政策的有效衔接，指导民政服务机构做好突发事件应对处置工作。动员社会组织积极参与应急抢险救灾等工作。负责社会捐赠工作，管理、分配募集的社会捐赠款物，监督慈善组织、社会组织募集的捐赠款物使用；组织援助外地灾区款物的募集、运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pPr>
              <w:numPr>
                <w:ilvl w:val="0"/>
                <w:numId w:val="4"/>
              </w:num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273" w:type="dxa"/>
            <w:vAlign w:val="center"/>
          </w:tcPr>
          <w:p>
            <w:p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市司法局</w:t>
            </w:r>
          </w:p>
        </w:tc>
        <w:tc>
          <w:tcPr>
            <w:tcW w:w="9965" w:type="dxa"/>
            <w:vAlign w:val="center"/>
          </w:tcPr>
          <w:p>
            <w:pPr>
              <w:spacing w:line="400" w:lineRule="exact"/>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负责向符合法定条件的突发事件受害人员提供必要的法律援助服务。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34" w:type="dxa"/>
            <w:vAlign w:val="center"/>
          </w:tcPr>
          <w:p>
            <w:pPr>
              <w:numPr>
                <w:ilvl w:val="0"/>
                <w:numId w:val="4"/>
              </w:num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273" w:type="dxa"/>
            <w:vAlign w:val="center"/>
          </w:tcPr>
          <w:p>
            <w:p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市财政局</w:t>
            </w:r>
          </w:p>
        </w:tc>
        <w:tc>
          <w:tcPr>
            <w:tcW w:w="9965" w:type="dxa"/>
            <w:vAlign w:val="center"/>
          </w:tcPr>
          <w:p>
            <w:pPr>
              <w:spacing w:line="400" w:lineRule="exact"/>
              <w:jc w:val="left"/>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负责将市级负担的应急资金列入部门预算，需要由部门预算进行调剂的，财政部门应及时调整部门预算，保证应急支出。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734" w:type="dxa"/>
            <w:vAlign w:val="center"/>
          </w:tcPr>
          <w:p>
            <w:pPr>
              <w:numPr>
                <w:ilvl w:val="0"/>
                <w:numId w:val="4"/>
              </w:num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273" w:type="dxa"/>
            <w:vAlign w:val="center"/>
          </w:tcPr>
          <w:p>
            <w:p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市人社局</w:t>
            </w:r>
          </w:p>
        </w:tc>
        <w:tc>
          <w:tcPr>
            <w:tcW w:w="9965" w:type="dxa"/>
            <w:vAlign w:val="center"/>
          </w:tcPr>
          <w:p>
            <w:pPr>
              <w:spacing w:line="400" w:lineRule="exact"/>
              <w:jc w:val="left"/>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负责全市社会保险基金预测预警和信息引导，制定相关应急预案，实施预防、调节和控制；负责协调相关单位对突发事件中的伤亡人员进行工伤认定及工伤保险相关待遇的支付工作。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734" w:type="dxa"/>
            <w:vAlign w:val="center"/>
          </w:tcPr>
          <w:p>
            <w:pPr>
              <w:numPr>
                <w:ilvl w:val="0"/>
                <w:numId w:val="4"/>
              </w:num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273" w:type="dxa"/>
            <w:vAlign w:val="center"/>
          </w:tcPr>
          <w:p>
            <w:p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市自然资源局</w:t>
            </w:r>
          </w:p>
        </w:tc>
        <w:tc>
          <w:tcPr>
            <w:tcW w:w="9965" w:type="dxa"/>
            <w:vAlign w:val="center"/>
          </w:tcPr>
          <w:p>
            <w:pPr>
              <w:spacing w:line="400" w:lineRule="exact"/>
              <w:jc w:val="left"/>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负责落实综合防灾减灾规划相关要求，组织编制地质灾害防治规划和防护标准并指导实施，组织指导协调和监督地质灾害调查评价及隐患的普查、详查、排查，开展群测群防、专业监测和预报预警等工作，承担地质灾害应急救援的技术支撑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4" w:hRule="atLeast"/>
        </w:trPr>
        <w:tc>
          <w:tcPr>
            <w:tcW w:w="734" w:type="dxa"/>
            <w:vAlign w:val="center"/>
          </w:tcPr>
          <w:p>
            <w:pPr>
              <w:numPr>
                <w:ilvl w:val="0"/>
                <w:numId w:val="4"/>
              </w:num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273" w:type="dxa"/>
            <w:vAlign w:val="center"/>
          </w:tcPr>
          <w:p>
            <w:p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市生态环境局</w:t>
            </w:r>
          </w:p>
        </w:tc>
        <w:tc>
          <w:tcPr>
            <w:tcW w:w="9965" w:type="dxa"/>
            <w:vAlign w:val="center"/>
          </w:tcPr>
          <w:p>
            <w:pPr>
              <w:spacing w:line="400" w:lineRule="exact"/>
              <w:jc w:val="left"/>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牵头协调全市突发环境事件、重污染天气、生态破坏事件和辐射事故的调查处理；统筹协调全市重点区域、流域生态环境保护工作；拟订全市突发生态环境事件、重污染天气、生态破坏事件和辐射事故的应急预案并组织实施，对全市生态环境风险进行预测预警，对突发环境事件、重污染天气、生态破坏事件和辐射事故进行应急处置，建立跨省、市突发生态环境事件应急联动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pPr>
              <w:numPr>
                <w:ilvl w:val="0"/>
                <w:numId w:val="4"/>
              </w:num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273" w:type="dxa"/>
            <w:vAlign w:val="center"/>
          </w:tcPr>
          <w:p>
            <w:p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市住建局</w:t>
            </w:r>
          </w:p>
        </w:tc>
        <w:tc>
          <w:tcPr>
            <w:tcW w:w="9965" w:type="dxa"/>
            <w:vAlign w:val="center"/>
          </w:tcPr>
          <w:p>
            <w:pPr>
              <w:spacing w:line="400" w:lineRule="exact"/>
              <w:jc w:val="left"/>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负责全市建设行业突发事件应急处置工作；负责全市城市房屋安全技术鉴定的组织管理和对危旧房屋安全检查的指导工作；指导农村危房改造工作。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734" w:type="dxa"/>
            <w:vAlign w:val="center"/>
          </w:tcPr>
          <w:p>
            <w:pPr>
              <w:numPr>
                <w:ilvl w:val="0"/>
                <w:numId w:val="4"/>
              </w:num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273" w:type="dxa"/>
            <w:vAlign w:val="center"/>
          </w:tcPr>
          <w:p>
            <w:p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市交运局</w:t>
            </w:r>
          </w:p>
        </w:tc>
        <w:tc>
          <w:tcPr>
            <w:tcW w:w="9965" w:type="dxa"/>
            <w:vAlign w:val="center"/>
          </w:tcPr>
          <w:p>
            <w:pPr>
              <w:spacing w:line="400" w:lineRule="exact"/>
              <w:jc w:val="left"/>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指导全市公路、水路运输行业安全生产和应急管理工作。按规定组织协调重点物资和紧急客货运输，负责全市公路网运行监测和应急处置协调，统筹全市交通运输行业应急管理体系建设；负责处理因气象灾害、地质灾害以及危化品运输交通事故造成的延安市境内交通中断处置和受损修复；会同应急管理、公安等部门及相关县（市、区）人民政府做好车站线路异常人群拥挤事故处置；会同公安部门做好应急事件处置的道路畅通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734" w:type="dxa"/>
            <w:vAlign w:val="center"/>
          </w:tcPr>
          <w:p>
            <w:pPr>
              <w:numPr>
                <w:ilvl w:val="0"/>
                <w:numId w:val="4"/>
              </w:num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273" w:type="dxa"/>
            <w:vAlign w:val="center"/>
          </w:tcPr>
          <w:p>
            <w:p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市水务局</w:t>
            </w:r>
          </w:p>
        </w:tc>
        <w:tc>
          <w:tcPr>
            <w:tcW w:w="9965" w:type="dxa"/>
            <w:vAlign w:val="center"/>
          </w:tcPr>
          <w:p>
            <w:pPr>
              <w:spacing w:line="400" w:lineRule="exact"/>
              <w:jc w:val="left"/>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负责落实综合防灾减灾规划相关要求，组织编制水旱灾害防治规划和防护标准并指导实施；负责水情旱情监测预警、水利工程调度和防御洪水应急抢险的技术支撑等工作；负责组织编制重要江河湖泊和重要水利工程的防御洪水抗御旱灾调度和应急水量调度方案，按程序报批并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734" w:type="dxa"/>
            <w:vAlign w:val="center"/>
          </w:tcPr>
          <w:p>
            <w:pPr>
              <w:numPr>
                <w:ilvl w:val="0"/>
                <w:numId w:val="4"/>
              </w:num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273" w:type="dxa"/>
            <w:vAlign w:val="center"/>
          </w:tcPr>
          <w:p>
            <w:p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市农业农村局</w:t>
            </w:r>
          </w:p>
        </w:tc>
        <w:tc>
          <w:tcPr>
            <w:tcW w:w="9965" w:type="dxa"/>
            <w:vAlign w:val="center"/>
          </w:tcPr>
          <w:p>
            <w:pPr>
              <w:spacing w:line="400" w:lineRule="exact"/>
              <w:jc w:val="left"/>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负责全市农业防灾减灾工作；负责全市种植业、畜牧业疫情防控工作；监督指导全市动植物防疫检疫体系建设、动植物防疫检疫工作；协调指导扑灭动植物疫情；负责组织农技人员帮助指导灾区群众开展生产自救、恢复农业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pPr>
              <w:numPr>
                <w:ilvl w:val="0"/>
                <w:numId w:val="4"/>
              </w:num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273" w:type="dxa"/>
            <w:vAlign w:val="center"/>
          </w:tcPr>
          <w:p>
            <w:p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市商务局</w:t>
            </w:r>
          </w:p>
        </w:tc>
        <w:tc>
          <w:tcPr>
            <w:tcW w:w="9965" w:type="dxa"/>
          </w:tcPr>
          <w:p>
            <w:pPr>
              <w:spacing w:line="400" w:lineRule="exact"/>
              <w:rPr>
                <w:rFonts w:ascii="仿宋_GB2312" w:hAnsi="仿宋_GB2312" w:eastAsia="宋体"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负责协调、配合有关部门和单位做好突发事件应急处置与救援所需生活必需品的供应保障；</w:t>
            </w:r>
            <w:r>
              <w:rPr>
                <w:rFonts w:ascii="仿宋_GB2312" w:hAnsi="仿宋_GB2312" w:eastAsia="仿宋_GB2312" w:cs="仿宋_GB2312"/>
                <w:b/>
                <w:bCs/>
                <w:color w:val="000000" w:themeColor="text1"/>
                <w:kern w:val="0"/>
                <w:sz w:val="24"/>
                <w14:textFill>
                  <w14:solidFill>
                    <w14:schemeClr w14:val="tx1"/>
                  </w14:solidFill>
                </w14:textFill>
              </w:rPr>
              <w:t>承担组织实施全市重要消费品市场调控，监测分析市场运行、商品供求状况，调查分析商品价格信息，进行预测预警和信息引导</w:t>
            </w:r>
            <w:r>
              <w:rPr>
                <w:rFonts w:hint="eastAsia" w:ascii="仿宋_GB2312" w:hAnsi="仿宋_GB2312" w:eastAsia="仿宋_GB2312" w:cs="仿宋_GB2312"/>
                <w:b/>
                <w:bCs/>
                <w:color w:val="000000" w:themeColor="text1"/>
                <w:kern w:val="0"/>
                <w:sz w:val="24"/>
                <w14:textFill>
                  <w14:solidFill>
                    <w14:schemeClr w14:val="tx1"/>
                  </w14:solidFill>
                </w14:textFill>
              </w:rPr>
              <w:t>；参与</w:t>
            </w:r>
            <w:r>
              <w:rPr>
                <w:rFonts w:ascii="仿宋_GB2312" w:hAnsi="仿宋_GB2312" w:eastAsia="仿宋_GB2312" w:cs="仿宋_GB2312"/>
                <w:b/>
                <w:bCs/>
                <w:color w:val="000000" w:themeColor="text1"/>
                <w:kern w:val="0"/>
                <w:sz w:val="24"/>
                <w14:textFill>
                  <w14:solidFill>
                    <w14:schemeClr w14:val="tx1"/>
                  </w14:solidFill>
                </w14:textFill>
              </w:rPr>
              <w:t>商贸流通服务行业</w:t>
            </w:r>
            <w:r>
              <w:rPr>
                <w:rFonts w:hint="eastAsia" w:ascii="仿宋_GB2312" w:hAnsi="仿宋_GB2312" w:eastAsia="仿宋_GB2312" w:cs="仿宋_GB2312"/>
                <w:b/>
                <w:bCs/>
                <w:color w:val="000000" w:themeColor="text1"/>
                <w:kern w:val="0"/>
                <w:sz w:val="24"/>
                <w14:textFill>
                  <w14:solidFill>
                    <w14:schemeClr w14:val="tx1"/>
                  </w14:solidFill>
                </w14:textFill>
              </w:rPr>
              <w:t>突发事件应急处置工作。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pPr>
              <w:numPr>
                <w:ilvl w:val="0"/>
                <w:numId w:val="4"/>
              </w:num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273" w:type="dxa"/>
            <w:vAlign w:val="center"/>
          </w:tcPr>
          <w:p>
            <w:p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市文旅局</w:t>
            </w:r>
          </w:p>
        </w:tc>
        <w:tc>
          <w:tcPr>
            <w:tcW w:w="9965" w:type="dxa"/>
            <w:vAlign w:val="center"/>
          </w:tcPr>
          <w:p>
            <w:pPr>
              <w:spacing w:line="400" w:lineRule="exact"/>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负责对文化、旅游、广播电视市场安全生产和经营进行行业监管；负责本行业领域的安全生产监管工作。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trPr>
        <w:tc>
          <w:tcPr>
            <w:tcW w:w="734" w:type="dxa"/>
            <w:vAlign w:val="center"/>
          </w:tcPr>
          <w:p>
            <w:pPr>
              <w:numPr>
                <w:ilvl w:val="0"/>
                <w:numId w:val="4"/>
              </w:num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273" w:type="dxa"/>
            <w:vAlign w:val="center"/>
          </w:tcPr>
          <w:p>
            <w:p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市应急管理局</w:t>
            </w:r>
          </w:p>
        </w:tc>
        <w:tc>
          <w:tcPr>
            <w:tcW w:w="9965" w:type="dxa"/>
            <w:vAlign w:val="center"/>
          </w:tcPr>
          <w:p>
            <w:pPr>
              <w:spacing w:line="400" w:lineRule="exact"/>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统筹全市应急预案体系建设，组织编制市级总体应急预案；组织协调市级应急救援力量建设，指导县（市、区）和社会应急救援力量建设，组织指导应急管理社会动员工作；负责市级应急物资的规划编制、储备管理、调拨配送、使用监管等工作，建立全市应急物资、设备台账；承担全市应急值守管理、考评等工作；承担事故灾害信息报送、预警、发布工作，落实事故灾难和自然灾害分级应对制度；指导参与重大事故救援、灾害应急救援救助工作；衔接延安军区和武警部队参与应急救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734" w:type="dxa"/>
            <w:vAlign w:val="center"/>
          </w:tcPr>
          <w:p>
            <w:pPr>
              <w:numPr>
                <w:ilvl w:val="0"/>
                <w:numId w:val="4"/>
              </w:num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273" w:type="dxa"/>
            <w:vAlign w:val="center"/>
          </w:tcPr>
          <w:p>
            <w:p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市市场监管局</w:t>
            </w:r>
          </w:p>
        </w:tc>
        <w:tc>
          <w:tcPr>
            <w:tcW w:w="9965" w:type="dxa"/>
            <w:vAlign w:val="center"/>
          </w:tcPr>
          <w:p>
            <w:pPr>
              <w:spacing w:line="400" w:lineRule="exact"/>
              <w:jc w:val="left"/>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负责维护和规范有关市场交易、网络交易等市场秩序；负责产品质量安全监管；依法承担食品、药品、医疗器械、化妆品和特种设备质量安全监管；依法组织指导食品药品安全突发事件、特种设备安全突发事件应急处置和调查处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734" w:type="dxa"/>
            <w:vAlign w:val="center"/>
          </w:tcPr>
          <w:p>
            <w:pPr>
              <w:numPr>
                <w:ilvl w:val="0"/>
                <w:numId w:val="4"/>
              </w:num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273" w:type="dxa"/>
            <w:vAlign w:val="center"/>
          </w:tcPr>
          <w:p>
            <w:p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市城管执法局</w:t>
            </w:r>
          </w:p>
        </w:tc>
        <w:tc>
          <w:tcPr>
            <w:tcW w:w="9965" w:type="dxa"/>
            <w:vAlign w:val="center"/>
          </w:tcPr>
          <w:p>
            <w:pPr>
              <w:spacing w:line="400" w:lineRule="exact"/>
              <w:jc w:val="left"/>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组织编制和实施城区城市内涝专项规划和市区内涝防治抢险应急预案，指导全市城市排涝设施建设工作；指导城市道路、公园、供水、水质监测、城镇燃气、供热、垃圾处理、污水处理等市政公用基础设施日常维护、运营管理，负责中心城区污水处理、城市供水水质监测、园林绿化、城市照明等工作；配合各部门进行突发应急事件处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734" w:type="dxa"/>
            <w:vAlign w:val="center"/>
          </w:tcPr>
          <w:p>
            <w:pPr>
              <w:numPr>
                <w:ilvl w:val="0"/>
                <w:numId w:val="4"/>
              </w:num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273" w:type="dxa"/>
            <w:vAlign w:val="center"/>
          </w:tcPr>
          <w:p>
            <w:p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市林业局</w:t>
            </w:r>
          </w:p>
        </w:tc>
        <w:tc>
          <w:tcPr>
            <w:tcW w:w="9965" w:type="dxa"/>
            <w:vAlign w:val="center"/>
          </w:tcPr>
          <w:p>
            <w:pPr>
              <w:spacing w:line="400" w:lineRule="exact"/>
              <w:jc w:val="left"/>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负责履行森林草原防火工作行业管理责任，具体负责森林草原火灾预防相关工作，指导开展森林草原防火巡护、火源管理、日常检查、宣传教育、防火设施建设等，同时负责森林草原火情早期处理相关工作。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734" w:type="dxa"/>
            <w:vAlign w:val="center"/>
          </w:tcPr>
          <w:p>
            <w:pPr>
              <w:numPr>
                <w:ilvl w:val="0"/>
                <w:numId w:val="4"/>
              </w:num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273" w:type="dxa"/>
            <w:vAlign w:val="center"/>
          </w:tcPr>
          <w:p>
            <w:p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市信访局</w:t>
            </w:r>
          </w:p>
        </w:tc>
        <w:tc>
          <w:tcPr>
            <w:tcW w:w="9965" w:type="dxa"/>
            <w:vAlign w:val="center"/>
          </w:tcPr>
          <w:p>
            <w:pPr>
              <w:spacing w:line="400" w:lineRule="exact"/>
              <w:jc w:val="left"/>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负责处理公民、法人和其他组织通过信访渠道的来信、来电、来访；按照属地管理、谁分管谁负责的原则，负责处理信访引发的群体性上访事件的应急工作。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pPr>
              <w:numPr>
                <w:ilvl w:val="0"/>
                <w:numId w:val="4"/>
              </w:num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273" w:type="dxa"/>
            <w:vAlign w:val="center"/>
          </w:tcPr>
          <w:p>
            <w:p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市气象局</w:t>
            </w:r>
          </w:p>
        </w:tc>
        <w:tc>
          <w:tcPr>
            <w:tcW w:w="9965" w:type="dxa"/>
            <w:vAlign w:val="center"/>
          </w:tcPr>
          <w:p>
            <w:pPr>
              <w:spacing w:line="360" w:lineRule="exact"/>
              <w:jc w:val="left"/>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主要承担气象灾害监测预报预警服务，研判气象灾害风险，及时提出气象灾害防御建议，为本级人民政府组织防御气象灾害提供决策依据；负责决策、公众、农业、专业气象服务；在市人民政府的领导和协调下，管理、指导和实施人工影响天气作业；负责易燃易爆建设工程和场所，雷电易发区内的矿区、旅游景点，投入使用的建（构）筑物、设施等需要单独安装雷电防护装置的场所，以及雷电风险高且没有防雷标准规范需要进行特殊论证的大型项目的防雷安全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pPr>
              <w:numPr>
                <w:ilvl w:val="0"/>
                <w:numId w:val="4"/>
              </w:num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273" w:type="dxa"/>
            <w:vAlign w:val="center"/>
          </w:tcPr>
          <w:p>
            <w:p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市消防救援支队</w:t>
            </w:r>
          </w:p>
        </w:tc>
        <w:tc>
          <w:tcPr>
            <w:tcW w:w="9965" w:type="dxa"/>
            <w:vAlign w:val="center"/>
          </w:tcPr>
          <w:p>
            <w:pPr>
              <w:spacing w:line="360" w:lineRule="exact"/>
              <w:jc w:val="left"/>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承担消防安全宣传教育培训、普及消防知识；定期进行防火检查，督促有关单位和个人落实防火责任制，及时消除火灾隐患；建立防火检查档案，按照国家规定设置防火标志；掌握责任区域的道路、消防水源、消防安全重点单位、重点部位等情况，建立相应的消防业务资料档案；制定消防安全重点单位、重点部位的事故处置和灭火作战预案，定期组织演练；指导培训义务消防队；扑救火灾，保护火灾现场，协助调查火灾原因、处理火灾事故；定期向市政府报告消防工作情况；突发事件时履行应当的其他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pPr>
              <w:numPr>
                <w:ilvl w:val="0"/>
                <w:numId w:val="4"/>
              </w:num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273" w:type="dxa"/>
            <w:vAlign w:val="center"/>
          </w:tcPr>
          <w:p>
            <w:p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武警延安支队</w:t>
            </w:r>
          </w:p>
        </w:tc>
        <w:tc>
          <w:tcPr>
            <w:tcW w:w="9965" w:type="dxa"/>
            <w:vAlign w:val="center"/>
          </w:tcPr>
          <w:p>
            <w:pPr>
              <w:spacing w:line="360" w:lineRule="exact"/>
              <w:jc w:val="left"/>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参与动乱、暴乱、骚乱、非法聚集事件、群体性事件等突发事件的应急处置工作，封锁控制有关场所和道路，实施隔离、疏导、带离、驱散行动，制止违法犯罪活动行为，营救和救护受困人员，武装巡逻，协助开展群众工作，恢复社会秩序；参与防范和处置恐怖活动，协助公安机关逮捕、追捕恐怖活动人员，营救人质、排除爆炸物；根据处置需要参与突发事件的抢险救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pPr>
              <w:numPr>
                <w:ilvl w:val="0"/>
                <w:numId w:val="4"/>
              </w:num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273" w:type="dxa"/>
            <w:vAlign w:val="center"/>
          </w:tcPr>
          <w:p>
            <w:pPr>
              <w:spacing w:line="400" w:lineRule="exact"/>
              <w:jc w:val="center"/>
              <w:rPr>
                <w:rFonts w:hint="eastAsia"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延安革命纪念地</w:t>
            </w:r>
          </w:p>
          <w:p>
            <w:p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管理局</w:t>
            </w:r>
          </w:p>
        </w:tc>
        <w:tc>
          <w:tcPr>
            <w:tcW w:w="9965" w:type="dxa"/>
            <w:vAlign w:val="center"/>
          </w:tcPr>
          <w:p>
            <w:pPr>
              <w:spacing w:line="400" w:lineRule="exact"/>
              <w:jc w:val="left"/>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负责文物安全突发事件应急处置工作，会同应急管理、公安等部门及相关县（市、区）人民政府做好文物安全监管工作。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pPr>
              <w:numPr>
                <w:ilvl w:val="0"/>
                <w:numId w:val="4"/>
              </w:numPr>
              <w:spacing w:line="400" w:lineRule="exact"/>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273" w:type="dxa"/>
            <w:vAlign w:val="center"/>
          </w:tcPr>
          <w:p>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国网陕西电力有限公司延安供电公司</w:t>
            </w:r>
          </w:p>
        </w:tc>
        <w:tc>
          <w:tcPr>
            <w:tcW w:w="9965" w:type="dxa"/>
            <w:vAlign w:val="center"/>
          </w:tcPr>
          <w:p>
            <w:pPr>
              <w:spacing w:line="400" w:lineRule="exact"/>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负责组织事件影响区域内的电力设施抢修工作，及时恢复供电，为突发事件应急处置提供电力保障。</w:t>
            </w:r>
          </w:p>
        </w:tc>
      </w:tr>
    </w:tbl>
    <w:p>
      <w:pPr>
        <w:pStyle w:val="2"/>
        <w:rPr>
          <w:bCs/>
          <w:color w:val="000000" w:themeColor="text1"/>
          <w14:textFill>
            <w14:solidFill>
              <w14:schemeClr w14:val="tx1"/>
            </w14:solidFill>
          </w14:textFill>
        </w:rPr>
        <w:sectPr>
          <w:footerReference r:id="rId10" w:type="default"/>
          <w:pgSz w:w="16838" w:h="11905" w:orient="landscape"/>
          <w:pgMar w:top="1587" w:right="2098" w:bottom="1474" w:left="1984" w:header="850" w:footer="992" w:gutter="0"/>
          <w:pgNumType w:fmt="decimal"/>
          <w:cols w:space="0" w:num="1"/>
          <w:docGrid w:type="lines" w:linePitch="315" w:charSpace="0"/>
        </w:sectPr>
      </w:pPr>
    </w:p>
    <w:p>
      <w:pPr>
        <w:tabs>
          <w:tab w:val="left" w:pos="5369"/>
        </w:tabs>
        <w:spacing w:line="560" w:lineRule="exact"/>
        <w:jc w:val="left"/>
        <w:outlineLvl w:val="1"/>
        <w:rPr>
          <w:rFonts w:ascii="黑体" w:hAnsi="黑体" w:eastAsia="黑体" w:cs="黑体"/>
          <w:b/>
          <w:bCs/>
          <w:color w:val="000000" w:themeColor="text1"/>
          <w:kern w:val="0"/>
          <w:sz w:val="32"/>
          <w:szCs w:val="32"/>
          <w14:textFill>
            <w14:solidFill>
              <w14:schemeClr w14:val="tx1"/>
            </w14:solidFill>
          </w14:textFill>
        </w:rPr>
      </w:pPr>
      <w:bookmarkStart w:id="159" w:name="_Toc16350"/>
      <w:bookmarkStart w:id="160" w:name="_Toc6585"/>
      <w:bookmarkStart w:id="161" w:name="_Toc24643"/>
      <w:r>
        <w:rPr>
          <w:rFonts w:hint="eastAsia" w:ascii="黑体" w:hAnsi="黑体" w:eastAsia="黑体" w:cs="黑体"/>
          <w:b/>
          <w:bCs/>
          <w:color w:val="000000" w:themeColor="text1"/>
          <w:kern w:val="0"/>
          <w:sz w:val="32"/>
          <w:szCs w:val="32"/>
          <w14:textFill>
            <w14:solidFill>
              <w14:schemeClr w14:val="tx1"/>
            </w14:solidFill>
          </w14:textFill>
        </w:rPr>
        <w:t>附件4</w:t>
      </w:r>
      <w:bookmarkEnd w:id="159"/>
      <w:bookmarkEnd w:id="160"/>
      <w:bookmarkEnd w:id="161"/>
    </w:p>
    <w:p>
      <w:pPr>
        <w:tabs>
          <w:tab w:val="left" w:pos="5369"/>
        </w:tabs>
        <w:spacing w:line="560" w:lineRule="exact"/>
        <w:jc w:val="center"/>
        <w:outlineLvl w:val="1"/>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bookmarkStart w:id="162" w:name="_Toc8694"/>
      <w:bookmarkStart w:id="163" w:name="_Toc18782"/>
      <w:bookmarkStart w:id="164" w:name="_Toc11466"/>
      <w:bookmarkStart w:id="165" w:name="_Toc22021"/>
      <w:bookmarkStart w:id="166" w:name="_Toc26681"/>
      <w:bookmarkStart w:id="167" w:name="_Toc5606"/>
      <w:bookmarkStart w:id="168" w:name="_Toc746"/>
      <w:bookmarkStart w:id="169" w:name="_Toc15805"/>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延安市突发事件</w:t>
      </w:r>
      <w:bookmarkEnd w:id="147"/>
      <w:bookmarkEnd w:id="148"/>
      <w:bookmarkEnd w:id="149"/>
      <w:bookmarkEnd w:id="150"/>
      <w:bookmarkEnd w:id="151"/>
      <w:bookmarkEnd w:id="152"/>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应对工作简图</w:t>
      </w:r>
      <w:bookmarkEnd w:id="153"/>
      <w:bookmarkEnd w:id="154"/>
      <w:bookmarkEnd w:id="155"/>
      <w:bookmarkEnd w:id="162"/>
      <w:bookmarkEnd w:id="163"/>
      <w:bookmarkEnd w:id="164"/>
      <w:bookmarkEnd w:id="165"/>
      <w:bookmarkEnd w:id="166"/>
      <w:bookmarkEnd w:id="167"/>
      <w:bookmarkEnd w:id="168"/>
      <w:bookmarkEnd w:id="169"/>
    </w:p>
    <w:p>
      <w:pPr>
        <w:pStyle w:val="15"/>
        <w:spacing w:after="0"/>
        <w:ind w:left="0" w:leftChars="0" w:firstLine="0"/>
        <w:jc w:val="center"/>
        <w:rPr>
          <w:b/>
          <w:bCs/>
          <w:color w:val="000000" w:themeColor="text1"/>
          <w14:textFill>
            <w14:solidFill>
              <w14:schemeClr w14:val="tx1"/>
            </w14:solidFill>
          </w14:textFill>
        </w:rPr>
        <w:sectPr>
          <w:footerReference r:id="rId11" w:type="default"/>
          <w:footerReference r:id="rId12" w:type="even"/>
          <w:pgSz w:w="11905" w:h="16838"/>
          <w:pgMar w:top="2098" w:right="1474" w:bottom="1984" w:left="1587" w:header="850" w:footer="1412" w:gutter="0"/>
          <w:pgNumType w:fmt="decimal"/>
          <w:cols w:space="0" w:num="1"/>
          <w:rtlGutter w:val="0"/>
          <w:docGrid w:type="lines" w:linePitch="315" w:charSpace="0"/>
        </w:sectPr>
      </w:pPr>
      <w:r>
        <w:rPr>
          <w:rFonts w:hint="eastAsia"/>
          <w:b/>
          <w:bCs/>
          <w:color w:val="000000" w:themeColor="text1"/>
          <w14:textFill>
            <w14:solidFill>
              <w14:schemeClr w14:val="tx1"/>
            </w14:solidFill>
          </w14:textFill>
        </w:rPr>
        <w:drawing>
          <wp:inline distT="0" distB="0" distL="114300" distR="114300">
            <wp:extent cx="5635625" cy="6829425"/>
            <wp:effectExtent l="0" t="0" r="3175" b="9525"/>
            <wp:docPr id="5" name="图片 1" descr="C:\Users\14493\Desktop\微信图片_20230724105350.png微信图片_20230724105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14493\Desktop\微信图片_20230724105350.png微信图片_20230724105350"/>
                    <pic:cNvPicPr>
                      <a:picLocks noChangeAspect="1"/>
                    </pic:cNvPicPr>
                  </pic:nvPicPr>
                  <pic:blipFill>
                    <a:blip r:embed="rId14" cstate="print"/>
                    <a:srcRect/>
                    <a:stretch>
                      <a:fillRect/>
                    </a:stretch>
                  </pic:blipFill>
                  <pic:spPr>
                    <a:xfrm>
                      <a:off x="0" y="0"/>
                      <a:ext cx="5635625" cy="6829425"/>
                    </a:xfrm>
                    <a:prstGeom prst="rect">
                      <a:avLst/>
                    </a:prstGeom>
                    <a:noFill/>
                    <a:ln>
                      <a:noFill/>
                    </a:ln>
                  </pic:spPr>
                </pic:pic>
              </a:graphicData>
            </a:graphic>
          </wp:inline>
        </w:drawing>
      </w:r>
    </w:p>
    <w:p>
      <w:pPr>
        <w:tabs>
          <w:tab w:val="left" w:pos="5369"/>
        </w:tabs>
        <w:spacing w:line="240" w:lineRule="exact"/>
        <w:jc w:val="left"/>
        <w:outlineLvl w:val="1"/>
        <w:rPr>
          <w:rFonts w:ascii="黑体" w:hAnsi="黑体" w:eastAsia="黑体" w:cs="黑体"/>
          <w:b/>
          <w:bCs/>
          <w:color w:val="000000" w:themeColor="text1"/>
          <w:kern w:val="0"/>
          <w:sz w:val="32"/>
          <w:szCs w:val="32"/>
          <w14:textFill>
            <w14:solidFill>
              <w14:schemeClr w14:val="tx1"/>
            </w14:solidFill>
          </w14:textFill>
        </w:rPr>
        <w:sectPr>
          <w:pgSz w:w="11905" w:h="16838"/>
          <w:pgMar w:top="2098" w:right="1474" w:bottom="1984" w:left="1587" w:header="850" w:footer="1491" w:gutter="0"/>
          <w:pgNumType w:fmt="decimal"/>
          <w:cols w:space="0" w:num="1"/>
          <w:docGrid w:type="lines" w:linePitch="315" w:charSpace="0"/>
        </w:sectPr>
      </w:pPr>
      <w:bookmarkStart w:id="170" w:name="_Toc6500"/>
      <w:bookmarkStart w:id="171" w:name="_Toc17457"/>
      <w:r>
        <w:rPr>
          <w:rFonts w:hint="eastAsia" w:ascii="黑体" w:hAnsi="黑体" w:eastAsia="黑体" w:cs="黑体"/>
          <w:b/>
          <w:bCs/>
          <w:color w:val="000000" w:themeColor="text1"/>
          <w:kern w:val="0"/>
          <w:sz w:val="32"/>
          <w:szCs w:val="32"/>
          <w14:textFill>
            <w14:solidFill>
              <w14:schemeClr w14:val="tx1"/>
            </w14:solidFill>
          </w14:textFill>
        </w:rPr>
        <w:drawing>
          <wp:anchor distT="0" distB="0" distL="114300" distR="114300" simplePos="0" relativeHeight="251659264" behindDoc="0" locked="0" layoutInCell="1" allowOverlap="1">
            <wp:simplePos x="0" y="0"/>
            <wp:positionH relativeFrom="column">
              <wp:posOffset>92710</wp:posOffset>
            </wp:positionH>
            <wp:positionV relativeFrom="page">
              <wp:posOffset>1372870</wp:posOffset>
            </wp:positionV>
            <wp:extent cx="5549265" cy="7677150"/>
            <wp:effectExtent l="0" t="0" r="13335" b="0"/>
            <wp:wrapTopAndBottom/>
            <wp:docPr id="4" name="图片 2" descr="C:\Users\14493\Desktop\微信图片_202307241053501.png微信图片_202307241053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C:\Users\14493\Desktop\微信图片_202307241053501.png微信图片_202307241053501"/>
                    <pic:cNvPicPr>
                      <a:picLocks noChangeAspect="1"/>
                    </pic:cNvPicPr>
                  </pic:nvPicPr>
                  <pic:blipFill>
                    <a:blip r:embed="rId15" cstate="print"/>
                    <a:srcRect/>
                    <a:stretch>
                      <a:fillRect/>
                    </a:stretch>
                  </pic:blipFill>
                  <pic:spPr>
                    <a:xfrm>
                      <a:off x="0" y="0"/>
                      <a:ext cx="5549265" cy="7677150"/>
                    </a:xfrm>
                    <a:prstGeom prst="rect">
                      <a:avLst/>
                    </a:prstGeom>
                    <a:noFill/>
                    <a:ln>
                      <a:noFill/>
                    </a:ln>
                  </pic:spPr>
                </pic:pic>
              </a:graphicData>
            </a:graphic>
          </wp:anchor>
        </w:drawing>
      </w:r>
    </w:p>
    <w:bookmarkEnd w:id="170"/>
    <w:bookmarkEnd w:id="171"/>
    <w:p>
      <w:pPr>
        <w:tabs>
          <w:tab w:val="left" w:pos="5369"/>
        </w:tabs>
        <w:spacing w:line="560" w:lineRule="exact"/>
        <w:jc w:val="left"/>
        <w:outlineLvl w:val="1"/>
        <w:rPr>
          <w:rFonts w:ascii="黑体" w:hAnsi="黑体" w:eastAsia="黑体" w:cs="黑体"/>
          <w:b/>
          <w:bCs/>
          <w:color w:val="000000" w:themeColor="text1"/>
          <w:kern w:val="0"/>
          <w:sz w:val="32"/>
          <w:szCs w:val="32"/>
          <w14:textFill>
            <w14:solidFill>
              <w14:schemeClr w14:val="tx1"/>
            </w14:solidFill>
          </w14:textFill>
        </w:rPr>
      </w:pPr>
      <w:bookmarkStart w:id="172" w:name="_Toc4451"/>
      <w:bookmarkStart w:id="173" w:name="_Toc27427"/>
      <w:bookmarkStart w:id="174" w:name="_Toc5991"/>
      <w:r>
        <w:rPr>
          <w:rFonts w:hint="eastAsia" w:ascii="黑体" w:hAnsi="黑体" w:eastAsia="黑体" w:cs="黑体"/>
          <w:b/>
          <w:bCs/>
          <w:color w:val="000000" w:themeColor="text1"/>
          <w:kern w:val="0"/>
          <w:sz w:val="32"/>
          <w:szCs w:val="32"/>
          <w14:textFill>
            <w14:solidFill>
              <w14:schemeClr w14:val="tx1"/>
            </w14:solidFill>
          </w14:textFill>
        </w:rPr>
        <w:t>附件5</w:t>
      </w:r>
      <w:bookmarkEnd w:id="172"/>
      <w:bookmarkEnd w:id="173"/>
      <w:bookmarkEnd w:id="174"/>
    </w:p>
    <w:p>
      <w:pPr>
        <w:pStyle w:val="3"/>
        <w:numPr>
          <w:ilvl w:val="2"/>
          <w:numId w:val="0"/>
        </w:numPr>
        <w:ind w:left="964"/>
        <w:rPr>
          <w:rFonts w:hint="default"/>
          <w:b/>
          <w:bCs/>
          <w:color w:val="000000" w:themeColor="text1"/>
          <w14:textFill>
            <w14:solidFill>
              <w14:schemeClr w14:val="tx1"/>
            </w14:solidFill>
          </w14:textFill>
        </w:rPr>
      </w:pPr>
    </w:p>
    <w:p>
      <w:pPr>
        <w:pStyle w:val="14"/>
        <w:spacing w:after="0" w:line="560" w:lineRule="exact"/>
        <w:ind w:firstLine="0" w:firstLineChars="0"/>
        <w:jc w:val="center"/>
        <w:outlineLvl w:val="1"/>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bookmarkStart w:id="175" w:name="_Toc31419"/>
      <w:bookmarkStart w:id="176" w:name="_Toc9141"/>
      <w:bookmarkStart w:id="177" w:name="_Toc17087"/>
      <w:bookmarkStart w:id="178" w:name="_Toc17714"/>
      <w:bookmarkStart w:id="179" w:name="_Toc10888"/>
      <w:bookmarkStart w:id="180" w:name="_Toc17186"/>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专项指挥部编组模式</w:t>
      </w:r>
      <w:bookmarkEnd w:id="175"/>
      <w:bookmarkEnd w:id="176"/>
      <w:bookmarkEnd w:id="177"/>
      <w:bookmarkEnd w:id="178"/>
      <w:bookmarkEnd w:id="179"/>
      <w:bookmarkEnd w:id="180"/>
    </w:p>
    <w:p>
      <w:pPr>
        <w:pStyle w:val="14"/>
        <w:spacing w:after="0" w:line="560" w:lineRule="exact"/>
        <w:ind w:firstLine="0" w:firstLineChars="0"/>
        <w:jc w:val="center"/>
        <w:outlineLvl w:val="1"/>
        <w:rPr>
          <w:rFonts w:ascii="方正小标宋简体" w:hAnsi="方正小标宋简体" w:eastAsia="方正小标宋简体" w:cs="方正小标宋简体"/>
          <w:b/>
          <w:bCs/>
          <w:color w:val="000000" w:themeColor="text1"/>
          <w:kern w:val="0"/>
          <w:sz w:val="32"/>
          <w:szCs w:val="32"/>
          <w14:textFill>
            <w14:solidFill>
              <w14:schemeClr w14:val="tx1"/>
            </w14:solidFill>
          </w14:textFill>
        </w:rPr>
      </w:pPr>
    </w:p>
    <w:p>
      <w:pPr>
        <w:pStyle w:val="14"/>
        <w:spacing w:after="0" w:line="56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突发事件专项指挥部通常可由办公室和常设应急工作组组成，即“1+6+N”的指挥编组模式。</w:t>
      </w:r>
    </w:p>
    <w:p>
      <w:pPr>
        <w:pStyle w:val="14"/>
        <w:spacing w:after="0" w:line="56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“1”指指挥部办公室，由各突发事件处置牵头部门承担，主要负责信息管理、信息报告、会议组织、预案管理、资源保障和综合协调等职能。</w:t>
      </w:r>
    </w:p>
    <w:p>
      <w:pPr>
        <w:pStyle w:val="14"/>
        <w:spacing w:after="0" w:line="56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“6”指常设工作组，由专业处置组、医疗救治组、宣传舆情组、物资保障组、安全稳定组和专家指导组组成。</w:t>
      </w:r>
    </w:p>
    <w:p>
      <w:pPr>
        <w:pStyle w:val="14"/>
        <w:spacing w:after="0" w:line="56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（1）专业处置组由突发事件处置牵头部门组织，主要负责应急处置与应急救援工作。</w:t>
      </w:r>
    </w:p>
    <w:p>
      <w:pPr>
        <w:pStyle w:val="14"/>
        <w:spacing w:after="0" w:line="56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（2）医疗救治组由卫生健康部门牵头，主要负责医疗救治工作。</w:t>
      </w:r>
    </w:p>
    <w:p>
      <w:pPr>
        <w:pStyle w:val="14"/>
        <w:spacing w:after="0" w:line="56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（3）宣传舆情组由宣传部门牵头，主要负责对外宣传和舆论引导工作。</w:t>
      </w:r>
    </w:p>
    <w:p>
      <w:pPr>
        <w:pStyle w:val="14"/>
        <w:spacing w:after="0" w:line="56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（4）物资保障组由事发地县（市、区）人民政府牵头，主要负责应急处置与应急救援物资保障工作。</w:t>
      </w:r>
    </w:p>
    <w:p>
      <w:pPr>
        <w:pStyle w:val="14"/>
        <w:spacing w:after="0" w:line="56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（5）安全稳定组由公安部门牵头，主要负责安全警戒和社会稳定工作。</w:t>
      </w:r>
    </w:p>
    <w:p>
      <w:pPr>
        <w:pStyle w:val="14"/>
        <w:spacing w:after="0" w:line="56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（6）专家指导组由行业主管部门牵头，主要负责应急处置专家的调用工作，为应急处置提供技术支撑。</w:t>
      </w:r>
    </w:p>
    <w:p>
      <w:pPr>
        <w:pStyle w:val="14"/>
        <w:spacing w:after="0" w:line="560" w:lineRule="exact"/>
        <w:ind w:firstLine="643" w:firstLineChars="200"/>
        <w:rPr>
          <w:rFonts w:ascii="方正小标宋简体" w:hAnsi="方正小标宋简体" w:eastAsia="方正小标宋简体" w:cs="方正小标宋简体"/>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N”指临设工作组，专项指挥部在处置突发事件过程中，可以根据实际情况，增设涉外协调组、交通查控组、市场监管组、基层防护组、执法检查组、信息保障组、环境监测组、气象保障组、监督检查组和人力资源组等组织保障机构。</w:t>
      </w:r>
    </w:p>
    <w:sectPr>
      <w:pgSz w:w="11905" w:h="16838"/>
      <w:pgMar w:top="2098" w:right="1474" w:bottom="1984" w:left="1587" w:header="850" w:footer="1491" w:gutter="0"/>
      <w:pgNumType w:fmt="decimal"/>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421"/>
        <w:tab w:val="right" w:pos="8963"/>
      </w:tabs>
      <w:wordWrap w:val="0"/>
      <w:jc w:val="left"/>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wordWrap w:val="0"/>
                            <w:jc w:val="right"/>
                          </w:pPr>
                          <w:r>
                            <w:rPr>
                              <w:rFonts w:hint="eastAsia" w:asciiTheme="minorEastAsia" w:hAnsiTheme="minorEastAsia" w:cstheme="minorEastAsia"/>
                              <w:b/>
                              <w:bCs/>
                              <w:sz w:val="28"/>
                              <w:szCs w:val="28"/>
                            </w:rPr>
                            <w:t xml:space="preserve">— </w:t>
                          </w:r>
                          <w:r>
                            <w:rPr>
                              <w:rFonts w:hint="eastAsia" w:asciiTheme="minorEastAsia" w:hAnsiTheme="minorEastAsia" w:cstheme="minorEastAsia"/>
                              <w:b/>
                              <w:bCs/>
                              <w:sz w:val="28"/>
                              <w:szCs w:val="28"/>
                            </w:rPr>
                            <w:fldChar w:fldCharType="begin"/>
                          </w:r>
                          <w:r>
                            <w:rPr>
                              <w:rFonts w:hint="eastAsia" w:asciiTheme="minorEastAsia" w:hAnsiTheme="minorEastAsia" w:cstheme="minorEastAsia"/>
                              <w:b/>
                              <w:bCs/>
                              <w:sz w:val="28"/>
                              <w:szCs w:val="28"/>
                            </w:rPr>
                            <w:instrText xml:space="preserve"> PAGE  \* MERGEFORMAT </w:instrText>
                          </w:r>
                          <w:r>
                            <w:rPr>
                              <w:rFonts w:hint="eastAsia" w:asciiTheme="minorEastAsia" w:hAnsiTheme="minorEastAsia" w:cstheme="minorEastAsia"/>
                              <w:b/>
                              <w:bCs/>
                              <w:sz w:val="28"/>
                              <w:szCs w:val="28"/>
                            </w:rPr>
                            <w:fldChar w:fldCharType="separate"/>
                          </w:r>
                          <w:r>
                            <w:rPr>
                              <w:rFonts w:asciiTheme="minorEastAsia" w:hAnsiTheme="minorEastAsia" w:cstheme="minorEastAsia"/>
                              <w:b/>
                              <w:bCs/>
                              <w:sz w:val="28"/>
                              <w:szCs w:val="28"/>
                            </w:rPr>
                            <w:t>39</w:t>
                          </w:r>
                          <w:r>
                            <w:rPr>
                              <w:rFonts w:hint="eastAsia" w:asciiTheme="minorEastAsia" w:hAnsiTheme="minorEastAsia" w:cstheme="minorEastAsia"/>
                              <w:b/>
                              <w:bCs/>
                              <w:sz w:val="28"/>
                              <w:szCs w:val="28"/>
                            </w:rPr>
                            <w:fldChar w:fldCharType="end"/>
                          </w:r>
                          <w:r>
                            <w:rPr>
                              <w:rFonts w:hint="eastAsia" w:asciiTheme="minorEastAsia" w:hAnsiTheme="minorEastAsia" w:cstheme="minorEastAsia"/>
                              <w:b/>
                              <w:bCs/>
                              <w:sz w:val="28"/>
                              <w:szCs w:val="28"/>
                            </w:rPr>
                            <w:t xml:space="preserve"> —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9"/>
                      <w:wordWrap w:val="0"/>
                      <w:jc w:val="right"/>
                    </w:pPr>
                    <w:r>
                      <w:rPr>
                        <w:rFonts w:hint="eastAsia" w:asciiTheme="minorEastAsia" w:hAnsiTheme="minorEastAsia" w:cstheme="minorEastAsia"/>
                        <w:b/>
                        <w:bCs/>
                        <w:sz w:val="28"/>
                        <w:szCs w:val="28"/>
                      </w:rPr>
                      <w:t xml:space="preserve">— </w:t>
                    </w:r>
                    <w:r>
                      <w:rPr>
                        <w:rFonts w:hint="eastAsia" w:asciiTheme="minorEastAsia" w:hAnsiTheme="minorEastAsia" w:cstheme="minorEastAsia"/>
                        <w:b/>
                        <w:bCs/>
                        <w:sz w:val="28"/>
                        <w:szCs w:val="28"/>
                      </w:rPr>
                      <w:fldChar w:fldCharType="begin"/>
                    </w:r>
                    <w:r>
                      <w:rPr>
                        <w:rFonts w:hint="eastAsia" w:asciiTheme="minorEastAsia" w:hAnsiTheme="minorEastAsia" w:cstheme="minorEastAsia"/>
                        <w:b/>
                        <w:bCs/>
                        <w:sz w:val="28"/>
                        <w:szCs w:val="28"/>
                      </w:rPr>
                      <w:instrText xml:space="preserve"> PAGE  \* MERGEFORMAT </w:instrText>
                    </w:r>
                    <w:r>
                      <w:rPr>
                        <w:rFonts w:hint="eastAsia" w:asciiTheme="minorEastAsia" w:hAnsiTheme="minorEastAsia" w:cstheme="minorEastAsia"/>
                        <w:b/>
                        <w:bCs/>
                        <w:sz w:val="28"/>
                        <w:szCs w:val="28"/>
                      </w:rPr>
                      <w:fldChar w:fldCharType="separate"/>
                    </w:r>
                    <w:r>
                      <w:rPr>
                        <w:rFonts w:asciiTheme="minorEastAsia" w:hAnsiTheme="minorEastAsia" w:cstheme="minorEastAsia"/>
                        <w:b/>
                        <w:bCs/>
                        <w:sz w:val="28"/>
                        <w:szCs w:val="28"/>
                      </w:rPr>
                      <w:t>39</w:t>
                    </w:r>
                    <w:r>
                      <w:rPr>
                        <w:rFonts w:hint="eastAsia" w:asciiTheme="minorEastAsia" w:hAnsiTheme="minorEastAsia" w:cstheme="minorEastAsia"/>
                        <w:b/>
                        <w:bCs/>
                        <w:sz w:val="28"/>
                        <w:szCs w:val="28"/>
                      </w:rPr>
                      <w:fldChar w:fldCharType="end"/>
                    </w:r>
                    <w:r>
                      <w:rPr>
                        <w:rFonts w:hint="eastAsia" w:asciiTheme="minorEastAsia" w:hAnsiTheme="minorEastAsia" w:cstheme="minorEastAsia"/>
                        <w:b/>
                        <w:bCs/>
                        <w:sz w:val="28"/>
                        <w:szCs w:val="28"/>
                      </w:rPr>
                      <w:t xml:space="preserve"> —  </w:t>
                    </w:r>
                  </w:p>
                </w:txbxContent>
              </v:textbox>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180" w:firstLineChars="100"/>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ind w:firstLine="281" w:firstLineChars="100"/>
                          </w:pPr>
                          <w:r>
                            <w:rPr>
                              <w:rFonts w:hint="eastAsia" w:asciiTheme="minorEastAsia" w:hAnsiTheme="minorEastAsia" w:cstheme="minorEastAsia"/>
                              <w:b/>
                              <w:bCs/>
                              <w:sz w:val="28"/>
                              <w:szCs w:val="28"/>
                            </w:rPr>
                            <w:t xml:space="preserve">— </w:t>
                          </w:r>
                          <w:r>
                            <w:rPr>
                              <w:rFonts w:hint="eastAsia" w:asciiTheme="minorEastAsia" w:hAnsiTheme="minorEastAsia" w:cstheme="minorEastAsia"/>
                              <w:b/>
                              <w:bCs/>
                              <w:sz w:val="28"/>
                              <w:szCs w:val="28"/>
                            </w:rPr>
                            <w:fldChar w:fldCharType="begin"/>
                          </w:r>
                          <w:r>
                            <w:rPr>
                              <w:rFonts w:hint="eastAsia" w:asciiTheme="minorEastAsia" w:hAnsiTheme="minorEastAsia" w:cstheme="minorEastAsia"/>
                              <w:b/>
                              <w:bCs/>
                              <w:sz w:val="28"/>
                              <w:szCs w:val="28"/>
                            </w:rPr>
                            <w:instrText xml:space="preserve"> PAGE  \* MERGEFORMAT </w:instrText>
                          </w:r>
                          <w:r>
                            <w:rPr>
                              <w:rFonts w:hint="eastAsia" w:asciiTheme="minorEastAsia" w:hAnsiTheme="minorEastAsia" w:cstheme="minorEastAsia"/>
                              <w:b/>
                              <w:bCs/>
                              <w:sz w:val="28"/>
                              <w:szCs w:val="28"/>
                            </w:rPr>
                            <w:fldChar w:fldCharType="separate"/>
                          </w:r>
                          <w:r>
                            <w:rPr>
                              <w:rFonts w:asciiTheme="minorEastAsia" w:hAnsiTheme="minorEastAsia" w:cstheme="minorEastAsia"/>
                              <w:b/>
                              <w:bCs/>
                              <w:sz w:val="28"/>
                              <w:szCs w:val="28"/>
                            </w:rPr>
                            <w:t>40</w:t>
                          </w:r>
                          <w:r>
                            <w:rPr>
                              <w:rFonts w:hint="eastAsia" w:asciiTheme="minorEastAsia" w:hAnsiTheme="minorEastAsia" w:cstheme="minorEastAsia"/>
                              <w:b/>
                              <w:bCs/>
                              <w:sz w:val="28"/>
                              <w:szCs w:val="28"/>
                            </w:rPr>
                            <w:fldChar w:fldCharType="end"/>
                          </w:r>
                          <w:r>
                            <w:rPr>
                              <w:rFonts w:hint="eastAsia" w:asciiTheme="minorEastAsia" w:hAnsiTheme="minorEastAsia" w:cstheme="minorEastAsia"/>
                              <w:b/>
                              <w:bCs/>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9"/>
                      <w:ind w:firstLine="281" w:firstLineChars="100"/>
                    </w:pPr>
                    <w:r>
                      <w:rPr>
                        <w:rFonts w:hint="eastAsia" w:asciiTheme="minorEastAsia" w:hAnsiTheme="minorEastAsia" w:cstheme="minorEastAsia"/>
                        <w:b/>
                        <w:bCs/>
                        <w:sz w:val="28"/>
                        <w:szCs w:val="28"/>
                      </w:rPr>
                      <w:t xml:space="preserve">— </w:t>
                    </w:r>
                    <w:r>
                      <w:rPr>
                        <w:rFonts w:hint="eastAsia" w:asciiTheme="minorEastAsia" w:hAnsiTheme="minorEastAsia" w:cstheme="minorEastAsia"/>
                        <w:b/>
                        <w:bCs/>
                        <w:sz w:val="28"/>
                        <w:szCs w:val="28"/>
                      </w:rPr>
                      <w:fldChar w:fldCharType="begin"/>
                    </w:r>
                    <w:r>
                      <w:rPr>
                        <w:rFonts w:hint="eastAsia" w:asciiTheme="minorEastAsia" w:hAnsiTheme="minorEastAsia" w:cstheme="minorEastAsia"/>
                        <w:b/>
                        <w:bCs/>
                        <w:sz w:val="28"/>
                        <w:szCs w:val="28"/>
                      </w:rPr>
                      <w:instrText xml:space="preserve"> PAGE  \* MERGEFORMAT </w:instrText>
                    </w:r>
                    <w:r>
                      <w:rPr>
                        <w:rFonts w:hint="eastAsia" w:asciiTheme="minorEastAsia" w:hAnsiTheme="minorEastAsia" w:cstheme="minorEastAsia"/>
                        <w:b/>
                        <w:bCs/>
                        <w:sz w:val="28"/>
                        <w:szCs w:val="28"/>
                      </w:rPr>
                      <w:fldChar w:fldCharType="separate"/>
                    </w:r>
                    <w:r>
                      <w:rPr>
                        <w:rFonts w:asciiTheme="minorEastAsia" w:hAnsiTheme="minorEastAsia" w:cstheme="minorEastAsia"/>
                        <w:b/>
                        <w:bCs/>
                        <w:sz w:val="28"/>
                        <w:szCs w:val="28"/>
                      </w:rPr>
                      <w:t>40</w:t>
                    </w:r>
                    <w:r>
                      <w:rPr>
                        <w:rFonts w:hint="eastAsia" w:asciiTheme="minorEastAsia" w:hAnsiTheme="minorEastAsia" w:cstheme="minorEastAsia"/>
                        <w:b/>
                        <w:bCs/>
                        <w:sz w:val="28"/>
                        <w:szCs w:val="28"/>
                      </w:rPr>
                      <w:fldChar w:fldCharType="end"/>
                    </w:r>
                    <w:r>
                      <w:rPr>
                        <w:rFonts w:hint="eastAsia" w:asciiTheme="minorEastAsia" w:hAnsiTheme="minorEastAsia" w:cstheme="minorEastAsia"/>
                        <w:b/>
                        <w:bCs/>
                        <w:sz w:val="28"/>
                        <w:szCs w:val="28"/>
                      </w:rPr>
                      <w:t xml:space="preserve"> —</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-165735</wp:posOffset>
              </wp:positionV>
              <wp:extent cx="450850" cy="402590"/>
              <wp:effectExtent l="0" t="0" r="0" b="0"/>
              <wp:wrapNone/>
              <wp:docPr id="9" name="文本框 9"/>
              <wp:cNvGraphicFramePr/>
              <a:graphic xmlns:a="http://schemas.openxmlformats.org/drawingml/2006/main">
                <a:graphicData uri="http://schemas.microsoft.com/office/word/2010/wordprocessingShape">
                  <wps:wsp>
                    <wps:cNvSpPr txBox="1"/>
                    <wps:spPr>
                      <a:xfrm>
                        <a:off x="0" y="0"/>
                        <a:ext cx="450850" cy="402590"/>
                      </a:xfrm>
                      <a:prstGeom prst="rect">
                        <a:avLst/>
                      </a:prstGeom>
                      <a:noFill/>
                      <a:ln w="6350">
                        <a:noFill/>
                      </a:ln>
                      <a:effectLst/>
                    </wps:spPr>
                    <wps:txbx>
                      <w:txbxContent>
                        <w:p>
                          <w:pPr>
                            <w:pStyle w:val="9"/>
                            <w:rPr>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3.05pt;height:31.7pt;width:35.5pt;mso-position-horizontal:outside;mso-position-horizontal-relative:margin;z-index:251664384;mso-width-relative:page;mso-height-relative:page;" filled="f" stroked="f" coordsize="21600,21600" o:gfxdata="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f2XAKNUAAAAGAQAADwAAAAAAAAABACAAAAAiAAAAZHJzL2Rv&#10;d25yZXYueG1sUEsBAhQAFAAAAAgAh07iQN0r+Ps9AgAAbwQAAA4AAAAAAAAAAQAgAAAAJAEAAGRy&#10;cy9lMm9Eb2MueG1sUEsFBgAAAAAGAAYAWQEAANMFAAAAAA==&#10;">
              <v:fill on="f" focussize="0,0"/>
              <v:stroke on="f" weight="0.5pt"/>
              <v:imagedata o:title=""/>
              <o:lock v:ext="edit" aspectratio="f"/>
              <v:textbox inset="0mm,0mm,0mm,0mm">
                <w:txbxContent>
                  <w:p>
                    <w:pPr>
                      <w:pStyle w:val="9"/>
                      <w:rPr>
                        <w:sz w:val="28"/>
                        <w:szCs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9"/>
                            <w:rPr>
                              <w:rFonts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ascii="宋体" w:hAnsi="宋体" w:eastAsia="宋体" w:cs="宋体"/>
                              <w:b/>
                              <w:bCs/>
                              <w:sz w:val="28"/>
                              <w:szCs w:val="28"/>
                            </w:rPr>
                            <w:t>45</w:t>
                          </w:r>
                          <w:r>
                            <w:rPr>
                              <w:rFonts w:hint="eastAsia" w:ascii="宋体" w:hAnsi="宋体" w:eastAsia="宋体" w:cs="宋体"/>
                              <w:b/>
                              <w:bCs/>
                              <w:sz w:val="28"/>
                              <w:szCs w:val="28"/>
                            </w:rPr>
                            <w:fldChar w:fldCharType="end"/>
                          </w:r>
                          <w:r>
                            <w:rPr>
                              <w:rFonts w:hint="eastAsia" w:ascii="宋体" w:hAnsi="宋体" w:eastAsia="宋体" w:cs="宋体"/>
                              <w:b/>
                              <w:bCs/>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nwH+T0QEAAKQDAAAOAAAAAAAAAAEAIAAAAB8BAABk&#10;cnMvZTJvRG9jLnhtbFBLBQYAAAAABgAGAFkBAABiBQAAAAA=&#10;">
              <v:fill on="f" focussize="0,0"/>
              <v:stroke on="f" weight="0.5pt"/>
              <v:imagedata o:title=""/>
              <o:lock v:ext="edit" aspectratio="f"/>
              <v:textbox inset="0mm,0mm,0mm,0mm" style="mso-fit-shape-to-text:t;">
                <w:txbxContent>
                  <w:p>
                    <w:pPr>
                      <w:pStyle w:val="9"/>
                      <w:rPr>
                        <w:rFonts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ascii="宋体" w:hAnsi="宋体" w:eastAsia="宋体" w:cs="宋体"/>
                        <w:b/>
                        <w:bCs/>
                        <w:sz w:val="28"/>
                        <w:szCs w:val="28"/>
                      </w:rPr>
                      <w:t>45</w:t>
                    </w:r>
                    <w:r>
                      <w:rPr>
                        <w:rFonts w:hint="eastAsia" w:ascii="宋体" w:hAnsi="宋体" w:eastAsia="宋体" w:cs="宋体"/>
                        <w:b/>
                        <w:bCs/>
                        <w:sz w:val="28"/>
                        <w:szCs w:val="28"/>
                      </w:rPr>
                      <w:fldChar w:fldCharType="end"/>
                    </w:r>
                    <w:r>
                      <w:rPr>
                        <w:rFonts w:hint="eastAsia" w:ascii="宋体" w:hAnsi="宋体" w:eastAsia="宋体" w:cs="宋体"/>
                        <w:b/>
                        <w:bCs/>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180" w:firstLineChars="10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9"/>
                            <w:jc w:val="both"/>
                            <w:rPr>
                              <w:rFonts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ascii="宋体" w:hAnsi="宋体" w:eastAsia="宋体" w:cs="宋体"/>
                              <w:b/>
                              <w:bCs/>
                              <w:sz w:val="28"/>
                              <w:szCs w:val="28"/>
                            </w:rPr>
                            <w:t>56</w:t>
                          </w:r>
                          <w:r>
                            <w:rPr>
                              <w:rFonts w:hint="eastAsia" w:ascii="宋体" w:hAnsi="宋体" w:eastAsia="宋体" w:cs="宋体"/>
                              <w:b/>
                              <w:bCs/>
                              <w:sz w:val="28"/>
                              <w:szCs w:val="28"/>
                            </w:rPr>
                            <w:fldChar w:fldCharType="end"/>
                          </w:r>
                          <w:r>
                            <w:rPr>
                              <w:rFonts w:hint="eastAsia" w:ascii="宋体" w:hAnsi="宋体" w:eastAsia="宋体" w:cs="宋体"/>
                              <w:b/>
                              <w:bCs/>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T2yWitIBAACiAwAADgAAAAAAAAABACAAAAAfAQAA&#10;ZHJzL2Uyb0RvYy54bWxQSwUGAAAAAAYABgBZAQAAYwUAAAAA&#10;">
              <v:fill on="f" focussize="0,0"/>
              <v:stroke on="f" weight="0.5pt"/>
              <v:imagedata o:title=""/>
              <o:lock v:ext="edit" aspectratio="f"/>
              <v:textbox inset="0mm,0mm,0mm,0mm" style="mso-fit-shape-to-text:t;">
                <w:txbxContent>
                  <w:p>
                    <w:pPr>
                      <w:pStyle w:val="9"/>
                      <w:jc w:val="both"/>
                      <w:rPr>
                        <w:rFonts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ascii="宋体" w:hAnsi="宋体" w:eastAsia="宋体" w:cs="宋体"/>
                        <w:b/>
                        <w:bCs/>
                        <w:sz w:val="28"/>
                        <w:szCs w:val="28"/>
                      </w:rPr>
                      <w:t>56</w:t>
                    </w:r>
                    <w:r>
                      <w:rPr>
                        <w:rFonts w:hint="eastAsia" w:ascii="宋体" w:hAnsi="宋体" w:eastAsia="宋体" w:cs="宋体"/>
                        <w:b/>
                        <w:bCs/>
                        <w:sz w:val="28"/>
                        <w:szCs w:val="28"/>
                      </w:rPr>
                      <w:fldChar w:fldCharType="end"/>
                    </w:r>
                    <w:r>
                      <w:rPr>
                        <w:rFonts w:hint="eastAsia" w:ascii="宋体" w:hAnsi="宋体" w:eastAsia="宋体" w:cs="宋体"/>
                        <w:b/>
                        <w:bCs/>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left w:val="none" w:color="auto" w:sz="0" w:space="4"/>
        <w:bottom w:val="none" w:color="auto" w:sz="0" w:space="1"/>
        <w:right w:val="none" w:color="auto" w:sz="0" w:space="4"/>
      </w:pBd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9"/>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etibotIBAACiAwAADgAAAAAAAAABACAAAAAfAQAA&#10;ZHJzL2Uyb0RvYy54bWxQSwUGAAAAAAYABgBZAQAAYwUAAAAA&#10;">
              <v:fill on="f" focussize="0,0"/>
              <v:stroke on="f" weight="0.5pt"/>
              <v:imagedata o:title=""/>
              <o:lock v:ext="edit" aspectratio="f"/>
              <v:textbox inset="0mm,0mm,0mm,0mm" style="mso-fit-shape-to-text:t;">
                <w:txbxContent>
                  <w:p>
                    <w:pPr>
                      <w:pStyle w:val="9"/>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left w:val="none" w:color="auto" w:sz="0" w:space="4"/>
        <w:bottom w:val="none" w:color="auto" w:sz="0" w:space="1"/>
        <w:right w:val="none" w:color="auto" w:sz="0" w:space="4"/>
      </w:pBd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9"/>
                            <w:rPr>
                              <w:rFonts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ascii="宋体" w:hAnsi="宋体" w:eastAsia="宋体" w:cs="宋体"/>
                              <w:b/>
                              <w:bCs/>
                              <w:sz w:val="28"/>
                              <w:szCs w:val="28"/>
                            </w:rPr>
                            <w:t>55</w:t>
                          </w:r>
                          <w:r>
                            <w:rPr>
                              <w:rFonts w:hint="eastAsia" w:ascii="宋体" w:hAnsi="宋体" w:eastAsia="宋体" w:cs="宋体"/>
                              <w:b/>
                              <w:bCs/>
                              <w:sz w:val="28"/>
                              <w:szCs w:val="28"/>
                            </w:rPr>
                            <w:fldChar w:fldCharType="end"/>
                          </w:r>
                          <w:r>
                            <w:rPr>
                              <w:rFonts w:hint="eastAsia" w:ascii="宋体" w:hAnsi="宋体" w:eastAsia="宋体" w:cs="宋体"/>
                              <w:b/>
                              <w:bCs/>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n9ETe0QEAAKIDAAAOAAAAAAAAAAEAIAAAAB8BAABk&#10;cnMvZTJvRG9jLnhtbFBLBQYAAAAABgAGAFkBAABiBQAAAAA=&#10;">
              <v:fill on="f" focussize="0,0"/>
              <v:stroke on="f" weight="0.5pt"/>
              <v:imagedata o:title=""/>
              <o:lock v:ext="edit" aspectratio="f"/>
              <v:textbox inset="0mm,0mm,0mm,0mm" style="mso-fit-shape-to-text:t;">
                <w:txbxContent>
                  <w:p>
                    <w:pPr>
                      <w:pStyle w:val="9"/>
                      <w:rPr>
                        <w:rFonts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ascii="宋体" w:hAnsi="宋体" w:eastAsia="宋体" w:cs="宋体"/>
                        <w:b/>
                        <w:bCs/>
                        <w:sz w:val="28"/>
                        <w:szCs w:val="28"/>
                      </w:rPr>
                      <w:t>55</w:t>
                    </w:r>
                    <w:r>
                      <w:rPr>
                        <w:rFonts w:hint="eastAsia" w:ascii="宋体" w:hAnsi="宋体" w:eastAsia="宋体" w:cs="宋体"/>
                        <w:b/>
                        <w:bCs/>
                        <w:sz w:val="28"/>
                        <w:szCs w:val="28"/>
                      </w:rPr>
                      <w:fldChar w:fldCharType="end"/>
                    </w:r>
                    <w:r>
                      <w:rPr>
                        <w:rFonts w:hint="eastAsia" w:ascii="宋体" w:hAnsi="宋体" w:eastAsia="宋体" w:cs="宋体"/>
                        <w:b/>
                        <w:bCs/>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left w:val="none" w:color="auto" w:sz="0" w:space="4"/>
        <w:bottom w:val="none" w:color="auto" w:sz="0" w:space="1"/>
        <w:right w:val="none" w:color="auto" w:sz="0" w:space="4"/>
      </w:pBdr>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9"/>
                            <w:rPr>
                              <w:rFonts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ascii="宋体" w:hAnsi="宋体" w:eastAsia="宋体" w:cs="宋体"/>
                              <w:b/>
                              <w:bCs/>
                              <w:sz w:val="28"/>
                              <w:szCs w:val="28"/>
                            </w:rPr>
                            <w:t>55</w:t>
                          </w:r>
                          <w:r>
                            <w:rPr>
                              <w:rFonts w:hint="eastAsia" w:ascii="宋体" w:hAnsi="宋体" w:eastAsia="宋体" w:cs="宋体"/>
                              <w:b/>
                              <w:bCs/>
                              <w:sz w:val="28"/>
                              <w:szCs w:val="28"/>
                            </w:rPr>
                            <w:fldChar w:fldCharType="end"/>
                          </w:r>
                          <w:r>
                            <w:rPr>
                              <w:rFonts w:hint="eastAsia" w:ascii="宋体" w:hAnsi="宋体" w:eastAsia="宋体" w:cs="宋体"/>
                              <w:b/>
                              <w:bCs/>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pPr>
                      <w:pStyle w:val="9"/>
                      <w:rPr>
                        <w:rFonts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ascii="宋体" w:hAnsi="宋体" w:eastAsia="宋体" w:cs="宋体"/>
                        <w:b/>
                        <w:bCs/>
                        <w:sz w:val="28"/>
                        <w:szCs w:val="28"/>
                      </w:rPr>
                      <w:t>55</w:t>
                    </w:r>
                    <w:r>
                      <w:rPr>
                        <w:rFonts w:hint="eastAsia" w:ascii="宋体" w:hAnsi="宋体" w:eastAsia="宋体" w:cs="宋体"/>
                        <w:b/>
                        <w:bCs/>
                        <w:sz w:val="28"/>
                        <w:szCs w:val="28"/>
                      </w:rPr>
                      <w:fldChar w:fldCharType="end"/>
                    </w:r>
                    <w:r>
                      <w:rPr>
                        <w:rFonts w:hint="eastAsia" w:ascii="宋体" w:hAnsi="宋体" w:eastAsia="宋体" w:cs="宋体"/>
                        <w:b/>
                        <w:bCs/>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180" w:firstLineChars="100"/>
      <w:jc w:val="center"/>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9"/>
                            <w:jc w:val="both"/>
                            <w:rPr>
                              <w:rFonts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ascii="宋体" w:hAnsi="宋体" w:eastAsia="宋体" w:cs="宋体"/>
                              <w:b/>
                              <w:bCs/>
                              <w:sz w:val="28"/>
                              <w:szCs w:val="28"/>
                            </w:rPr>
                            <w:t>56</w:t>
                          </w:r>
                          <w:r>
                            <w:rPr>
                              <w:rFonts w:hint="eastAsia" w:ascii="宋体" w:hAnsi="宋体" w:eastAsia="宋体" w:cs="宋体"/>
                              <w:b/>
                              <w:bCs/>
                              <w:sz w:val="28"/>
                              <w:szCs w:val="28"/>
                            </w:rPr>
                            <w:fldChar w:fldCharType="end"/>
                          </w:r>
                          <w:r>
                            <w:rPr>
                              <w:rFonts w:hint="eastAsia" w:ascii="宋体" w:hAnsi="宋体" w:eastAsia="宋体" w:cs="宋体"/>
                              <w:b/>
                              <w:bCs/>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ASfbSAQAAog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ZYI5EYm01WHHbDxGznmhMS63ED&#10;GLW48JToB4sCp2WZjTAbu9k4+KD2Hfa4zPXAvz9E7CY3mSqMsFNhHF2mOa1Z2o2//Zz1/Gt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kBJ9tIBAACiAwAADgAAAAAAAAABACAAAAAfAQAA&#10;ZHJzL2Uyb0RvYy54bWxQSwUGAAAAAAYABgBZAQAAYwUAAAAA&#10;">
              <v:fill on="f" focussize="0,0"/>
              <v:stroke on="f" weight="0.5pt"/>
              <v:imagedata o:title=""/>
              <o:lock v:ext="edit" aspectratio="f"/>
              <v:textbox inset="0mm,0mm,0mm,0mm" style="mso-fit-shape-to-text:t;">
                <w:txbxContent>
                  <w:p>
                    <w:pPr>
                      <w:pStyle w:val="9"/>
                      <w:jc w:val="both"/>
                      <w:rPr>
                        <w:rFonts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ascii="宋体" w:hAnsi="宋体" w:eastAsia="宋体" w:cs="宋体"/>
                        <w:b/>
                        <w:bCs/>
                        <w:sz w:val="28"/>
                        <w:szCs w:val="28"/>
                      </w:rPr>
                      <w:t>56</w:t>
                    </w:r>
                    <w:r>
                      <w:rPr>
                        <w:rFonts w:hint="eastAsia" w:ascii="宋体" w:hAnsi="宋体" w:eastAsia="宋体" w:cs="宋体"/>
                        <w:b/>
                        <w:bCs/>
                        <w:sz w:val="28"/>
                        <w:szCs w:val="28"/>
                      </w:rPr>
                      <w:fldChar w:fldCharType="end"/>
                    </w:r>
                    <w:r>
                      <w:rPr>
                        <w:rFonts w:hint="eastAsia" w:ascii="宋体" w:hAnsi="宋体" w:eastAsia="宋体" w:cs="宋体"/>
                        <w:b/>
                        <w:bCs/>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楷体" w:hAnsi="楷体" w:eastAsia="楷体" w:cs="楷体"/>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70B0E4"/>
    <w:multiLevelType w:val="singleLevel"/>
    <w:tmpl w:val="F270B0E4"/>
    <w:lvl w:ilvl="0" w:tentative="0">
      <w:start w:val="1"/>
      <w:numFmt w:val="decimal"/>
      <w:suff w:val="nothing"/>
      <w:lvlText w:val="%1"/>
      <w:lvlJc w:val="center"/>
      <w:pPr>
        <w:ind w:left="0" w:firstLine="0"/>
      </w:pPr>
      <w:rPr>
        <w:rFonts w:hint="default"/>
      </w:rPr>
    </w:lvl>
  </w:abstractNum>
  <w:abstractNum w:abstractNumId="1">
    <w:nsid w:val="57AFF34C"/>
    <w:multiLevelType w:val="singleLevel"/>
    <w:tmpl w:val="57AFF34C"/>
    <w:lvl w:ilvl="0" w:tentative="0">
      <w:start w:val="1"/>
      <w:numFmt w:val="decimal"/>
      <w:suff w:val="nothing"/>
      <w:lvlText w:val="%1"/>
      <w:lvlJc w:val="center"/>
      <w:pPr>
        <w:ind w:left="0" w:firstLine="0"/>
      </w:pPr>
      <w:rPr>
        <w:rFonts w:hint="default"/>
      </w:rPr>
    </w:lvl>
  </w:abstractNum>
  <w:abstractNum w:abstractNumId="2">
    <w:nsid w:val="591A942D"/>
    <w:multiLevelType w:val="multilevel"/>
    <w:tmpl w:val="591A942D"/>
    <w:lvl w:ilvl="0" w:tentative="0">
      <w:start w:val="1"/>
      <w:numFmt w:val="decimal"/>
      <w:suff w:val="space"/>
      <w:lvlText w:val="%1 "/>
      <w:lvlJc w:val="left"/>
      <w:pPr>
        <w:ind w:left="0" w:firstLine="0"/>
      </w:pPr>
      <w:rPr>
        <w:rFonts w:hint="default" w:ascii="宋体" w:hAnsi="宋体" w:eastAsia="宋体" w:cs="宋体"/>
      </w:rPr>
    </w:lvl>
    <w:lvl w:ilvl="1" w:tentative="0">
      <w:start w:val="1"/>
      <w:numFmt w:val="decimal"/>
      <w:suff w:val="space"/>
      <w:lvlText w:val="%1.%2 "/>
      <w:lvlJc w:val="left"/>
      <w:pPr>
        <w:ind w:left="0" w:firstLine="0"/>
      </w:pPr>
      <w:rPr>
        <w:rFonts w:hint="default" w:ascii="宋体" w:hAnsi="宋体" w:eastAsia="宋体" w:cs="宋体"/>
      </w:rPr>
    </w:lvl>
    <w:lvl w:ilvl="2" w:tentative="0">
      <w:start w:val="1"/>
      <w:numFmt w:val="decimal"/>
      <w:pStyle w:val="3"/>
      <w:suff w:val="space"/>
      <w:lvlText w:val="%1.%2.%3 "/>
      <w:lvlJc w:val="left"/>
      <w:pPr>
        <w:ind w:left="0" w:firstLine="0"/>
      </w:pPr>
      <w:rPr>
        <w:rFonts w:hint="default" w:ascii="宋体" w:hAnsi="宋体" w:eastAsia="宋体" w:cs="宋体"/>
      </w:rPr>
    </w:lvl>
    <w:lvl w:ilvl="3" w:tentative="0">
      <w:start w:val="1"/>
      <w:numFmt w:val="decimal"/>
      <w:lvlText w:val="%1.%2.%3.%4 "/>
      <w:lvlJc w:val="left"/>
      <w:pPr>
        <w:ind w:left="850" w:hanging="850"/>
      </w:pPr>
      <w:rPr>
        <w:rFonts w:hint="default" w:ascii="宋体" w:hAnsi="宋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6AE73113"/>
    <w:multiLevelType w:val="singleLevel"/>
    <w:tmpl w:val="6AE73113"/>
    <w:lvl w:ilvl="0" w:tentative="0">
      <w:start w:val="1"/>
      <w:numFmt w:val="decimal"/>
      <w:suff w:val="nothing"/>
      <w:lvlText w:val="%1"/>
      <w:lvlJc w:val="center"/>
      <w:pPr>
        <w:ind w:left="0" w:firstLine="0"/>
      </w:pPr>
      <w:rPr>
        <w:rFonts w:hint="default"/>
        <w:color w:val="auto"/>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691A86"/>
    <w:rsid w:val="1D691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6"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6"/>
    <w:pPr>
      <w:keepNext/>
      <w:keepLines/>
      <w:spacing w:before="260" w:after="260" w:line="413" w:lineRule="auto"/>
      <w:outlineLvl w:val="1"/>
    </w:pPr>
    <w:rPr>
      <w:rFonts w:ascii="Cambria" w:hAnsi="Cambria" w:cs="Cambria"/>
      <w:b/>
      <w:szCs w:val="32"/>
    </w:rPr>
  </w:style>
  <w:style w:type="paragraph" w:styleId="3">
    <w:name w:val="heading 3"/>
    <w:basedOn w:val="1"/>
    <w:next w:val="1"/>
    <w:qFormat/>
    <w:uiPriority w:val="0"/>
    <w:pPr>
      <w:numPr>
        <w:ilvl w:val="2"/>
        <w:numId w:val="1"/>
      </w:numPr>
      <w:ind w:firstLine="964"/>
      <w:outlineLvl w:val="2"/>
    </w:pPr>
    <w:rPr>
      <w:rFonts w:hint="eastAsia" w:ascii="Times New Roman" w:hAnsi="Times New Roman" w:eastAsia="宋体" w:cs="Times New Roman"/>
      <w:szCs w:val="20"/>
    </w:rPr>
  </w:style>
  <w:style w:type="character" w:default="1" w:styleId="18">
    <w:name w:val="Default Paragraph Font"/>
    <w:semiHidden/>
    <w:uiPriority w:val="0"/>
  </w:style>
  <w:style w:type="table" w:default="1" w:styleId="16">
    <w:name w:val="Normal Table"/>
    <w:semiHidden/>
    <w:uiPriority w:val="0"/>
    <w:tblPr>
      <w:tblCellMar>
        <w:top w:w="0" w:type="dxa"/>
        <w:left w:w="108" w:type="dxa"/>
        <w:bottom w:w="0" w:type="dxa"/>
        <w:right w:w="108" w:type="dxa"/>
      </w:tblCellMar>
    </w:tblPr>
  </w:style>
  <w:style w:type="paragraph" w:styleId="4">
    <w:name w:val="caption"/>
    <w:basedOn w:val="1"/>
    <w:next w:val="1"/>
    <w:unhideWhenUsed/>
    <w:qFormat/>
    <w:uiPriority w:val="0"/>
    <w:rPr>
      <w:rFonts w:ascii="Arial" w:hAnsi="Arial"/>
      <w:sz w:val="24"/>
    </w:rPr>
  </w:style>
  <w:style w:type="paragraph" w:styleId="5">
    <w:name w:val="annotation text"/>
    <w:basedOn w:val="1"/>
    <w:qFormat/>
    <w:uiPriority w:val="0"/>
    <w:pPr>
      <w:jc w:val="left"/>
    </w:pPr>
    <w:rPr>
      <w:rFonts w:ascii="Times New Roman" w:hAnsi="Times New Roman"/>
    </w:rPr>
  </w:style>
  <w:style w:type="paragraph" w:styleId="6">
    <w:name w:val="Body Text"/>
    <w:basedOn w:val="1"/>
    <w:next w:val="1"/>
    <w:qFormat/>
    <w:uiPriority w:val="0"/>
    <w:pPr>
      <w:spacing w:line="140" w:lineRule="exact"/>
      <w:jc w:val="left"/>
    </w:pPr>
    <w:rPr>
      <w:sz w:val="18"/>
    </w:rPr>
  </w:style>
  <w:style w:type="paragraph" w:styleId="7">
    <w:name w:val="Body Text Indent"/>
    <w:basedOn w:val="1"/>
    <w:next w:val="4"/>
    <w:unhideWhenUsed/>
    <w:qFormat/>
    <w:uiPriority w:val="99"/>
    <w:pPr>
      <w:spacing w:after="120"/>
      <w:ind w:left="420" w:leftChars="200"/>
    </w:pPr>
  </w:style>
  <w:style w:type="paragraph" w:styleId="8">
    <w:name w:val="Block Text"/>
    <w:basedOn w:val="1"/>
    <w:unhideWhenUsed/>
    <w:qFormat/>
    <w:uiPriority w:val="99"/>
    <w:pPr>
      <w:spacing w:after="120"/>
      <w:ind w:left="1440" w:leftChars="700" w:right="1440" w:rightChars="7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1"/>
    <w:qFormat/>
    <w:uiPriority w:val="0"/>
    <w:pPr>
      <w:spacing w:after="120"/>
      <w:ind w:firstLine="420" w:firstLineChars="100"/>
    </w:pPr>
  </w:style>
  <w:style w:type="paragraph" w:styleId="15">
    <w:name w:val="Body Text First Indent 2"/>
    <w:basedOn w:val="7"/>
    <w:next w:val="14"/>
    <w:qFormat/>
    <w:uiPriority w:val="0"/>
    <w:pPr>
      <w:ind w:firstLine="420"/>
    </w:pPr>
    <w:rPr>
      <w:rFonts w:ascii="Times New Roman" w:hAnsi="Times New Roman"/>
      <w:szCs w:val="20"/>
    </w:rPr>
  </w:style>
  <w:style w:type="table" w:styleId="17">
    <w:name w:val="Table Grid"/>
    <w:basedOn w:val="16"/>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
    <w:name w:val="p0"/>
    <w:basedOn w:val="1"/>
    <w:qFormat/>
    <w:uiPriority w:val="0"/>
    <w:pPr>
      <w:widowControl/>
      <w:spacing w:line="560" w:lineRule="exact"/>
      <w:ind w:firstLine="200" w:firstLineChars="200"/>
    </w:pPr>
    <w:rPr>
      <w:rFonts w:ascii="Times New Roman" w:hAnsi="Times New Roman" w:eastAsia="仿宋" w:cs="Times New Roman"/>
      <w:kern w:val="0"/>
      <w:sz w:val="30"/>
      <w:szCs w:val="30"/>
    </w:rPr>
  </w:style>
  <w:style w:type="paragraph" w:customStyle="1" w:styleId="20">
    <w:name w:val="样式 应用正文文本 + 首行缩进:  2 字符2"/>
    <w:basedOn w:val="1"/>
    <w:semiHidden/>
    <w:qFormat/>
    <w:uiPriority w:val="0"/>
    <w:pPr>
      <w:spacing w:line="460" w:lineRule="exact"/>
      <w:ind w:firstLine="200" w:firstLineChars="200"/>
    </w:pPr>
    <w:rPr>
      <w:rFonts w:ascii="宋体" w:hAnsi="Arial" w:eastAsia="宋体" w:cs="宋体"/>
      <w:sz w:val="24"/>
    </w:rPr>
  </w:style>
  <w:style w:type="character" w:customStyle="1" w:styleId="21">
    <w:name w:val="font41"/>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2023-08-02T02:20:00Z</dcterms:created>
  <dc:creator>Administrator</dc:creator>
  <cp:lastModifiedBy>Administrator</cp:lastModifiedBy>
  <dcterms:modified xsi:type="dcterms:W3CDTF">2023-08-02T02:27:17Z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9D370035E6EF4D6AB3B21313496FFEDC</vt:lpwstr>
  </property>
</Properties>
</file>