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snapToGrid w:val="0"/>
        <w:spacing w:line="360" w:lineRule="auto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4</w:t>
      </w:r>
      <w:r>
        <w:rPr>
          <w:rFonts w:ascii="Times New Roman" w:hAnsi="Times New Roman" w:eastAsia="方正小标宋简体" w:cs="Times New Roman"/>
          <w:sz w:val="36"/>
          <w:szCs w:val="36"/>
        </w:rPr>
        <w:t>年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度</w:t>
      </w:r>
      <w:r>
        <w:rPr>
          <w:rFonts w:ascii="Times New Roman" w:hAnsi="Times New Roman" w:eastAsia="方正小标宋简体" w:cs="Times New Roman"/>
          <w:sz w:val="36"/>
          <w:szCs w:val="36"/>
        </w:rPr>
        <w:t>工业节能监察企业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（拟定）</w:t>
      </w:r>
      <w:r>
        <w:rPr>
          <w:rFonts w:ascii="Times New Roman" w:hAnsi="Times New Roman" w:eastAsia="方正小标宋简体" w:cs="Times New Roman"/>
          <w:sz w:val="36"/>
          <w:szCs w:val="36"/>
        </w:rPr>
        <w:t>名单</w:t>
      </w:r>
    </w:p>
    <w:p>
      <w:pPr>
        <w:snapToGrid w:val="0"/>
        <w:spacing w:line="360" w:lineRule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24"/>
          <w:szCs w:val="24"/>
        </w:rPr>
        <w:t>申报单位：      （盖章）</w:t>
      </w:r>
    </w:p>
    <w:tbl>
      <w:tblPr>
        <w:tblStyle w:val="4"/>
        <w:tblW w:w="8677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0"/>
        <w:gridCol w:w="1242"/>
        <w:gridCol w:w="2417"/>
        <w:gridCol w:w="1400"/>
        <w:gridCol w:w="1798"/>
        <w:gridCol w:w="114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专项监察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行业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（领域）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所在地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（省市县）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 w:eastAsia="仿宋_GB2312" w:cs="Times New Roman"/>
          <w:color w:val="000000"/>
          <w:kern w:val="0"/>
          <w:szCs w:val="21"/>
        </w:rPr>
      </w:pPr>
      <w:r>
        <w:rPr>
          <w:rFonts w:hint="eastAsia" w:ascii="Times New Roman" w:hAnsi="Times New Roman" w:eastAsia="仿宋_GB2312" w:cs="Times New Roman"/>
          <w:szCs w:val="21"/>
        </w:rPr>
        <w:t>注：</w:t>
      </w:r>
      <w:r>
        <w:rPr>
          <w:rFonts w:ascii="Times New Roman" w:hAnsi="Times New Roman" w:eastAsia="仿宋_GB2312" w:cs="Times New Roman"/>
          <w:szCs w:val="21"/>
        </w:rPr>
        <w:t>1. 专项监察类别包括：重点行业能效专项监察、重点领域能效专项监察、</w:t>
      </w:r>
      <w:r>
        <w:rPr>
          <w:rFonts w:ascii="Times New Roman" w:hAnsi="Times New Roman" w:eastAsia="仿宋_GB2312" w:cs="Times New Roman"/>
          <w:color w:val="000000"/>
          <w:kern w:val="0"/>
          <w:szCs w:val="21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Cs w:val="21"/>
        </w:rPr>
        <w:t>3</w:t>
      </w:r>
      <w:r>
        <w:rPr>
          <w:rFonts w:ascii="Times New Roman" w:hAnsi="Times New Roman" w:eastAsia="仿宋_GB2312" w:cs="Times New Roman"/>
          <w:color w:val="000000"/>
          <w:kern w:val="0"/>
          <w:szCs w:val="21"/>
        </w:rPr>
        <w:t>年违规企业整改落实情况专项监察。</w:t>
      </w:r>
    </w:p>
    <w:p>
      <w:pPr>
        <w:spacing w:line="360" w:lineRule="auto"/>
        <w:ind w:firstLine="440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color w:val="000000"/>
          <w:kern w:val="0"/>
          <w:szCs w:val="21"/>
        </w:rPr>
        <w:t xml:space="preserve">2. </w:t>
      </w:r>
      <w:r>
        <w:rPr>
          <w:rFonts w:ascii="Times New Roman" w:hAnsi="Times New Roman" w:eastAsia="仿宋_GB2312" w:cs="Times New Roman"/>
          <w:szCs w:val="21"/>
        </w:rPr>
        <w:t>重点行业能效专项</w:t>
      </w:r>
      <w:r>
        <w:rPr>
          <w:rFonts w:hint="eastAsia" w:ascii="Times New Roman" w:hAnsi="Times New Roman" w:eastAsia="仿宋_GB2312" w:cs="Times New Roman"/>
          <w:szCs w:val="21"/>
        </w:rPr>
        <w:t>监察中，同一家企业生产多种产品的应按照一家企业申报，并在</w:t>
      </w:r>
      <w:r>
        <w:rPr>
          <w:rFonts w:ascii="Times New Roman" w:hAnsi="Times New Roman" w:eastAsia="仿宋_GB2312" w:cs="Times New Roman"/>
          <w:szCs w:val="21"/>
        </w:rPr>
        <w:t>“</w:t>
      </w:r>
      <w:r>
        <w:rPr>
          <w:rFonts w:hint="eastAsia" w:ascii="Times New Roman" w:hAnsi="Times New Roman" w:eastAsia="仿宋_GB2312" w:cs="Times New Roman"/>
          <w:szCs w:val="21"/>
        </w:rPr>
        <w:t>行业（</w:t>
      </w:r>
      <w:r>
        <w:rPr>
          <w:rFonts w:ascii="Times New Roman" w:hAnsi="Times New Roman" w:eastAsia="仿宋_GB2312" w:cs="Times New Roman"/>
          <w:szCs w:val="21"/>
        </w:rPr>
        <w:t>领域</w:t>
      </w:r>
      <w:r>
        <w:rPr>
          <w:rFonts w:hint="eastAsia" w:ascii="Times New Roman" w:hAnsi="Times New Roman" w:eastAsia="仿宋_GB2312" w:cs="Times New Roman"/>
          <w:szCs w:val="21"/>
        </w:rPr>
        <w:t>）</w:t>
      </w:r>
      <w:r>
        <w:rPr>
          <w:rFonts w:ascii="Times New Roman" w:hAnsi="Times New Roman" w:eastAsia="仿宋_GB2312" w:cs="Times New Roman"/>
          <w:szCs w:val="21"/>
        </w:rPr>
        <w:t>”</w:t>
      </w:r>
      <w:r>
        <w:rPr>
          <w:rFonts w:hint="eastAsia" w:ascii="Times New Roman" w:hAnsi="Times New Roman" w:eastAsia="仿宋_GB2312" w:cs="Times New Roman"/>
          <w:szCs w:val="21"/>
        </w:rPr>
        <w:t>一栏注明产品种类。</w:t>
      </w:r>
    </w:p>
    <w:p>
      <w:pPr>
        <w:spacing w:line="360" w:lineRule="auto"/>
        <w:ind w:firstLine="440"/>
        <w:rPr>
          <w:rFonts w:ascii="Calibri" w:hAnsi="Calibri" w:eastAsia="宋体" w:cs="Times New Roman"/>
          <w:szCs w:val="21"/>
        </w:rPr>
      </w:pPr>
      <w:r>
        <w:rPr>
          <w:rFonts w:ascii="Times New Roman" w:hAnsi="Times New Roman" w:eastAsia="仿宋_GB2312" w:cs="Times New Roman"/>
          <w:color w:val="000000"/>
          <w:kern w:val="0"/>
          <w:szCs w:val="21"/>
        </w:rPr>
        <w:t xml:space="preserve">3. </w:t>
      </w:r>
      <w:r>
        <w:rPr>
          <w:rFonts w:ascii="Times New Roman" w:hAnsi="Times New Roman" w:eastAsia="仿宋_GB2312" w:cs="Times New Roman"/>
          <w:szCs w:val="21"/>
        </w:rPr>
        <w:t>重点行业能效专项</w:t>
      </w:r>
      <w:r>
        <w:rPr>
          <w:rFonts w:hint="eastAsia" w:ascii="Times New Roman" w:hAnsi="Times New Roman" w:eastAsia="仿宋_GB2312" w:cs="Times New Roman"/>
          <w:szCs w:val="21"/>
        </w:rPr>
        <w:t>监察中，</w:t>
      </w:r>
      <w:r>
        <w:rPr>
          <w:rFonts w:ascii="Times New Roman" w:hAnsi="Times New Roman" w:eastAsia="仿宋_GB2312" w:cs="Times New Roman"/>
          <w:color w:val="000000"/>
          <w:kern w:val="0"/>
          <w:szCs w:val="21"/>
          <w:lang w:bidi="ar"/>
        </w:rPr>
        <w:t>应在备注中标明所适用的</w:t>
      </w:r>
      <w:r>
        <w:rPr>
          <w:rFonts w:hint="eastAsia" w:ascii="Times New Roman" w:hAnsi="Times New Roman" w:eastAsia="仿宋_GB2312" w:cs="Times New Roman"/>
          <w:color w:val="000000"/>
          <w:kern w:val="0"/>
          <w:szCs w:val="21"/>
          <w:lang w:bidi="ar"/>
        </w:rPr>
        <w:t>行业强制性能耗限额</w:t>
      </w:r>
      <w:r>
        <w:rPr>
          <w:rFonts w:ascii="Times New Roman" w:hAnsi="Times New Roman" w:eastAsia="仿宋_GB2312" w:cs="Times New Roman"/>
          <w:color w:val="000000"/>
          <w:kern w:val="0"/>
          <w:szCs w:val="21"/>
          <w:lang w:bidi="ar"/>
        </w:rPr>
        <w:t>标准</w:t>
      </w:r>
      <w:r>
        <w:rPr>
          <w:rFonts w:hint="eastAsia" w:ascii="Times New Roman" w:hAnsi="Times New Roman" w:eastAsia="仿宋_GB2312" w:cs="Times New Roman"/>
          <w:color w:val="000000"/>
          <w:kern w:val="0"/>
          <w:szCs w:val="21"/>
          <w:lang w:bidi="ar"/>
        </w:rPr>
        <w:t>或能效标杆水平、基准水平</w:t>
      </w:r>
      <w:r>
        <w:rPr>
          <w:rFonts w:hint="eastAsia" w:ascii="Times New Roman" w:hAnsi="Times New Roman" w:eastAsia="仿宋_GB2312" w:cs="Times New Roman"/>
          <w:szCs w:val="21"/>
        </w:rPr>
        <w:t>。</w:t>
      </w:r>
    </w:p>
    <w:p>
      <w:pPr>
        <w:spacing w:line="360" w:lineRule="auto"/>
        <w:rPr>
          <w:rFonts w:ascii="Times New Roman" w:hAnsi="Times New Roman" w:eastAsia="仿宋_GB2312" w:cs="Times New Roman"/>
          <w:szCs w:val="21"/>
        </w:rPr>
      </w:pPr>
    </w:p>
    <w:p>
      <w:pPr>
        <w:ind w:left="904" w:leftChars="202" w:hanging="480" w:hangingChars="200"/>
        <w:rPr>
          <w:rFonts w:ascii="宋体" w:hAnsi="宋体" w:eastAsia="宋体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16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thtf</cp:lastModifiedBy>
  <dcterms:modified xsi:type="dcterms:W3CDTF">2024-02-26T10:03:13Z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