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黑体" w:hAnsi="黑体" w:eastAsia="黑体" w:cs="黑体"/>
          <w:b w:val="0"/>
          <w:bCs w:val="0"/>
          <w:i w:val="0"/>
          <w:iCs w:val="0"/>
          <w:caps w:val="0"/>
          <w:color w:val="000000"/>
          <w:spacing w:val="0"/>
          <w:sz w:val="32"/>
          <w:szCs w:val="32"/>
          <w:shd w:val="clear" w:color="auto" w:fill="FFFFFF"/>
          <w:lang w:eastAsia="zh-CN"/>
        </w:rPr>
      </w:pPr>
      <w:r>
        <w:rPr>
          <w:rFonts w:hint="eastAsia" w:ascii="黑体" w:hAnsi="黑体" w:eastAsia="黑体" w:cs="黑体"/>
          <w:b w:val="0"/>
          <w:bCs w:val="0"/>
          <w:i w:val="0"/>
          <w:iCs w:val="0"/>
          <w:caps w:val="0"/>
          <w:color w:val="000000"/>
          <w:spacing w:val="0"/>
          <w:sz w:val="32"/>
          <w:szCs w:val="32"/>
          <w:shd w:val="clear" w:color="auto" w:fill="FFFFFF"/>
          <w:lang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2023年</w:t>
      </w:r>
      <w:r>
        <w:rPr>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t>第二批</w:t>
      </w:r>
      <w:r>
        <w:rPr>
          <w:rFonts w:hint="eastAsia" w:ascii="方正小标宋简体" w:hAnsi="方正小标宋简体" w:eastAsia="方正小标宋简体" w:cs="方正小标宋简体"/>
          <w:i w:val="0"/>
          <w:iCs w:val="0"/>
          <w:color w:val="000000"/>
          <w:kern w:val="0"/>
          <w:sz w:val="44"/>
          <w:szCs w:val="44"/>
          <w:u w:val="none"/>
          <w:lang w:val="en-US" w:eastAsia="zh-CN" w:bidi="ar"/>
        </w:rPr>
        <w:t>省级产业结构调整引导专项资金（服务业）项目公示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bookmarkStart w:id="0" w:name="_GoBack"/>
      <w:bookmarkEnd w:id="0"/>
    </w:p>
    <w:tbl>
      <w:tblPr>
        <w:tblStyle w:val="3"/>
        <w:tblW w:w="832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5"/>
        <w:gridCol w:w="5562"/>
        <w:gridCol w:w="2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企业名称及项目名称</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建设地点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西安陆海国铁物流有限公司西安国际港铁海国际物流园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西安市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陕西通汇汽车物流有限公司陕汽通汇物流数智仓配平台建设项目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西安市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陕西兴平黄山宫民俗文化休闲观光有限公司-马嵬驿唐创源仿古集市建设项目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咸阳市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渭南天顺农产品商贸有限公司天顺农产品供应链建设项目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渭南市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清涧县供销电子商务有限公司清涧县供销仓储冷链物流及农产品加工中心建设项目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榆林市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商洛市产业投资控股有限公司商洛市交通综合物流园项目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商洛市</w:t>
            </w:r>
          </w:p>
        </w:tc>
      </w:tr>
    </w:tbl>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Yzg5NzYxYWNlMDgxMjZlNTM2MTIwMTJlYjQ2NGYifQ=="/>
  </w:docVars>
  <w:rsids>
    <w:rsidRoot w:val="6C2A1A40"/>
    <w:rsid w:val="6C2A1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2023-06-02T02:25:00Z</dcterms:created>
  <dc:creator>admin</dc:creator>
  <cp:lastModifiedBy>admin</cp:lastModifiedBy>
  <dcterms:modified xsi:type="dcterms:W3CDTF">2023-06-02T02:26:31Z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5068121A7EB74BCABF1109605B73D803_11</vt:lpwstr>
  </property>
</Properties>
</file>