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23ED00">
      <w:pPr>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rPr>
        <w:t>附件</w:t>
      </w:r>
    </w:p>
    <w:p w14:paraId="490A9EFA">
      <w:pPr>
        <w:jc w:val="center"/>
        <w:rPr>
          <w:rFonts w:hint="default" w:ascii="黑体" w:hAnsi="仿宋" w:eastAsia="方正小标宋简体" w:cs="仿宋_GB2312"/>
          <w:sz w:val="36"/>
          <w:szCs w:val="36"/>
          <w:lang w:val="en-US" w:eastAsia="zh-CN"/>
        </w:rPr>
      </w:pPr>
      <w:r>
        <w:rPr>
          <w:rFonts w:hint="eastAsia" w:ascii="方正小标宋简体" w:hAnsi="方正小标宋简体" w:eastAsia="方正小标宋简体" w:cs="方正小标宋简体"/>
          <w:sz w:val="36"/>
          <w:szCs w:val="36"/>
          <w:lang w:val="en-US" w:eastAsia="zh-CN"/>
        </w:rPr>
        <w:t>140</w:t>
      </w:r>
      <w:r>
        <w:rPr>
          <w:rFonts w:hint="eastAsia" w:ascii="方正小标宋简体" w:hAnsi="方正小标宋简体" w:eastAsia="方正小标宋简体" w:cs="方正小标宋简体"/>
          <w:sz w:val="36"/>
          <w:szCs w:val="36"/>
        </w:rPr>
        <w:t>项通信行业标准</w:t>
      </w:r>
      <w:r>
        <w:rPr>
          <w:rFonts w:hint="eastAsia" w:ascii="方正小标宋简体" w:hAnsi="方正小标宋简体" w:eastAsia="方正小标宋简体" w:cs="方正小标宋简体"/>
          <w:sz w:val="36"/>
          <w:szCs w:val="36"/>
          <w:lang w:val="en-US" w:eastAsia="zh-CN"/>
        </w:rPr>
        <w:t>编号、</w:t>
      </w:r>
      <w:r>
        <w:rPr>
          <w:rFonts w:hint="eastAsia" w:ascii="方正小标宋简体" w:hAnsi="方正小标宋简体" w:eastAsia="方正小标宋简体" w:cs="方正小标宋简体"/>
          <w:sz w:val="36"/>
          <w:szCs w:val="36"/>
        </w:rPr>
        <w:t>名称及主要内容</w:t>
      </w:r>
      <w:r>
        <w:rPr>
          <w:rFonts w:hint="eastAsia" w:ascii="方正小标宋简体" w:hAnsi="方正小标宋简体" w:eastAsia="方正小标宋简体" w:cs="方正小标宋简体"/>
          <w:sz w:val="36"/>
          <w:szCs w:val="36"/>
          <w:lang w:val="en-US" w:eastAsia="zh-CN"/>
        </w:rPr>
        <w:t>等一览表</w:t>
      </w:r>
    </w:p>
    <w:tbl>
      <w:tblPr>
        <w:tblStyle w:val="7"/>
        <w:tblW w:w="14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847"/>
        <w:gridCol w:w="2519"/>
        <w:gridCol w:w="6411"/>
        <w:gridCol w:w="1625"/>
        <w:gridCol w:w="1649"/>
      </w:tblGrid>
      <w:tr w14:paraId="01A64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2" w:hRule="atLeast"/>
          <w:tblHeader/>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6F1384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序号</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169508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标准编号</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14:paraId="6CF5B4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标准名称</w:t>
            </w:r>
          </w:p>
        </w:tc>
        <w:tc>
          <w:tcPr>
            <w:tcW w:w="6411" w:type="dxa"/>
            <w:tcBorders>
              <w:top w:val="single" w:color="000000" w:sz="4" w:space="0"/>
              <w:left w:val="single" w:color="000000" w:sz="4" w:space="0"/>
              <w:bottom w:val="single" w:color="000000" w:sz="4" w:space="0"/>
              <w:right w:val="single" w:color="000000" w:sz="4" w:space="0"/>
            </w:tcBorders>
            <w:noWrap w:val="0"/>
            <w:vAlign w:val="center"/>
          </w:tcPr>
          <w:p w14:paraId="59BF25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标准主要内容</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27A942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代替标准</w:t>
            </w:r>
          </w:p>
        </w:tc>
        <w:tc>
          <w:tcPr>
            <w:tcW w:w="1649" w:type="dxa"/>
            <w:tcBorders>
              <w:top w:val="single" w:color="000000" w:sz="4" w:space="0"/>
              <w:left w:val="single" w:color="000000" w:sz="4" w:space="0"/>
              <w:bottom w:val="single" w:color="000000" w:sz="4" w:space="0"/>
              <w:right w:val="single" w:color="000000" w:sz="4" w:space="0"/>
            </w:tcBorders>
            <w:noWrap w:val="0"/>
            <w:vAlign w:val="center"/>
          </w:tcPr>
          <w:p w14:paraId="1A6FB6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采标情况</w:t>
            </w:r>
          </w:p>
        </w:tc>
      </w:tr>
      <w:tr w14:paraId="430E5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40" w:hRule="atLeast"/>
          <w:jc w:val="center"/>
        </w:trPr>
        <w:tc>
          <w:tcPr>
            <w:tcW w:w="817" w:type="dxa"/>
            <w:noWrap w:val="0"/>
            <w:vAlign w:val="center"/>
          </w:tcPr>
          <w:p w14:paraId="22AB7CD3">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E684AF5">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4983-2024</w:t>
            </w:r>
          </w:p>
        </w:tc>
        <w:tc>
          <w:tcPr>
            <w:tcW w:w="2519" w:type="dxa"/>
            <w:noWrap w:val="0"/>
            <w:vAlign w:val="top"/>
          </w:tcPr>
          <w:p w14:paraId="6B3DC549">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网络空间安全仿真 资产统一描述与探测方法</w:t>
            </w:r>
          </w:p>
        </w:tc>
        <w:tc>
          <w:tcPr>
            <w:tcW w:w="6411" w:type="dxa"/>
            <w:noWrap w:val="0"/>
            <w:vAlign w:val="top"/>
          </w:tcPr>
          <w:p w14:paraId="03E1202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本文件规定了在网络空间安全仿真环境中资产信息的描述模型及资产探测的方法</w:t>
            </w:r>
          </w:p>
          <w:p w14:paraId="7947064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本文件适用于网络空间安全仿真环境下的资产探测系统的功能研发、使用和结果导出</w:t>
            </w:r>
          </w:p>
        </w:tc>
        <w:tc>
          <w:tcPr>
            <w:tcW w:w="1625" w:type="dxa"/>
            <w:noWrap w:val="0"/>
            <w:vAlign w:val="top"/>
          </w:tcPr>
          <w:p w14:paraId="4EC1C69C">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4F59F205">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5160C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20" w:hRule="atLeast"/>
          <w:jc w:val="center"/>
        </w:trPr>
        <w:tc>
          <w:tcPr>
            <w:tcW w:w="817" w:type="dxa"/>
            <w:noWrap w:val="0"/>
            <w:vAlign w:val="center"/>
          </w:tcPr>
          <w:p w14:paraId="383FD2AB">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19A8252D">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4984-2024</w:t>
            </w:r>
          </w:p>
        </w:tc>
        <w:tc>
          <w:tcPr>
            <w:tcW w:w="2519" w:type="dxa"/>
            <w:noWrap w:val="0"/>
            <w:vAlign w:val="top"/>
          </w:tcPr>
          <w:p w14:paraId="3A1529F7">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电信网和互联网非结构化数据数字水印鲁棒性测试方法</w:t>
            </w:r>
          </w:p>
        </w:tc>
        <w:tc>
          <w:tcPr>
            <w:tcW w:w="6411" w:type="dxa"/>
            <w:noWrap w:val="0"/>
            <w:vAlign w:val="top"/>
          </w:tcPr>
          <w:p w14:paraId="7C0D7B0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本文件描述了电信网和互联网非结构化数据数字水印技术或产品的鲁棒性测试方法</w:t>
            </w:r>
          </w:p>
          <w:p w14:paraId="2910AEB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电信网和互联网非结构化数据数字水印技术或产品的安全开发、安全测试、安全应用等，也适用于指导电信网和互联网非结构化数据数字水印使用者或第三方测评机构对数字水印技术或产品进行鲁棒性测试评估</w:t>
            </w:r>
          </w:p>
        </w:tc>
        <w:tc>
          <w:tcPr>
            <w:tcW w:w="1625" w:type="dxa"/>
            <w:noWrap w:val="0"/>
            <w:vAlign w:val="top"/>
          </w:tcPr>
          <w:p w14:paraId="488C07BD">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43BCD6B9">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465D3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80" w:hRule="atLeast"/>
          <w:jc w:val="center"/>
        </w:trPr>
        <w:tc>
          <w:tcPr>
            <w:tcW w:w="817" w:type="dxa"/>
            <w:noWrap w:val="0"/>
            <w:vAlign w:val="center"/>
          </w:tcPr>
          <w:p w14:paraId="2314F28F">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5DC292B1">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4985-2024</w:t>
            </w:r>
          </w:p>
        </w:tc>
        <w:tc>
          <w:tcPr>
            <w:tcW w:w="2519" w:type="dxa"/>
            <w:noWrap w:val="0"/>
            <w:vAlign w:val="top"/>
          </w:tcPr>
          <w:p w14:paraId="572264DF">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电信网和互联网图像篡改检测技术要求与测试方法</w:t>
            </w:r>
          </w:p>
        </w:tc>
        <w:tc>
          <w:tcPr>
            <w:tcW w:w="6411" w:type="dxa"/>
            <w:noWrap w:val="0"/>
            <w:vAlign w:val="top"/>
          </w:tcPr>
          <w:p w14:paraId="6DEBD45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本文件规定了电信网和互联网图像篡改检测的技术要求和对应的测试方法</w:t>
            </w:r>
          </w:p>
          <w:p w14:paraId="5E586CB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本文件适用于电信网和互联网图像篡改检测技术的开发、测试、应用等，也适用于指导电信网和互联网图像篡改检测技术使用者或第三方测评机构对图像篡改检测技术进行测试评估</w:t>
            </w:r>
          </w:p>
        </w:tc>
        <w:tc>
          <w:tcPr>
            <w:tcW w:w="1625" w:type="dxa"/>
            <w:noWrap w:val="0"/>
            <w:vAlign w:val="top"/>
          </w:tcPr>
          <w:p w14:paraId="0B17A921">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31F563D5">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25C1C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1688C1B">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667BFAD5">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4986-2024</w:t>
            </w:r>
          </w:p>
        </w:tc>
        <w:tc>
          <w:tcPr>
            <w:tcW w:w="2519" w:type="dxa"/>
            <w:noWrap w:val="0"/>
            <w:vAlign w:val="top"/>
          </w:tcPr>
          <w:p w14:paraId="76C1B381">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基础电信企业数据脱敏效果安全评估方法</w:t>
            </w:r>
          </w:p>
        </w:tc>
        <w:tc>
          <w:tcPr>
            <w:tcW w:w="6411" w:type="dxa"/>
            <w:noWrap w:val="0"/>
            <w:vAlign w:val="top"/>
          </w:tcPr>
          <w:p w14:paraId="3EE7927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本文件描述了</w:t>
            </w:r>
            <w:r>
              <w:rPr>
                <w:rFonts w:hint="eastAsia" w:ascii="Times New Roman" w:hAnsi="Times New Roman" w:eastAsia="仿宋_GB2312" w:cs="宋体"/>
                <w:i w:val="0"/>
                <w:iCs w:val="0"/>
                <w:color w:val="000000"/>
                <w:kern w:val="0"/>
                <w:sz w:val="21"/>
                <w:szCs w:val="22"/>
                <w:u w:val="none"/>
                <w:lang w:val="en-US" w:eastAsia="zh-CN" w:bidi="ar"/>
              </w:rPr>
              <w:t>基础电信企业</w:t>
            </w:r>
            <w:r>
              <w:rPr>
                <w:rFonts w:hint="eastAsia" w:ascii="Times New Roman" w:hAnsi="Times New Roman" w:eastAsia="仿宋_GB2312" w:cs="宋体"/>
                <w:sz w:val="21"/>
                <w:szCs w:val="21"/>
              </w:rPr>
              <w:t>数据脱敏效果安全评估的方法，提出了评估原理、评估流程及实施步骤</w:t>
            </w:r>
          </w:p>
          <w:p w14:paraId="41604B7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本文件适用于指导基础电信企业对特定应用场景中的数据脱敏效果进行评估，辅助发现、控制应用场景中存在的风险，也适用于指导第三方机构开展数据脱敏效果安全评估工作</w:t>
            </w:r>
          </w:p>
        </w:tc>
        <w:tc>
          <w:tcPr>
            <w:tcW w:w="1625" w:type="dxa"/>
            <w:noWrap w:val="0"/>
            <w:vAlign w:val="top"/>
          </w:tcPr>
          <w:p w14:paraId="094923DF">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327F908D">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6DF17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39A5C3A">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D7E0DC0">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4987-2024</w:t>
            </w:r>
          </w:p>
        </w:tc>
        <w:tc>
          <w:tcPr>
            <w:tcW w:w="2519" w:type="dxa"/>
            <w:noWrap w:val="0"/>
            <w:vAlign w:val="top"/>
          </w:tcPr>
          <w:p w14:paraId="01330342">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电信网和互联网联邦学习技术要求与测试方法</w:t>
            </w:r>
          </w:p>
        </w:tc>
        <w:tc>
          <w:tcPr>
            <w:tcW w:w="6411" w:type="dxa"/>
            <w:noWrap w:val="0"/>
            <w:vAlign w:val="top"/>
          </w:tcPr>
          <w:p w14:paraId="5EAEAF9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本文件规定了电信网与互联网联邦学习的技术要求与对应的测试方法</w:t>
            </w:r>
          </w:p>
          <w:p w14:paraId="5B0C919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本文件适用于电信网与互联网行业的联邦学习方案、工程、产品等的设计、研发、测试、评估</w:t>
            </w:r>
          </w:p>
        </w:tc>
        <w:tc>
          <w:tcPr>
            <w:tcW w:w="1625" w:type="dxa"/>
            <w:noWrap w:val="0"/>
            <w:vAlign w:val="top"/>
          </w:tcPr>
          <w:p w14:paraId="5923AD97">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27655AEB">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1F292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B859464">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400D983A">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4988-2024</w:t>
            </w:r>
          </w:p>
        </w:tc>
        <w:tc>
          <w:tcPr>
            <w:tcW w:w="2519" w:type="dxa"/>
            <w:noWrap w:val="0"/>
            <w:vAlign w:val="top"/>
          </w:tcPr>
          <w:p w14:paraId="42079444">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多方数据共享服务数据安全技术框架</w:t>
            </w:r>
          </w:p>
        </w:tc>
        <w:tc>
          <w:tcPr>
            <w:tcW w:w="6411" w:type="dxa"/>
            <w:noWrap w:val="0"/>
            <w:vAlign w:val="top"/>
          </w:tcPr>
          <w:p w14:paraId="2C7517A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宋体"/>
                <w:sz w:val="21"/>
                <w:szCs w:val="21"/>
                <w:lang w:val="en-US" w:eastAsia="zh-CN"/>
              </w:rPr>
            </w:pPr>
            <w:r>
              <w:rPr>
                <w:rFonts w:hint="eastAsia" w:ascii="Times New Roman" w:hAnsi="Times New Roman" w:eastAsia="仿宋_GB2312" w:cs="宋体"/>
                <w:sz w:val="21"/>
                <w:szCs w:val="21"/>
              </w:rPr>
              <w:t>本文件</w:t>
            </w:r>
            <w:r>
              <w:rPr>
                <w:rFonts w:hint="eastAsia" w:ascii="Times New Roman" w:hAnsi="Times New Roman" w:eastAsia="仿宋_GB2312" w:cs="宋体"/>
                <w:sz w:val="21"/>
                <w:szCs w:val="21"/>
                <w:lang w:val="en-US" w:eastAsia="zh-CN"/>
              </w:rPr>
              <w:t>规定了</w:t>
            </w:r>
            <w:r>
              <w:rPr>
                <w:rFonts w:hint="eastAsia" w:ascii="Times New Roman" w:hAnsi="Times New Roman" w:eastAsia="仿宋_GB2312" w:cs="宋体"/>
                <w:sz w:val="21"/>
                <w:szCs w:val="21"/>
              </w:rPr>
              <w:t>多方数据共享服务数据安全技术框架</w:t>
            </w:r>
          </w:p>
          <w:p w14:paraId="363B690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本文件适用于电信网和互联网等通用场景下开展的多方数据共享服务，并可以为多方数据共享服务的各参与方使用数据安全和隐私保护技术支撑共享服务提供参考</w:t>
            </w:r>
          </w:p>
        </w:tc>
        <w:tc>
          <w:tcPr>
            <w:tcW w:w="1625" w:type="dxa"/>
            <w:noWrap w:val="0"/>
            <w:vAlign w:val="top"/>
          </w:tcPr>
          <w:p w14:paraId="51F66C3F">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3374198B">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37F7C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1249A3EB">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064AA34F">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4989-2024</w:t>
            </w:r>
          </w:p>
        </w:tc>
        <w:tc>
          <w:tcPr>
            <w:tcW w:w="2519" w:type="dxa"/>
            <w:noWrap w:val="0"/>
            <w:vAlign w:val="top"/>
          </w:tcPr>
          <w:p w14:paraId="4FFFD7FA">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车联网基础电信网络安全监测数据采集技术要求及测试方法</w:t>
            </w:r>
          </w:p>
        </w:tc>
        <w:tc>
          <w:tcPr>
            <w:tcW w:w="6411" w:type="dxa"/>
            <w:noWrap w:val="0"/>
            <w:vAlign w:val="top"/>
          </w:tcPr>
          <w:p w14:paraId="19118E1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本文件定义了基础电信网络中车联网网络安全监测数据采集的技术要求，包括采集覆盖范围、协议及资产识别、通联记录、安全监测及指令协同内容等要求，以及相应的测试方法</w:t>
            </w:r>
          </w:p>
          <w:p w14:paraId="3CB0903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本文件适用于基础电信企业对车联网网络安全监测数据采集相关能力的规划、设计、评估、检测等工作</w:t>
            </w:r>
          </w:p>
        </w:tc>
        <w:tc>
          <w:tcPr>
            <w:tcW w:w="1625" w:type="dxa"/>
            <w:noWrap w:val="0"/>
            <w:vAlign w:val="top"/>
          </w:tcPr>
          <w:p w14:paraId="3AD46514">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06E61D74">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5E179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5CB7C14">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34432160">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2584-2024</w:t>
            </w:r>
          </w:p>
        </w:tc>
        <w:tc>
          <w:tcPr>
            <w:tcW w:w="2519" w:type="dxa"/>
            <w:noWrap w:val="0"/>
            <w:vAlign w:val="top"/>
          </w:tcPr>
          <w:p w14:paraId="775EE0D3">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互联网数据中心（IDC）安全防护要求</w:t>
            </w:r>
          </w:p>
        </w:tc>
        <w:tc>
          <w:tcPr>
            <w:tcW w:w="6411" w:type="dxa"/>
            <w:noWrap w:val="0"/>
            <w:vAlign w:val="top"/>
          </w:tcPr>
          <w:p w14:paraId="64C028F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w:t>
            </w:r>
            <w:r>
              <w:rPr>
                <w:rFonts w:ascii="Times New Roman" w:hAnsi="Times New Roman" w:eastAsia="仿宋_GB2312" w:cs="宋体"/>
                <w:sz w:val="21"/>
                <w:szCs w:val="21"/>
              </w:rPr>
              <w:t>IPv4、IPv6、双栈环境下互联网数据中心（IDC）的安全防护要求，包括业务安全、网络安全、主机安全、物理环境安全和管理安全等方面</w:t>
            </w:r>
          </w:p>
          <w:p w14:paraId="3978B5E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本文件适用于指导支持</w:t>
            </w:r>
            <w:r>
              <w:rPr>
                <w:rFonts w:ascii="Times New Roman" w:hAnsi="Times New Roman" w:eastAsia="仿宋_GB2312" w:cs="宋体"/>
                <w:sz w:val="21"/>
                <w:szCs w:val="21"/>
              </w:rPr>
              <w:t>IDC安全防护工作开展和推进</w:t>
            </w:r>
          </w:p>
        </w:tc>
        <w:tc>
          <w:tcPr>
            <w:tcW w:w="1625" w:type="dxa"/>
            <w:noWrap w:val="0"/>
            <w:vAlign w:val="top"/>
          </w:tcPr>
          <w:p w14:paraId="49FE56FE">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r>
              <w:rPr>
                <w:rFonts w:ascii="Times New Roman" w:hAnsi="Times New Roman" w:eastAsia="仿宋_GB2312" w:cs="宋体"/>
                <w:sz w:val="21"/>
                <w:szCs w:val="21"/>
              </w:rPr>
              <w:t>YD/T 2584</w:t>
            </w:r>
            <w:r>
              <w:rPr>
                <w:rFonts w:hint="eastAsia" w:ascii="Times New Roman" w:hAnsi="Times New Roman" w:eastAsia="仿宋_GB2312" w:cs="宋体"/>
                <w:sz w:val="21"/>
                <w:szCs w:val="21"/>
                <w:lang w:val="en-US" w:eastAsia="zh-CN"/>
              </w:rPr>
              <w:t>-</w:t>
            </w:r>
            <w:r>
              <w:rPr>
                <w:rFonts w:ascii="Times New Roman" w:hAnsi="Times New Roman" w:eastAsia="仿宋_GB2312" w:cs="宋体"/>
                <w:sz w:val="21"/>
                <w:szCs w:val="21"/>
              </w:rPr>
              <w:t>2015</w:t>
            </w:r>
          </w:p>
        </w:tc>
        <w:tc>
          <w:tcPr>
            <w:tcW w:w="1649" w:type="dxa"/>
            <w:noWrap w:val="0"/>
            <w:vAlign w:val="top"/>
          </w:tcPr>
          <w:p w14:paraId="6B4A7C54">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53766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6C20217">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764ACAE5">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4990-2024</w:t>
            </w:r>
          </w:p>
        </w:tc>
        <w:tc>
          <w:tcPr>
            <w:tcW w:w="2519" w:type="dxa"/>
            <w:noWrap w:val="0"/>
            <w:vAlign w:val="top"/>
          </w:tcPr>
          <w:p w14:paraId="1EF2667E">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区块链 安全指标要求与测试方法</w:t>
            </w:r>
          </w:p>
        </w:tc>
        <w:tc>
          <w:tcPr>
            <w:tcW w:w="6411" w:type="dxa"/>
            <w:noWrap w:val="0"/>
            <w:vAlign w:val="top"/>
          </w:tcPr>
          <w:p w14:paraId="389B9D9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本文件规定了区块链安全相关的术语和定义，区块链平台及应用的安全评价指标和评测方法</w:t>
            </w:r>
          </w:p>
          <w:p w14:paraId="6A51AFB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本文件适用于以产品形式交付的区块链系统及平台，也适用于技术可行的开源区块链系统的研发、测试、评估和验收</w:t>
            </w:r>
          </w:p>
        </w:tc>
        <w:tc>
          <w:tcPr>
            <w:tcW w:w="1625" w:type="dxa"/>
            <w:noWrap w:val="0"/>
            <w:vAlign w:val="top"/>
          </w:tcPr>
          <w:p w14:paraId="7FF9AD5B">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676A3F6C">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57047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AA2B3FD">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5480F751">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4598.5-2024</w:t>
            </w:r>
          </w:p>
        </w:tc>
        <w:tc>
          <w:tcPr>
            <w:tcW w:w="2519" w:type="dxa"/>
            <w:noWrap w:val="0"/>
            <w:vAlign w:val="top"/>
          </w:tcPr>
          <w:p w14:paraId="5A2D7784">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面向云计算的零信任体系 第5部分：业务安全能力要求</w:t>
            </w:r>
          </w:p>
        </w:tc>
        <w:tc>
          <w:tcPr>
            <w:tcW w:w="6411" w:type="dxa"/>
            <w:noWrap w:val="0"/>
            <w:vAlign w:val="top"/>
          </w:tcPr>
          <w:p w14:paraId="631A236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本文件规定了面向云计算零信任体系的业务安全能力要求，包括面向零信任的业务安全能力体系适用场景、业务安全总体架构、业务安全能力要求</w:t>
            </w:r>
          </w:p>
          <w:p w14:paraId="6427040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本文件适用于服务提供商在提供业务安全服务时的功能设计、产品研制、能力评估，同时适用于用户在进行业务安全能力管理、对自身业务安全体系进行设计和评价时参照使用</w:t>
            </w:r>
          </w:p>
        </w:tc>
        <w:tc>
          <w:tcPr>
            <w:tcW w:w="1625" w:type="dxa"/>
            <w:noWrap w:val="0"/>
            <w:vAlign w:val="top"/>
          </w:tcPr>
          <w:p w14:paraId="32FDC18D">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5677CE92">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76BD5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B75EC83">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2E209F7">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4991-2024</w:t>
            </w:r>
          </w:p>
        </w:tc>
        <w:tc>
          <w:tcPr>
            <w:tcW w:w="2519" w:type="dxa"/>
            <w:noWrap w:val="0"/>
            <w:vAlign w:val="top"/>
          </w:tcPr>
          <w:p w14:paraId="4841C284">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基于x86的数据中心服务器虚拟化安全技术要求</w:t>
            </w:r>
          </w:p>
        </w:tc>
        <w:tc>
          <w:tcPr>
            <w:tcW w:w="6411" w:type="dxa"/>
            <w:noWrap w:val="0"/>
            <w:vAlign w:val="top"/>
          </w:tcPr>
          <w:p w14:paraId="790AFCC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本文件规定了基于</w:t>
            </w:r>
            <w:r>
              <w:rPr>
                <w:rFonts w:ascii="Times New Roman" w:hAnsi="Times New Roman" w:eastAsia="仿宋_GB2312" w:cs="宋体"/>
                <w:sz w:val="21"/>
                <w:szCs w:val="21"/>
              </w:rPr>
              <w:t>x86架构的数据中心服务器虚拟化安全技术要求，主要涉及宿主机安全、虚拟机安全、虚拟化网络安全和虚拟化管理系统安全等方面的相关要求</w:t>
            </w:r>
          </w:p>
          <w:p w14:paraId="7A68C07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本文件适用于指导数据中心服务商开展服务器虚拟化安全的规划、设计、产品选型、建设、部署和配置工作</w:t>
            </w:r>
          </w:p>
        </w:tc>
        <w:tc>
          <w:tcPr>
            <w:tcW w:w="1625" w:type="dxa"/>
            <w:noWrap w:val="0"/>
            <w:vAlign w:val="top"/>
          </w:tcPr>
          <w:p w14:paraId="1B8F3542">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663A3B2C">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752F6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D5AD2D4">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440B19CE">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4992-2024</w:t>
            </w:r>
          </w:p>
        </w:tc>
        <w:tc>
          <w:tcPr>
            <w:tcW w:w="2519" w:type="dxa"/>
            <w:noWrap w:val="0"/>
            <w:vAlign w:val="top"/>
          </w:tcPr>
          <w:p w14:paraId="3EA3E377">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网络空间安全仿真 网络数据支撑平台技术要求</w:t>
            </w:r>
          </w:p>
        </w:tc>
        <w:tc>
          <w:tcPr>
            <w:tcW w:w="6411" w:type="dxa"/>
            <w:noWrap w:val="0"/>
            <w:vAlign w:val="top"/>
          </w:tcPr>
          <w:p w14:paraId="01F521F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本文件规定了网络空间安全仿真网络数据支撑平台的总体技术要求，包括数据存储与共享技术要求、数据分析技术要求、平台扩展性技术要求、平台可用性技术要求</w:t>
            </w:r>
          </w:p>
          <w:p w14:paraId="3B73A57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本文件适用于网络空间安全仿真数据支撑平台的设计、开发和应用</w:t>
            </w:r>
          </w:p>
        </w:tc>
        <w:tc>
          <w:tcPr>
            <w:tcW w:w="1625" w:type="dxa"/>
            <w:noWrap w:val="0"/>
            <w:vAlign w:val="top"/>
          </w:tcPr>
          <w:p w14:paraId="366A13A0">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63C53325">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073EE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1B0BA708">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475E72B4">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4993-2024</w:t>
            </w:r>
          </w:p>
        </w:tc>
        <w:tc>
          <w:tcPr>
            <w:tcW w:w="2519" w:type="dxa"/>
            <w:noWrap w:val="0"/>
            <w:vAlign w:val="top"/>
          </w:tcPr>
          <w:p w14:paraId="060ABFFB">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5G移动通信网络切片安全技术要求</w:t>
            </w:r>
          </w:p>
        </w:tc>
        <w:tc>
          <w:tcPr>
            <w:tcW w:w="6411" w:type="dxa"/>
            <w:noWrap w:val="0"/>
            <w:vAlign w:val="top"/>
          </w:tcPr>
          <w:p w14:paraId="3082EC0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w:t>
            </w:r>
            <w:r>
              <w:rPr>
                <w:rFonts w:ascii="Times New Roman" w:hAnsi="Times New Roman" w:eastAsia="仿宋_GB2312" w:cs="宋体"/>
                <w:sz w:val="21"/>
                <w:szCs w:val="21"/>
              </w:rPr>
              <w:t>5G移动通信网络切片安全技术要求，包括5G网络切片的安全要求、5G网络切片准入控制、基于签约限制的同时注册网络切片、AF获取切片配额信息的授权</w:t>
            </w:r>
          </w:p>
          <w:p w14:paraId="2D8BCC4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w:t>
            </w:r>
            <w:r>
              <w:rPr>
                <w:rFonts w:ascii="Times New Roman" w:hAnsi="Times New Roman" w:eastAsia="仿宋_GB2312" w:cs="宋体"/>
                <w:sz w:val="21"/>
                <w:szCs w:val="21"/>
              </w:rPr>
              <w:t>5G移动通信网络切片的管理、部署和应用</w:t>
            </w:r>
          </w:p>
        </w:tc>
        <w:tc>
          <w:tcPr>
            <w:tcW w:w="1625" w:type="dxa"/>
            <w:noWrap w:val="0"/>
            <w:vAlign w:val="top"/>
          </w:tcPr>
          <w:p w14:paraId="21697B3D">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2F7203F7">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53F80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4AA25CF">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4D372DF7">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4994-2024</w:t>
            </w:r>
          </w:p>
        </w:tc>
        <w:tc>
          <w:tcPr>
            <w:tcW w:w="2519" w:type="dxa"/>
            <w:noWrap w:val="0"/>
            <w:vAlign w:val="top"/>
          </w:tcPr>
          <w:p w14:paraId="691E2330">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移动智能终端人工智能应用的个人信息保护技术要求及评估方法</w:t>
            </w:r>
          </w:p>
        </w:tc>
        <w:tc>
          <w:tcPr>
            <w:tcW w:w="6411" w:type="dxa"/>
            <w:noWrap w:val="0"/>
            <w:vAlign w:val="top"/>
          </w:tcPr>
          <w:p w14:paraId="1D4C7CF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移动智能终端人工智能应用的个人信息保护技术要求和评估方法，提出了移动智能终端人工智能应用的个人信息保护基本原则，定义了产业链各方在个人信息保护中的角色和职责，规范了人工智能业务所涉个人信息的类型，结合各类信息特点，对相应类型的个人信息保护提出技术要求和对应的评估方法</w:t>
            </w:r>
          </w:p>
          <w:p w14:paraId="6143A19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本文件适用于移动智能终端人工智能应用的个人信息保护的设计、开发以及安全评测</w:t>
            </w:r>
          </w:p>
        </w:tc>
        <w:tc>
          <w:tcPr>
            <w:tcW w:w="1625" w:type="dxa"/>
            <w:noWrap w:val="0"/>
            <w:vAlign w:val="top"/>
          </w:tcPr>
          <w:p w14:paraId="53604720">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00737323">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171DB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305DB62">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682F6E12">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4995-2024</w:t>
            </w:r>
          </w:p>
        </w:tc>
        <w:tc>
          <w:tcPr>
            <w:tcW w:w="2519" w:type="dxa"/>
            <w:noWrap w:val="0"/>
            <w:vAlign w:val="top"/>
          </w:tcPr>
          <w:p w14:paraId="629EA003">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工业互联网边缘计算平台安全防护要求</w:t>
            </w:r>
          </w:p>
        </w:tc>
        <w:tc>
          <w:tcPr>
            <w:tcW w:w="6411" w:type="dxa"/>
            <w:noWrap w:val="0"/>
            <w:vAlign w:val="top"/>
          </w:tcPr>
          <w:p w14:paraId="23B0776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本文件规定了工业互联网边缘计算平台安全防护的具体要求，包括边缘节点安全、网络安全、应用安全、云边互联安全、数据安全、安全管理方面的要求</w:t>
            </w:r>
          </w:p>
          <w:p w14:paraId="1CA1858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本文件适用于工业互联网边缘计算平台，为工业互联网边缘计算平台的建设、运营和维护提供参考依据</w:t>
            </w:r>
          </w:p>
        </w:tc>
        <w:tc>
          <w:tcPr>
            <w:tcW w:w="1625" w:type="dxa"/>
            <w:noWrap w:val="0"/>
            <w:vAlign w:val="top"/>
          </w:tcPr>
          <w:p w14:paraId="17A80305">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589A0116">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466A4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13BEC5AC">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A867787">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4996-2024</w:t>
            </w:r>
          </w:p>
        </w:tc>
        <w:tc>
          <w:tcPr>
            <w:tcW w:w="2519" w:type="dxa"/>
            <w:noWrap w:val="0"/>
            <w:vAlign w:val="top"/>
          </w:tcPr>
          <w:p w14:paraId="7E4DEC3A">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电信和互联网行业网络运营者漏洞管理平台技术要求</w:t>
            </w:r>
          </w:p>
        </w:tc>
        <w:tc>
          <w:tcPr>
            <w:tcW w:w="6411" w:type="dxa"/>
            <w:noWrap w:val="0"/>
            <w:vAlign w:val="top"/>
          </w:tcPr>
          <w:p w14:paraId="2B5ECE5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本文件规定了电信网和互联网行业网络运营者漏洞管理平台的功能要求、接口要求以及安全管理要求</w:t>
            </w:r>
          </w:p>
          <w:p w14:paraId="391D8EB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本文件适用于电信网和互联网行业网络运营者漏洞管理平台</w:t>
            </w:r>
          </w:p>
        </w:tc>
        <w:tc>
          <w:tcPr>
            <w:tcW w:w="1625" w:type="dxa"/>
            <w:noWrap w:val="0"/>
            <w:vAlign w:val="top"/>
          </w:tcPr>
          <w:p w14:paraId="2EA98714">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1417EDC3">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6CA78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8FC89DF">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0457A9E0">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4997-2024</w:t>
            </w:r>
          </w:p>
        </w:tc>
        <w:tc>
          <w:tcPr>
            <w:tcW w:w="2519" w:type="dxa"/>
            <w:noWrap w:val="0"/>
            <w:vAlign w:val="top"/>
          </w:tcPr>
          <w:p w14:paraId="5FAE8F45">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电信和互联网行业网络运营者漏洞管理平台接口要求</w:t>
            </w:r>
          </w:p>
        </w:tc>
        <w:tc>
          <w:tcPr>
            <w:tcW w:w="6411" w:type="dxa"/>
            <w:noWrap w:val="0"/>
            <w:vAlign w:val="top"/>
          </w:tcPr>
          <w:p w14:paraId="463911B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本文件规定了电信和互联网行业网络运营者漏洞管理平台的接口功能要求、接口协议要求、指令交互类和数据传输类接口要求</w:t>
            </w:r>
          </w:p>
          <w:p w14:paraId="710997B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本文件适用于管理侧与企业侧的行业网络运营者漏洞管理平台之间接口的设计、开发和测试</w:t>
            </w:r>
          </w:p>
        </w:tc>
        <w:tc>
          <w:tcPr>
            <w:tcW w:w="1625" w:type="dxa"/>
            <w:noWrap w:val="0"/>
            <w:vAlign w:val="top"/>
          </w:tcPr>
          <w:p w14:paraId="3DA0377F">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0EA7EBA0">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25CB0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C3021A9">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4A35CECA">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4998-2024</w:t>
            </w:r>
          </w:p>
        </w:tc>
        <w:tc>
          <w:tcPr>
            <w:tcW w:w="2519" w:type="dxa"/>
            <w:noWrap w:val="0"/>
            <w:vAlign w:val="top"/>
          </w:tcPr>
          <w:p w14:paraId="22CC957D">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5G 独立组网（SA）架构核心网安全防护检测要求</w:t>
            </w:r>
          </w:p>
        </w:tc>
        <w:tc>
          <w:tcPr>
            <w:tcW w:w="6411" w:type="dxa"/>
            <w:noWrap w:val="0"/>
            <w:vAlign w:val="top"/>
          </w:tcPr>
          <w:p w14:paraId="3FB837F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w:t>
            </w:r>
            <w:r>
              <w:rPr>
                <w:rFonts w:ascii="Times New Roman" w:hAnsi="Times New Roman" w:eastAsia="仿宋_GB2312" w:cs="宋体"/>
                <w:sz w:val="21"/>
                <w:szCs w:val="21"/>
              </w:rPr>
              <w:t>5G独立组网架构核心网在物理环境安全、网络安全、设备安全、软件及业务系统安全、数据安全、管理安全等方面的安全防护检测要求</w:t>
            </w:r>
          </w:p>
          <w:p w14:paraId="2E2E2CA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本文件适用于基础电信业务经营者独立或与第三方合作建设运营的</w:t>
            </w:r>
            <w:r>
              <w:rPr>
                <w:rFonts w:ascii="Times New Roman" w:hAnsi="Times New Roman" w:eastAsia="仿宋_GB2312" w:cs="宋体"/>
                <w:sz w:val="21"/>
                <w:szCs w:val="21"/>
              </w:rPr>
              <w:t>5G独立组网架构核心网</w:t>
            </w:r>
          </w:p>
        </w:tc>
        <w:tc>
          <w:tcPr>
            <w:tcW w:w="1625" w:type="dxa"/>
            <w:noWrap w:val="0"/>
            <w:vAlign w:val="top"/>
          </w:tcPr>
          <w:p w14:paraId="65D732D0">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2CE4D6B6">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36CD8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A50F437">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953DF21">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4999-2024</w:t>
            </w:r>
          </w:p>
        </w:tc>
        <w:tc>
          <w:tcPr>
            <w:tcW w:w="2519" w:type="dxa"/>
            <w:noWrap w:val="0"/>
            <w:vAlign w:val="top"/>
          </w:tcPr>
          <w:p w14:paraId="406634A1">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电信行业关键信息基础设施安全保护 安全管理总体要求</w:t>
            </w:r>
          </w:p>
        </w:tc>
        <w:tc>
          <w:tcPr>
            <w:tcW w:w="6411" w:type="dxa"/>
            <w:noWrap w:val="0"/>
            <w:vAlign w:val="top"/>
          </w:tcPr>
          <w:p w14:paraId="7FA6F95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本文件规定了电信行业关键信息基础设施的安全管理要求，通过识别、防护、检测评估、监测预警、响应处置等五个方面，实施行业关键信息基础设施全生命周期的安全保护</w:t>
            </w:r>
          </w:p>
          <w:p w14:paraId="6A90A8B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本文件适用于电信行业关键信息基础设施的安全保护和监督管理工作</w:t>
            </w:r>
          </w:p>
        </w:tc>
        <w:tc>
          <w:tcPr>
            <w:tcW w:w="1625" w:type="dxa"/>
            <w:noWrap w:val="0"/>
            <w:vAlign w:val="top"/>
          </w:tcPr>
          <w:p w14:paraId="4E36466D">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3C37CBEE">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30C25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1CE80BF">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0C6F7BD0">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6000-2024</w:t>
            </w:r>
          </w:p>
        </w:tc>
        <w:tc>
          <w:tcPr>
            <w:tcW w:w="2519" w:type="dxa"/>
            <w:noWrap w:val="0"/>
            <w:vAlign w:val="top"/>
          </w:tcPr>
          <w:p w14:paraId="5D44C48D">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电信网和互联网数据沙箱技术要求与测试方法</w:t>
            </w:r>
          </w:p>
        </w:tc>
        <w:tc>
          <w:tcPr>
            <w:tcW w:w="6411" w:type="dxa"/>
            <w:noWrap w:val="0"/>
            <w:vAlign w:val="top"/>
          </w:tcPr>
          <w:p w14:paraId="7E853AB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w:t>
            </w:r>
            <w:r>
              <w:rPr>
                <w:rFonts w:hint="eastAsia" w:ascii="Times New Roman" w:hAnsi="Times New Roman" w:eastAsia="仿宋_GB2312" w:cs="宋体"/>
                <w:i w:val="0"/>
                <w:iCs w:val="0"/>
                <w:color w:val="000000"/>
                <w:kern w:val="0"/>
                <w:sz w:val="21"/>
                <w:szCs w:val="22"/>
                <w:u w:val="none"/>
                <w:lang w:val="en-US" w:eastAsia="zh-CN" w:bidi="ar"/>
              </w:rPr>
              <w:t>电信网和互联网</w:t>
            </w:r>
            <w:r>
              <w:rPr>
                <w:rFonts w:hint="eastAsia" w:ascii="Times New Roman" w:hAnsi="Times New Roman" w:eastAsia="仿宋_GB2312" w:cs="宋体"/>
                <w:sz w:val="21"/>
                <w:szCs w:val="21"/>
              </w:rPr>
              <w:t>数据沙箱平台在数据管理能力、计算支持能力、安全能力、平台管理的技术要求和相应的测试方法</w:t>
            </w:r>
          </w:p>
          <w:p w14:paraId="425BCE5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本文件适用于数据沙箱平台的研发、测试、评估和验收等</w:t>
            </w:r>
          </w:p>
        </w:tc>
        <w:tc>
          <w:tcPr>
            <w:tcW w:w="1625" w:type="dxa"/>
            <w:noWrap w:val="0"/>
            <w:vAlign w:val="top"/>
          </w:tcPr>
          <w:p w14:paraId="4752F5F6">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1BC3EF8E">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4094E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9875370">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184A6CF5">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6001-2024</w:t>
            </w:r>
          </w:p>
        </w:tc>
        <w:tc>
          <w:tcPr>
            <w:tcW w:w="2519" w:type="dxa"/>
            <w:noWrap w:val="0"/>
            <w:vAlign w:val="top"/>
          </w:tcPr>
          <w:p w14:paraId="1408FAA4">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网络空间安全仿真 基于攻击技战术模型的安全测评方法</w:t>
            </w:r>
          </w:p>
        </w:tc>
        <w:tc>
          <w:tcPr>
            <w:tcW w:w="6411" w:type="dxa"/>
            <w:noWrap w:val="0"/>
            <w:vAlign w:val="top"/>
          </w:tcPr>
          <w:p w14:paraId="252BC2B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本文件描述了基于攻击技战术模型</w:t>
            </w:r>
            <w:r>
              <w:rPr>
                <w:rFonts w:ascii="Times New Roman" w:hAnsi="Times New Roman" w:eastAsia="仿宋_GB2312" w:cs="宋体"/>
                <w:sz w:val="21"/>
                <w:szCs w:val="21"/>
              </w:rPr>
              <w:t>在网络空间安全仿真环境中对信息系统、安全产品等对象进行安全测评的方法，包括基本概念、流程要求和判定准则</w:t>
            </w:r>
          </w:p>
          <w:p w14:paraId="40B1338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本文件适用于指导测评方基于网络空间安全仿真平台，按照攻击技战术模型开展安全测评工作</w:t>
            </w:r>
          </w:p>
        </w:tc>
        <w:tc>
          <w:tcPr>
            <w:tcW w:w="1625" w:type="dxa"/>
            <w:noWrap w:val="0"/>
            <w:vAlign w:val="top"/>
          </w:tcPr>
          <w:p w14:paraId="7AED3097">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6D9E7CB6">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10DA4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1868C4C">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0C033A49">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6002-2024</w:t>
            </w:r>
          </w:p>
        </w:tc>
        <w:tc>
          <w:tcPr>
            <w:tcW w:w="2519" w:type="dxa"/>
            <w:noWrap w:val="0"/>
            <w:vAlign w:val="top"/>
          </w:tcPr>
          <w:p w14:paraId="2652BA6F">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网络空间安全仿真 知识图谱构建技术框架</w:t>
            </w:r>
          </w:p>
        </w:tc>
        <w:tc>
          <w:tcPr>
            <w:tcW w:w="6411" w:type="dxa"/>
            <w:noWrap w:val="0"/>
            <w:vAlign w:val="top"/>
          </w:tcPr>
          <w:p w14:paraId="25E9327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本文件给出了网络空间安全仿真领域中知识图谱构建的技术框架，包括知识图谱构建流程、数据源和各阶段任务及实现方法</w:t>
            </w:r>
          </w:p>
          <w:p w14:paraId="12012E8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本文件适用于网络空间安全仿真平台或网络靶场体系下知识图谱的构建</w:t>
            </w:r>
          </w:p>
        </w:tc>
        <w:tc>
          <w:tcPr>
            <w:tcW w:w="1625" w:type="dxa"/>
            <w:noWrap w:val="0"/>
            <w:vAlign w:val="top"/>
          </w:tcPr>
          <w:p w14:paraId="50493B24">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39AC1634">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5FFCD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F2DD412">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4BDA4944">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6003-2024</w:t>
            </w:r>
          </w:p>
        </w:tc>
        <w:tc>
          <w:tcPr>
            <w:tcW w:w="2519" w:type="dxa"/>
            <w:noWrap w:val="0"/>
            <w:vAlign w:val="top"/>
          </w:tcPr>
          <w:p w14:paraId="0E513831">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网络空间安全仿真 电力系统信息安全仿真平台接入技术要求</w:t>
            </w:r>
          </w:p>
        </w:tc>
        <w:tc>
          <w:tcPr>
            <w:tcW w:w="6411" w:type="dxa"/>
            <w:noWrap w:val="0"/>
            <w:vAlign w:val="top"/>
          </w:tcPr>
          <w:p w14:paraId="233392E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本文件规定了电力系统信息安全仿真平台系统仿真、环境仿真、测试应用和演示功能的接入技术要求，并对接入安全进行了规定</w:t>
            </w:r>
          </w:p>
          <w:p w14:paraId="4643E2B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本文件适用于指导电力系统信息安全仿真平台接入其他仿真平台的方案设计、系统验收、技术应用和管理</w:t>
            </w:r>
          </w:p>
        </w:tc>
        <w:tc>
          <w:tcPr>
            <w:tcW w:w="1625" w:type="dxa"/>
            <w:noWrap w:val="0"/>
            <w:vAlign w:val="top"/>
          </w:tcPr>
          <w:p w14:paraId="04189CE0">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08417ABC">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0F943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C9B2069">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488B2EF6">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6004-2024</w:t>
            </w:r>
          </w:p>
        </w:tc>
        <w:tc>
          <w:tcPr>
            <w:tcW w:w="2519" w:type="dxa"/>
            <w:noWrap w:val="0"/>
            <w:vAlign w:val="top"/>
          </w:tcPr>
          <w:p w14:paraId="59000366">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网络空间安全仿真 仿真平台能力分级指南</w:t>
            </w:r>
          </w:p>
        </w:tc>
        <w:tc>
          <w:tcPr>
            <w:tcW w:w="6411" w:type="dxa"/>
            <w:noWrap w:val="0"/>
            <w:vAlign w:val="top"/>
          </w:tcPr>
          <w:p w14:paraId="74D8F7F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本文件提出了网络空间安全仿真平台的导调指挥、目标网络构建与互联接入、攻防检测与态势评估、攻击工具管理及组装，以及防御工具管理、部署、协同等方面应具备的能力分级指南要求</w:t>
            </w:r>
          </w:p>
          <w:p w14:paraId="7C210B9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本文件适用于指导网络空间安全仿真平台的设计、开发和能力建设，也适用于第三方机构对网络空间安全仿真平台的综合能力进行审查和评估</w:t>
            </w:r>
          </w:p>
        </w:tc>
        <w:tc>
          <w:tcPr>
            <w:tcW w:w="1625" w:type="dxa"/>
            <w:noWrap w:val="0"/>
            <w:vAlign w:val="top"/>
          </w:tcPr>
          <w:p w14:paraId="554A0441">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3C0EC37B">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46CDA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10DAA6AF">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05EDD446">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6005-2024</w:t>
            </w:r>
          </w:p>
        </w:tc>
        <w:tc>
          <w:tcPr>
            <w:tcW w:w="2519" w:type="dxa"/>
            <w:noWrap w:val="0"/>
            <w:vAlign w:val="top"/>
          </w:tcPr>
          <w:p w14:paraId="17D44480">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网络空间安全仿真 网络行为仿真系统总体要求</w:t>
            </w:r>
          </w:p>
        </w:tc>
        <w:tc>
          <w:tcPr>
            <w:tcW w:w="6411" w:type="dxa"/>
            <w:noWrap w:val="0"/>
            <w:vAlign w:val="top"/>
          </w:tcPr>
          <w:p w14:paraId="7DFDBAC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本文件规定了网络空间安全仿真平台上网络行为仿真系统总体要求，包括系统功能结构、功能要求、接口要求以及性能要求</w:t>
            </w:r>
          </w:p>
          <w:p w14:paraId="2164D97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本文件适用于网络空间安全仿真平台中网络行为仿真系统的规划、设计、开发和测试</w:t>
            </w:r>
          </w:p>
        </w:tc>
        <w:tc>
          <w:tcPr>
            <w:tcW w:w="1625" w:type="dxa"/>
            <w:noWrap w:val="0"/>
            <w:vAlign w:val="top"/>
          </w:tcPr>
          <w:p w14:paraId="6E74FF36">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4350ECA3">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1B85B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7F76C17">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30076FC3">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6006-2024</w:t>
            </w:r>
          </w:p>
        </w:tc>
        <w:tc>
          <w:tcPr>
            <w:tcW w:w="2519" w:type="dxa"/>
            <w:noWrap w:val="0"/>
            <w:vAlign w:val="top"/>
          </w:tcPr>
          <w:p w14:paraId="2E6DFF26">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网络空间安全仿真 网络行为仿真工作流技术要求</w:t>
            </w:r>
          </w:p>
        </w:tc>
        <w:tc>
          <w:tcPr>
            <w:tcW w:w="6411" w:type="dxa"/>
            <w:noWrap w:val="0"/>
            <w:vAlign w:val="top"/>
          </w:tcPr>
          <w:p w14:paraId="0A766DF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本文件规定了网络空间安全仿真平台上网络行为仿真工作流技术要求，包括网络行为仿真工作流模型描述要求和网络行为仿真工作流使用过程要求</w:t>
            </w:r>
          </w:p>
          <w:p w14:paraId="0D79CD9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本文件适用于网络空间安全仿真平台上网络行为仿真系统的规划、设计、开发和测试</w:t>
            </w:r>
          </w:p>
        </w:tc>
        <w:tc>
          <w:tcPr>
            <w:tcW w:w="1625" w:type="dxa"/>
            <w:noWrap w:val="0"/>
            <w:vAlign w:val="top"/>
          </w:tcPr>
          <w:p w14:paraId="0811AB65">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7D874876">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308EF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DAF14F5">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1E1852BB">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6007-2024</w:t>
            </w:r>
          </w:p>
        </w:tc>
        <w:tc>
          <w:tcPr>
            <w:tcW w:w="2519" w:type="dxa"/>
            <w:noWrap w:val="0"/>
            <w:vAlign w:val="top"/>
          </w:tcPr>
          <w:p w14:paraId="5C42D33C">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分布式网络空间安全仿真 互联总体要求</w:t>
            </w:r>
          </w:p>
        </w:tc>
        <w:tc>
          <w:tcPr>
            <w:tcW w:w="6411" w:type="dxa"/>
            <w:noWrap w:val="0"/>
            <w:vAlign w:val="top"/>
          </w:tcPr>
          <w:p w14:paraId="7104727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本文件规定了分布式网络空间安全仿真平台互联过程中的总体要求，包括基础网络互联、业务数据互联、资源控制互联、业务管理互联等方面的能力、管理和安全要求</w:t>
            </w:r>
          </w:p>
          <w:p w14:paraId="16375EC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本文件适用于分布式网络空间安全仿真平台系统的研发和应用</w:t>
            </w:r>
          </w:p>
        </w:tc>
        <w:tc>
          <w:tcPr>
            <w:tcW w:w="1625" w:type="dxa"/>
            <w:noWrap w:val="0"/>
            <w:vAlign w:val="top"/>
          </w:tcPr>
          <w:p w14:paraId="0CDE4FF1">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0A49F466">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634FB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55991DF">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31BF6BEF">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6008-2024</w:t>
            </w:r>
          </w:p>
        </w:tc>
        <w:tc>
          <w:tcPr>
            <w:tcW w:w="2519" w:type="dxa"/>
            <w:noWrap w:val="0"/>
            <w:vAlign w:val="top"/>
          </w:tcPr>
          <w:p w14:paraId="23DC0EF2">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网络恶意链接的分类分级要求</w:t>
            </w:r>
          </w:p>
        </w:tc>
        <w:tc>
          <w:tcPr>
            <w:tcW w:w="6411" w:type="dxa"/>
            <w:noWrap w:val="0"/>
            <w:vAlign w:val="top"/>
          </w:tcPr>
          <w:p w14:paraId="3BEE6CA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本文件提出了恶意链接分类和分级的方法，给出了恶意链接分类代码</w:t>
            </w:r>
          </w:p>
          <w:p w14:paraId="53650F0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本文件适用于恶意链接监测的相关产品的设计、开发、建设和测评，不同厂商信息共享交换等场景</w:t>
            </w:r>
          </w:p>
        </w:tc>
        <w:tc>
          <w:tcPr>
            <w:tcW w:w="1625" w:type="dxa"/>
            <w:noWrap w:val="0"/>
            <w:vAlign w:val="top"/>
          </w:tcPr>
          <w:p w14:paraId="05A0DB7F">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4B5BBAE8">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2AEFD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1ECBF04A">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506724C3">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6009-2024</w:t>
            </w:r>
          </w:p>
        </w:tc>
        <w:tc>
          <w:tcPr>
            <w:tcW w:w="2519" w:type="dxa"/>
            <w:noWrap w:val="0"/>
            <w:vAlign w:val="top"/>
          </w:tcPr>
          <w:p w14:paraId="00061956">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互联网应用安全能力建设框架</w:t>
            </w:r>
          </w:p>
        </w:tc>
        <w:tc>
          <w:tcPr>
            <w:tcW w:w="6411" w:type="dxa"/>
            <w:noWrap w:val="0"/>
            <w:vAlign w:val="top"/>
          </w:tcPr>
          <w:p w14:paraId="2CE5EBF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w:t>
            </w:r>
            <w:r>
              <w:rPr>
                <w:rFonts w:hint="eastAsia" w:ascii="Times New Roman" w:hAnsi="Times New Roman" w:eastAsia="仿宋_GB2312" w:cs="宋体"/>
                <w:sz w:val="21"/>
                <w:szCs w:val="21"/>
                <w:lang w:val="en-US" w:eastAsia="zh-CN"/>
              </w:rPr>
              <w:t>规定了</w:t>
            </w:r>
            <w:r>
              <w:rPr>
                <w:rFonts w:hint="eastAsia" w:ascii="Times New Roman" w:hAnsi="Times New Roman" w:eastAsia="仿宋_GB2312" w:cs="宋体"/>
                <w:sz w:val="21"/>
                <w:szCs w:val="21"/>
              </w:rPr>
              <w:t>组织在互联网应用安全能力建设所应具备的技术和管理要求能力框架</w:t>
            </w:r>
          </w:p>
          <w:p w14:paraId="3940395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本文件适用于为组织开展互联网应用的设计、开发、测试、运营、维护、处置全生命周期的安全保障能力建设提供指导</w:t>
            </w:r>
          </w:p>
        </w:tc>
        <w:tc>
          <w:tcPr>
            <w:tcW w:w="1625" w:type="dxa"/>
            <w:noWrap w:val="0"/>
            <w:vAlign w:val="top"/>
          </w:tcPr>
          <w:p w14:paraId="5F3CC56F">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1AC49B01">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609CF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682202F">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7E3F6222">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6010-2024</w:t>
            </w:r>
          </w:p>
        </w:tc>
        <w:tc>
          <w:tcPr>
            <w:tcW w:w="2519" w:type="dxa"/>
            <w:noWrap w:val="0"/>
            <w:vAlign w:val="top"/>
          </w:tcPr>
          <w:p w14:paraId="6ED16860">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智能家居终端安全 智能摄像头安全能力技术要求和测试方法</w:t>
            </w:r>
          </w:p>
        </w:tc>
        <w:tc>
          <w:tcPr>
            <w:tcW w:w="6411" w:type="dxa"/>
            <w:noWrap w:val="0"/>
            <w:vAlign w:val="top"/>
          </w:tcPr>
          <w:p w14:paraId="0AA88AB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智能摄像头的安全能力技术要求，并依据危害的严重程度对智能摄像头安全进行分级，包括物理与硬件层、固件与系统层、网络与通信层、应用与数据层四个层面的安全能力，并制定了相应等级的安全能力测试方法</w:t>
            </w:r>
          </w:p>
          <w:p w14:paraId="7B3FC16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本文件适用于智能家居场景下的智能摄像头</w:t>
            </w:r>
          </w:p>
        </w:tc>
        <w:tc>
          <w:tcPr>
            <w:tcW w:w="1625" w:type="dxa"/>
            <w:noWrap w:val="0"/>
            <w:vAlign w:val="top"/>
          </w:tcPr>
          <w:p w14:paraId="43A5CC93">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02449809">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33DF5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0B967B2">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58068C62">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6011-2024</w:t>
            </w:r>
          </w:p>
        </w:tc>
        <w:tc>
          <w:tcPr>
            <w:tcW w:w="2519" w:type="dxa"/>
            <w:noWrap w:val="0"/>
            <w:vAlign w:val="top"/>
          </w:tcPr>
          <w:p w14:paraId="7B2E94A7">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面向消费电子设备的支持远程SIM配置的终端技术要求</w:t>
            </w:r>
          </w:p>
        </w:tc>
        <w:tc>
          <w:tcPr>
            <w:tcW w:w="6411" w:type="dxa"/>
            <w:noWrap w:val="0"/>
            <w:vAlign w:val="top"/>
          </w:tcPr>
          <w:p w14:paraId="147ABE0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本文件规定了面向消费电子设备的支持远程</w:t>
            </w:r>
            <w:r>
              <w:rPr>
                <w:rFonts w:ascii="Times New Roman" w:hAnsi="Times New Roman" w:eastAsia="仿宋_GB2312" w:cs="宋体"/>
                <w:sz w:val="21"/>
                <w:szCs w:val="21"/>
              </w:rPr>
              <w:t>SIM配置的终端技术要求，包括终端系统架构与功能实体、终端设备接口、终端设备需求、终端设备安全、终端设备对签约数据文件策略的管理、终端设备相关流程、终端设备相关数据元素和终端设备接口功能</w:t>
            </w:r>
          </w:p>
          <w:p w14:paraId="0003393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本文件适用于面向消费电子设备的支持远程</w:t>
            </w:r>
            <w:r>
              <w:rPr>
                <w:rFonts w:ascii="Times New Roman" w:hAnsi="Times New Roman" w:eastAsia="仿宋_GB2312" w:cs="宋体"/>
                <w:sz w:val="21"/>
                <w:szCs w:val="21"/>
              </w:rPr>
              <w:t>SIM配置的终端的设计和开发</w:t>
            </w:r>
          </w:p>
        </w:tc>
        <w:tc>
          <w:tcPr>
            <w:tcW w:w="1625" w:type="dxa"/>
            <w:noWrap w:val="0"/>
            <w:vAlign w:val="top"/>
          </w:tcPr>
          <w:p w14:paraId="468C8F21">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7FB8FB53">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5B8E5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939A4B4">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5A99058">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6012-2024</w:t>
            </w:r>
          </w:p>
        </w:tc>
        <w:tc>
          <w:tcPr>
            <w:tcW w:w="2519" w:type="dxa"/>
            <w:noWrap w:val="0"/>
            <w:vAlign w:val="top"/>
          </w:tcPr>
          <w:p w14:paraId="73463AD8">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车联网安全态势感知平台技术要求</w:t>
            </w:r>
          </w:p>
        </w:tc>
        <w:tc>
          <w:tcPr>
            <w:tcW w:w="6411" w:type="dxa"/>
            <w:noWrap w:val="0"/>
            <w:vAlign w:val="top"/>
          </w:tcPr>
          <w:p w14:paraId="79E684E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本文件规定了车联网安全态势感知平台技术要求，包括车联网安全态势感知平台数据采集、数据预处理、威胁风险分析、监测管理协同、可视化展示和安全等方面的要求</w:t>
            </w:r>
          </w:p>
          <w:p w14:paraId="4609A12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本文件适用于车联网相关企业（包括基础电信企业、车联网企业）的车联网安全态势感知平台的设计、开发、测试验证等</w:t>
            </w:r>
          </w:p>
        </w:tc>
        <w:tc>
          <w:tcPr>
            <w:tcW w:w="1625" w:type="dxa"/>
            <w:noWrap w:val="0"/>
            <w:vAlign w:val="top"/>
          </w:tcPr>
          <w:p w14:paraId="0F619406">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2B248E6B">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6423B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17686703">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0553B70B">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6013-2024</w:t>
            </w:r>
          </w:p>
        </w:tc>
        <w:tc>
          <w:tcPr>
            <w:tcW w:w="2519" w:type="dxa"/>
            <w:noWrap w:val="0"/>
            <w:vAlign w:val="top"/>
          </w:tcPr>
          <w:p w14:paraId="6047303B">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C-V2X车联网认证授权系统技术要求</w:t>
            </w:r>
          </w:p>
        </w:tc>
        <w:tc>
          <w:tcPr>
            <w:tcW w:w="6411" w:type="dxa"/>
            <w:noWrap w:val="0"/>
            <w:vAlign w:val="top"/>
          </w:tcPr>
          <w:p w14:paraId="3506B95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本文件规定了蜂窝车联网</w:t>
            </w:r>
            <w:r>
              <w:rPr>
                <w:rFonts w:hint="eastAsia" w:ascii="Times New Roman" w:hAnsi="Times New Roman" w:eastAsia="仿宋_GB2312" w:cs="宋体"/>
                <w:sz w:val="21"/>
                <w:szCs w:val="21"/>
                <w:lang w:eastAsia="zh-CN"/>
              </w:rPr>
              <w:t>（</w:t>
            </w:r>
            <w:r>
              <w:rPr>
                <w:rFonts w:ascii="Times New Roman" w:hAnsi="Times New Roman" w:eastAsia="仿宋_GB2312" w:cs="宋体"/>
                <w:sz w:val="21"/>
                <w:szCs w:val="21"/>
              </w:rPr>
              <w:t>C-V2X</w:t>
            </w:r>
            <w:r>
              <w:rPr>
                <w:rFonts w:hint="eastAsia" w:ascii="Times New Roman" w:hAnsi="Times New Roman" w:eastAsia="仿宋_GB2312" w:cs="宋体"/>
                <w:sz w:val="21"/>
                <w:szCs w:val="21"/>
                <w:lang w:eastAsia="zh-CN"/>
              </w:rPr>
              <w:t>）</w:t>
            </w:r>
            <w:r>
              <w:rPr>
                <w:rFonts w:ascii="Times New Roman" w:hAnsi="Times New Roman" w:eastAsia="仿宋_GB2312" w:cs="宋体"/>
                <w:sz w:val="21"/>
                <w:szCs w:val="21"/>
              </w:rPr>
              <w:t>设备认证授权系统技术要求，包括系统架构、设备认证与授权系统安全要求、设备认证和设备授权过程</w:t>
            </w:r>
          </w:p>
          <w:p w14:paraId="6AF4158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本文件适用于指导</w:t>
            </w:r>
            <w:r>
              <w:rPr>
                <w:rFonts w:ascii="Times New Roman" w:hAnsi="Times New Roman" w:eastAsia="仿宋_GB2312" w:cs="宋体"/>
                <w:sz w:val="21"/>
                <w:szCs w:val="21"/>
              </w:rPr>
              <w:t>C-V2X车联网设备认证授权系统的设计、研发、测试、应用和部署等</w:t>
            </w:r>
          </w:p>
        </w:tc>
        <w:tc>
          <w:tcPr>
            <w:tcW w:w="1625" w:type="dxa"/>
            <w:noWrap w:val="0"/>
            <w:vAlign w:val="top"/>
          </w:tcPr>
          <w:p w14:paraId="7D41F9B1">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00F94A0B">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2A109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7F836C3">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EF852D3">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6014-2024</w:t>
            </w:r>
          </w:p>
        </w:tc>
        <w:tc>
          <w:tcPr>
            <w:tcW w:w="2519" w:type="dxa"/>
            <w:noWrap w:val="0"/>
            <w:vAlign w:val="top"/>
          </w:tcPr>
          <w:p w14:paraId="305D731A">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车路协同通信密码应用技术要求</w:t>
            </w:r>
          </w:p>
        </w:tc>
        <w:tc>
          <w:tcPr>
            <w:tcW w:w="6411" w:type="dxa"/>
            <w:noWrap w:val="0"/>
            <w:vAlign w:val="top"/>
          </w:tcPr>
          <w:p w14:paraId="1BDE74E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本文件规定了车路协同直连通信密码应用的技术要求，包括基础要求和真实性、机密性、完整性、不可否认性、抗重放方面的密码应用技术要求</w:t>
            </w:r>
          </w:p>
          <w:p w14:paraId="3EC2FCC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本文件适用于车载通信单元、路侧单元的车路协同直连通信密码应用的设计、研发、运行及测试等</w:t>
            </w:r>
          </w:p>
        </w:tc>
        <w:tc>
          <w:tcPr>
            <w:tcW w:w="1625" w:type="dxa"/>
            <w:noWrap w:val="0"/>
            <w:vAlign w:val="top"/>
          </w:tcPr>
          <w:p w14:paraId="60770C2D">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318D683F">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1A826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356B4F5">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3F22056E">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6015-2024</w:t>
            </w:r>
          </w:p>
        </w:tc>
        <w:tc>
          <w:tcPr>
            <w:tcW w:w="2519" w:type="dxa"/>
            <w:noWrap w:val="0"/>
            <w:vAlign w:val="top"/>
          </w:tcPr>
          <w:p w14:paraId="0CF2B00D">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城市公共基础设施运行保障信息化平台安全技术要求</w:t>
            </w:r>
          </w:p>
        </w:tc>
        <w:tc>
          <w:tcPr>
            <w:tcW w:w="6411" w:type="dxa"/>
            <w:noWrap w:val="0"/>
            <w:vAlign w:val="top"/>
          </w:tcPr>
          <w:p w14:paraId="653D559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本文件规定了城市公共基础设施运行保障信息化平台的安全技术要求，包括平台架构、平台安全要求与平台运维的安全要求</w:t>
            </w:r>
            <w:r>
              <w:rPr>
                <w:rFonts w:hint="eastAsia" w:ascii="Times New Roman" w:hAnsi="Times New Roman" w:eastAsia="仿宋_GB2312" w:cs="宋体"/>
                <w:sz w:val="21"/>
                <w:szCs w:val="21"/>
                <w:lang w:eastAsia="zh-CN"/>
              </w:rPr>
              <w:t>，</w:t>
            </w:r>
            <w:r>
              <w:rPr>
                <w:rFonts w:hint="eastAsia" w:ascii="Times New Roman" w:hAnsi="Times New Roman" w:eastAsia="仿宋_GB2312" w:cs="宋体"/>
                <w:sz w:val="21"/>
                <w:szCs w:val="21"/>
                <w:lang w:val="en-US" w:eastAsia="zh-CN"/>
              </w:rPr>
              <w:t>其中</w:t>
            </w:r>
            <w:r>
              <w:rPr>
                <w:rFonts w:hint="eastAsia" w:ascii="Times New Roman" w:hAnsi="Times New Roman" w:eastAsia="仿宋_GB2312" w:cs="宋体"/>
                <w:sz w:val="21"/>
                <w:szCs w:val="21"/>
              </w:rPr>
              <w:t>平台安全要求包含平台管理系统安全要求、数据安全要求、网络安全要求以及物理安全要求</w:t>
            </w:r>
          </w:p>
          <w:p w14:paraId="1EDBBFA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本文件适用于城市公共基础设施运行保障信息化平台与应用的安全保护及管理</w:t>
            </w:r>
          </w:p>
        </w:tc>
        <w:tc>
          <w:tcPr>
            <w:tcW w:w="1625" w:type="dxa"/>
            <w:noWrap w:val="0"/>
            <w:vAlign w:val="top"/>
          </w:tcPr>
          <w:p w14:paraId="08C99A37">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33A23F0F">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0A4A6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703A27A">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8D3AA59">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6016-2024</w:t>
            </w:r>
          </w:p>
        </w:tc>
        <w:tc>
          <w:tcPr>
            <w:tcW w:w="2519" w:type="dxa"/>
            <w:noWrap w:val="0"/>
            <w:vAlign w:val="top"/>
          </w:tcPr>
          <w:p w14:paraId="2E8334FC">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物联网标识解析安全技术要求</w:t>
            </w:r>
          </w:p>
        </w:tc>
        <w:tc>
          <w:tcPr>
            <w:tcW w:w="6411" w:type="dxa"/>
            <w:noWrap w:val="0"/>
            <w:vAlign w:val="top"/>
          </w:tcPr>
          <w:p w14:paraId="6616E65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本文件规定了物联网标识解析体系的安全架构、风险评估流程、设备访问控制、网络安全边界控制、系统安全和编码解析的安全</w:t>
            </w:r>
            <w:r>
              <w:rPr>
                <w:rFonts w:hint="eastAsia" w:ascii="Times New Roman" w:hAnsi="Times New Roman" w:eastAsia="仿宋_GB2312" w:cs="仿宋_GB2312"/>
                <w:sz w:val="21"/>
                <w:lang w:val="en-US" w:eastAsia="zh-CN"/>
              </w:rPr>
              <w:t>技术</w:t>
            </w:r>
            <w:r>
              <w:rPr>
                <w:rFonts w:hint="eastAsia" w:ascii="Times New Roman" w:hAnsi="Times New Roman" w:eastAsia="仿宋_GB2312" w:cs="宋体"/>
                <w:sz w:val="21"/>
                <w:szCs w:val="21"/>
              </w:rPr>
              <w:t>要求</w:t>
            </w:r>
          </w:p>
          <w:p w14:paraId="1EA55F9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本文件适用物联网标识解析相关系统或产品的设计、开发、运行、维护、管理等</w:t>
            </w:r>
          </w:p>
        </w:tc>
        <w:tc>
          <w:tcPr>
            <w:tcW w:w="1625" w:type="dxa"/>
            <w:noWrap w:val="0"/>
            <w:vAlign w:val="top"/>
          </w:tcPr>
          <w:p w14:paraId="38546081">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5EB8FAD6">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1AB2F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50D15FC">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062E091C">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6017.1-2024</w:t>
            </w:r>
          </w:p>
        </w:tc>
        <w:tc>
          <w:tcPr>
            <w:tcW w:w="2519" w:type="dxa"/>
            <w:noWrap w:val="0"/>
            <w:vAlign w:val="top"/>
          </w:tcPr>
          <w:p w14:paraId="75197365">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网络安全产品能力评价体系 第1部分：概念和模型</w:t>
            </w:r>
          </w:p>
        </w:tc>
        <w:tc>
          <w:tcPr>
            <w:tcW w:w="6411" w:type="dxa"/>
            <w:noWrap w:val="0"/>
            <w:vAlign w:val="top"/>
          </w:tcPr>
          <w:p w14:paraId="772D11B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本文件提出了网络安全产品能力评价体系的概念和模型，明确了安全产品成熟度、安全产品质量和安全产品能力评价体系标准框架</w:t>
            </w:r>
          </w:p>
          <w:p w14:paraId="5080E9D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本文件适用于指导和规范网络安全产品能力评价工作开展和评价体系的构建</w:t>
            </w:r>
          </w:p>
        </w:tc>
        <w:tc>
          <w:tcPr>
            <w:tcW w:w="1625" w:type="dxa"/>
            <w:noWrap w:val="0"/>
            <w:vAlign w:val="top"/>
          </w:tcPr>
          <w:p w14:paraId="0065EA8E">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6AAE0D3C">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1467A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86D0A5D">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5096DD89">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6017.2-2024</w:t>
            </w:r>
          </w:p>
        </w:tc>
        <w:tc>
          <w:tcPr>
            <w:tcW w:w="2519" w:type="dxa"/>
            <w:noWrap w:val="0"/>
            <w:vAlign w:val="top"/>
          </w:tcPr>
          <w:p w14:paraId="758167D9">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网络安全产品能力评价体系 第2部分：指标要求</w:t>
            </w:r>
          </w:p>
        </w:tc>
        <w:tc>
          <w:tcPr>
            <w:tcW w:w="6411" w:type="dxa"/>
            <w:noWrap w:val="0"/>
            <w:vAlign w:val="top"/>
          </w:tcPr>
          <w:p w14:paraId="76CD79F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本文件确立了网络安全产品能力评价</w:t>
            </w:r>
            <w:r>
              <w:rPr>
                <w:rFonts w:hint="eastAsia" w:ascii="Times New Roman" w:hAnsi="Times New Roman" w:eastAsia="仿宋_GB2312" w:cs="宋体"/>
                <w:sz w:val="21"/>
                <w:szCs w:val="21"/>
                <w:lang w:val="en-US" w:eastAsia="zh-CN"/>
              </w:rPr>
              <w:t>体系的</w:t>
            </w:r>
            <w:r>
              <w:rPr>
                <w:rFonts w:hint="eastAsia" w:ascii="Times New Roman" w:hAnsi="Times New Roman" w:eastAsia="仿宋_GB2312" w:cs="宋体"/>
                <w:sz w:val="21"/>
                <w:szCs w:val="21"/>
              </w:rPr>
              <w:t>指标要求，包括安全产品成熟度要求和质量要求两部分</w:t>
            </w:r>
          </w:p>
          <w:p w14:paraId="6334CC4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本文件适用于指导网络安全产品的开发者进行产品的设计和研发</w:t>
            </w:r>
            <w:r>
              <w:rPr>
                <w:rFonts w:hint="eastAsia" w:ascii="Times New Roman" w:hAnsi="Times New Roman" w:eastAsia="仿宋_GB2312" w:cs="宋体"/>
                <w:sz w:val="21"/>
                <w:szCs w:val="21"/>
                <w:lang w:eastAsia="zh-CN"/>
              </w:rPr>
              <w:t>、</w:t>
            </w:r>
            <w:r>
              <w:rPr>
                <w:rFonts w:hint="eastAsia" w:ascii="Times New Roman" w:hAnsi="Times New Roman" w:eastAsia="仿宋_GB2312" w:cs="宋体"/>
                <w:sz w:val="21"/>
                <w:szCs w:val="21"/>
              </w:rPr>
              <w:t>使用者进行产品选择和判断，也适用于第三方评价者进行产品的成熟度和质量评价</w:t>
            </w:r>
          </w:p>
        </w:tc>
        <w:tc>
          <w:tcPr>
            <w:tcW w:w="1625" w:type="dxa"/>
            <w:noWrap w:val="0"/>
            <w:vAlign w:val="top"/>
          </w:tcPr>
          <w:p w14:paraId="127DF62E">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3015E2BA">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081B7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1D56A091">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C508C25">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6017.3-2024</w:t>
            </w:r>
          </w:p>
        </w:tc>
        <w:tc>
          <w:tcPr>
            <w:tcW w:w="2519" w:type="dxa"/>
            <w:noWrap w:val="0"/>
            <w:vAlign w:val="top"/>
          </w:tcPr>
          <w:p w14:paraId="20F364A1">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网络安全产品能力评价体系 第3部分：评价方法</w:t>
            </w:r>
          </w:p>
        </w:tc>
        <w:tc>
          <w:tcPr>
            <w:tcW w:w="6411" w:type="dxa"/>
            <w:noWrap w:val="0"/>
            <w:vAlign w:val="top"/>
          </w:tcPr>
          <w:p w14:paraId="3141D6F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本文件确立了网络安全产品能力</w:t>
            </w:r>
            <w:r>
              <w:rPr>
                <w:rFonts w:hint="eastAsia" w:ascii="Times New Roman" w:hAnsi="Times New Roman" w:eastAsia="仿宋_GB2312" w:cs="宋体"/>
                <w:sz w:val="21"/>
                <w:szCs w:val="21"/>
                <w:lang w:val="en-US" w:eastAsia="zh-CN"/>
              </w:rPr>
              <w:t>评价体系的</w:t>
            </w:r>
            <w:r>
              <w:rPr>
                <w:rFonts w:hint="eastAsia" w:ascii="Times New Roman" w:hAnsi="Times New Roman" w:eastAsia="仿宋_GB2312" w:cs="宋体"/>
                <w:sz w:val="21"/>
                <w:szCs w:val="21"/>
              </w:rPr>
              <w:t>评价方法</w:t>
            </w:r>
          </w:p>
          <w:p w14:paraId="23A93D9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本文件适用于指导网络安全产品的开发者进行产品的设计和研发</w:t>
            </w:r>
            <w:r>
              <w:rPr>
                <w:rFonts w:hint="eastAsia" w:ascii="Times New Roman" w:hAnsi="Times New Roman" w:eastAsia="仿宋_GB2312" w:cs="宋体"/>
                <w:sz w:val="21"/>
                <w:szCs w:val="21"/>
                <w:lang w:eastAsia="zh-CN"/>
              </w:rPr>
              <w:t>、</w:t>
            </w:r>
            <w:r>
              <w:rPr>
                <w:rFonts w:hint="eastAsia" w:ascii="Times New Roman" w:hAnsi="Times New Roman" w:eastAsia="仿宋_GB2312" w:cs="宋体"/>
                <w:sz w:val="21"/>
                <w:szCs w:val="21"/>
              </w:rPr>
              <w:t>使用者进行产品的选择和判断，也适用于第三方评价者进行产品成熟度和产品质量评价</w:t>
            </w:r>
          </w:p>
        </w:tc>
        <w:tc>
          <w:tcPr>
            <w:tcW w:w="1625" w:type="dxa"/>
            <w:noWrap w:val="0"/>
            <w:vAlign w:val="top"/>
          </w:tcPr>
          <w:p w14:paraId="02398792">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580478E3">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49969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14BE2627">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6DEEAFE9">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6018-2024</w:t>
            </w:r>
          </w:p>
        </w:tc>
        <w:tc>
          <w:tcPr>
            <w:tcW w:w="2519" w:type="dxa"/>
            <w:noWrap w:val="0"/>
            <w:vAlign w:val="top"/>
          </w:tcPr>
          <w:p w14:paraId="3894B605">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基于拟态防御的内生安全 电子邮件系统技术要求</w:t>
            </w:r>
          </w:p>
        </w:tc>
        <w:tc>
          <w:tcPr>
            <w:tcW w:w="6411" w:type="dxa"/>
            <w:noWrap w:val="0"/>
            <w:vAlign w:val="top"/>
          </w:tcPr>
          <w:p w14:paraId="59594C7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本文件规定了基于拟态防御的内生安全电子邮件系统技术要求，包含系统架构及其功能、性能、安全要求</w:t>
            </w:r>
          </w:p>
          <w:p w14:paraId="6511E51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本文件适用于基于拟态防御的内生安全电子邮件系统的研制、生产、认证和实际环境部署</w:t>
            </w:r>
          </w:p>
        </w:tc>
        <w:tc>
          <w:tcPr>
            <w:tcW w:w="1625" w:type="dxa"/>
            <w:noWrap w:val="0"/>
            <w:vAlign w:val="top"/>
          </w:tcPr>
          <w:p w14:paraId="3104D020">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1C7AF32E">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24A3E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F9E606A">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44A88B07">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6019-2024</w:t>
            </w:r>
          </w:p>
        </w:tc>
        <w:tc>
          <w:tcPr>
            <w:tcW w:w="2519" w:type="dxa"/>
            <w:noWrap w:val="0"/>
            <w:vAlign w:val="top"/>
          </w:tcPr>
          <w:p w14:paraId="6AB58F0D">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5G移动通信网络能力开放通用应用程序接口（API）功能架构的安全技术要求</w:t>
            </w:r>
          </w:p>
        </w:tc>
        <w:tc>
          <w:tcPr>
            <w:tcW w:w="6411" w:type="dxa"/>
            <w:noWrap w:val="0"/>
            <w:vAlign w:val="top"/>
          </w:tcPr>
          <w:p w14:paraId="246057C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w:t>
            </w:r>
            <w:r>
              <w:rPr>
                <w:rFonts w:ascii="Times New Roman" w:hAnsi="Times New Roman" w:eastAsia="仿宋_GB2312" w:cs="宋体"/>
                <w:sz w:val="21"/>
                <w:szCs w:val="21"/>
              </w:rPr>
              <w:t>5G移动通信网络能力开放通用应用程序接口（API）功能架构的安全架构、安全需求与安全流程等</w:t>
            </w:r>
          </w:p>
          <w:p w14:paraId="21FCE5B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w:t>
            </w:r>
            <w:r>
              <w:rPr>
                <w:rFonts w:ascii="Times New Roman" w:hAnsi="Times New Roman" w:eastAsia="仿宋_GB2312" w:cs="宋体"/>
                <w:sz w:val="21"/>
                <w:szCs w:val="21"/>
              </w:rPr>
              <w:t>5G移动通信网络能力开放通用应用程序接口（API）功能架构的部署和使用</w:t>
            </w:r>
          </w:p>
        </w:tc>
        <w:tc>
          <w:tcPr>
            <w:tcW w:w="1625" w:type="dxa"/>
            <w:noWrap w:val="0"/>
            <w:vAlign w:val="top"/>
          </w:tcPr>
          <w:p w14:paraId="0DEB4562">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3DF05EF8">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28E55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57A70C9">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2B4D4C2">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6020-2024</w:t>
            </w:r>
          </w:p>
        </w:tc>
        <w:tc>
          <w:tcPr>
            <w:tcW w:w="2519" w:type="dxa"/>
            <w:noWrap w:val="0"/>
            <w:vAlign w:val="top"/>
          </w:tcPr>
          <w:p w14:paraId="333AF3F4">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运营商网络设备数字证书管理指南</w:t>
            </w:r>
          </w:p>
        </w:tc>
        <w:tc>
          <w:tcPr>
            <w:tcW w:w="6411" w:type="dxa"/>
            <w:noWrap w:val="0"/>
            <w:vAlign w:val="top"/>
          </w:tcPr>
          <w:p w14:paraId="41C8C14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本文件提供了运营商主导建设的电信网中网络设备数字证书管理的目标、方法，以及针对不同组网模式和设备能力的措施、指导和建议</w:t>
            </w:r>
          </w:p>
          <w:p w14:paraId="7F605D9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本文件适用于提升运营商网络设备数字证书管理的效率及应用过程中的安全性，为运营商网络设备数字证书的安全管理提供技术指导，也可为其他领域数字证书的管理和应用提供参考</w:t>
            </w:r>
          </w:p>
        </w:tc>
        <w:tc>
          <w:tcPr>
            <w:tcW w:w="1625" w:type="dxa"/>
            <w:noWrap w:val="0"/>
            <w:vAlign w:val="top"/>
          </w:tcPr>
          <w:p w14:paraId="2DDB0EFB">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2F3D703E">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4F329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C41D123">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1C671D69">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6021-2024</w:t>
            </w:r>
          </w:p>
        </w:tc>
        <w:tc>
          <w:tcPr>
            <w:tcW w:w="2519" w:type="dxa"/>
            <w:noWrap w:val="0"/>
            <w:vAlign w:val="top"/>
          </w:tcPr>
          <w:p w14:paraId="471A9754">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云化电信网微隔离系统技术要求</w:t>
            </w:r>
          </w:p>
        </w:tc>
        <w:tc>
          <w:tcPr>
            <w:tcW w:w="6411" w:type="dxa"/>
            <w:noWrap w:val="0"/>
            <w:vAlign w:val="top"/>
          </w:tcPr>
          <w:p w14:paraId="54133C6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本文件规定了云化电信网微隔离系统技术要求，包括云化电信网微隔离系统通用框架、功能要求、集成要求、部署要求和安全运维要求等</w:t>
            </w:r>
          </w:p>
          <w:p w14:paraId="3A1A356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本文件适用于指导云化电信网微隔离系统的开发、建设等</w:t>
            </w:r>
          </w:p>
        </w:tc>
        <w:tc>
          <w:tcPr>
            <w:tcW w:w="1625" w:type="dxa"/>
            <w:noWrap w:val="0"/>
            <w:vAlign w:val="top"/>
          </w:tcPr>
          <w:p w14:paraId="6DBE15F1">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6DC43862">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75C81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7A955A4">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3F5FA3D5">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6022.1-2024</w:t>
            </w:r>
          </w:p>
        </w:tc>
        <w:tc>
          <w:tcPr>
            <w:tcW w:w="2519" w:type="dxa"/>
            <w:noWrap w:val="0"/>
            <w:vAlign w:val="top"/>
          </w:tcPr>
          <w:p w14:paraId="52733600">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安全访问服务边缘（SASE）功能编排管理 第1部分：总体框架</w:t>
            </w:r>
          </w:p>
        </w:tc>
        <w:tc>
          <w:tcPr>
            <w:tcW w:w="6411" w:type="dxa"/>
            <w:noWrap w:val="0"/>
            <w:vAlign w:val="top"/>
          </w:tcPr>
          <w:p w14:paraId="1C1023A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w:t>
            </w:r>
            <w:r>
              <w:rPr>
                <w:rFonts w:hint="eastAsia" w:ascii="Times New Roman" w:hAnsi="Times New Roman" w:eastAsia="仿宋_GB2312" w:cs="宋体"/>
                <w:i w:val="0"/>
                <w:iCs w:val="0"/>
                <w:color w:val="000000"/>
                <w:kern w:val="0"/>
                <w:sz w:val="21"/>
                <w:szCs w:val="22"/>
                <w:u w:val="none"/>
                <w:lang w:val="en-US" w:eastAsia="zh-CN" w:bidi="ar"/>
              </w:rPr>
              <w:t>安全访问服务边缘（</w:t>
            </w:r>
            <w:r>
              <w:rPr>
                <w:rFonts w:ascii="Times New Roman" w:hAnsi="Times New Roman" w:eastAsia="仿宋_GB2312" w:cs="宋体"/>
                <w:sz w:val="21"/>
                <w:szCs w:val="21"/>
              </w:rPr>
              <w:t>SASE</w:t>
            </w:r>
            <w:r>
              <w:rPr>
                <w:rFonts w:hint="eastAsia" w:ascii="Times New Roman" w:hAnsi="Times New Roman" w:eastAsia="仿宋_GB2312" w:cs="宋体"/>
                <w:i w:val="0"/>
                <w:iCs w:val="0"/>
                <w:color w:val="000000"/>
                <w:kern w:val="0"/>
                <w:sz w:val="21"/>
                <w:szCs w:val="22"/>
                <w:u w:val="none"/>
                <w:lang w:val="en-US" w:eastAsia="zh-CN" w:bidi="ar"/>
              </w:rPr>
              <w:t>）</w:t>
            </w:r>
            <w:r>
              <w:rPr>
                <w:rFonts w:ascii="Times New Roman" w:hAnsi="Times New Roman" w:eastAsia="仿宋_GB2312" w:cs="宋体"/>
                <w:sz w:val="21"/>
                <w:szCs w:val="21"/>
              </w:rPr>
              <w:t>框架下的功能编排管理的总体框架，包括规范化SASE功能编排管理的概述、功能要求、工作流程等内容</w:t>
            </w:r>
          </w:p>
          <w:p w14:paraId="1852C32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w:t>
            </w:r>
            <w:r>
              <w:rPr>
                <w:rFonts w:ascii="Times New Roman" w:hAnsi="Times New Roman" w:eastAsia="仿宋_GB2312" w:cs="宋体"/>
                <w:sz w:val="21"/>
                <w:szCs w:val="21"/>
              </w:rPr>
              <w:t>SASE服务集成商、安全功能提供商、网络功能提供商等利益相关方，为行业和相关管理部门规范SASE产业与技术发展提供支撑和参考</w:t>
            </w:r>
          </w:p>
        </w:tc>
        <w:tc>
          <w:tcPr>
            <w:tcW w:w="1625" w:type="dxa"/>
            <w:noWrap w:val="0"/>
            <w:vAlign w:val="top"/>
          </w:tcPr>
          <w:p w14:paraId="468223D9">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0BB06512">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2CF92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4DC31CE">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5BB7BB28">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6023-2024</w:t>
            </w:r>
          </w:p>
        </w:tc>
        <w:tc>
          <w:tcPr>
            <w:tcW w:w="2519" w:type="dxa"/>
            <w:noWrap w:val="0"/>
            <w:vAlign w:val="top"/>
          </w:tcPr>
          <w:p w14:paraId="6FF82C88">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基于SRv6的安全能力调度技术要求</w:t>
            </w:r>
          </w:p>
        </w:tc>
        <w:tc>
          <w:tcPr>
            <w:tcW w:w="6411" w:type="dxa"/>
            <w:noWrap w:val="0"/>
            <w:vAlign w:val="top"/>
          </w:tcPr>
          <w:p w14:paraId="174EA81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本文件规定了基于</w:t>
            </w:r>
            <w:r>
              <w:rPr>
                <w:rFonts w:ascii="Times New Roman" w:hAnsi="Times New Roman" w:eastAsia="仿宋_GB2312" w:cs="宋体"/>
                <w:sz w:val="21"/>
                <w:szCs w:val="21"/>
              </w:rPr>
              <w:t>SRv6的安全能力调度总体架构、编排调度层技术要求、网络基础设施技术要求、</w:t>
            </w:r>
            <w:r>
              <w:rPr>
                <w:rFonts w:hint="eastAsia" w:ascii="Times New Roman" w:hAnsi="Times New Roman" w:eastAsia="仿宋_GB2312" w:cs="宋体"/>
                <w:sz w:val="21"/>
                <w:szCs w:val="21"/>
              </w:rPr>
              <w:t>安全基础设施技术要求</w:t>
            </w:r>
          </w:p>
          <w:p w14:paraId="72D4B0F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本文件适用于指导基于</w:t>
            </w:r>
            <w:r>
              <w:rPr>
                <w:rFonts w:ascii="Times New Roman" w:hAnsi="Times New Roman" w:eastAsia="仿宋_GB2312" w:cs="宋体"/>
                <w:sz w:val="21"/>
                <w:szCs w:val="21"/>
              </w:rPr>
              <w:t>SRv6网络设备、云化安全资源池对应一体化产品及服务的研发、测试、部署</w:t>
            </w:r>
            <w:r>
              <w:rPr>
                <w:rFonts w:hint="eastAsia" w:ascii="Times New Roman" w:hAnsi="Times New Roman" w:eastAsia="仿宋_GB2312" w:cs="宋体"/>
                <w:sz w:val="21"/>
                <w:szCs w:val="21"/>
              </w:rPr>
              <w:t>和运营</w:t>
            </w:r>
          </w:p>
        </w:tc>
        <w:tc>
          <w:tcPr>
            <w:tcW w:w="1625" w:type="dxa"/>
            <w:noWrap w:val="0"/>
            <w:vAlign w:val="top"/>
          </w:tcPr>
          <w:p w14:paraId="34A82178">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467D1665">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6F1C1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8116F44">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4AAD72FC">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6024-2024</w:t>
            </w:r>
          </w:p>
        </w:tc>
        <w:tc>
          <w:tcPr>
            <w:tcW w:w="2519" w:type="dxa"/>
            <w:noWrap w:val="0"/>
            <w:vAlign w:val="top"/>
          </w:tcPr>
          <w:p w14:paraId="5AA338CC">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基于区块链的恶意号码库构建及共享技术要求</w:t>
            </w:r>
          </w:p>
        </w:tc>
        <w:tc>
          <w:tcPr>
            <w:tcW w:w="6411" w:type="dxa"/>
            <w:noWrap w:val="0"/>
            <w:vAlign w:val="top"/>
          </w:tcPr>
          <w:p w14:paraId="1EF2CC7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本文件规定了基于区块链技术构建恶意号码信息库并在不同单位之间共享的技术要求，包括恶意状态模型、技术框架、流程要求、区块链要求、信息安全要求等内容</w:t>
            </w:r>
          </w:p>
          <w:p w14:paraId="70D0C54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本文件适用于电信运营商、移动设备端应用程序开发商、举报和申诉受理机构、监管部门等协同防治恶意号码的场景</w:t>
            </w:r>
          </w:p>
        </w:tc>
        <w:tc>
          <w:tcPr>
            <w:tcW w:w="1625" w:type="dxa"/>
            <w:noWrap w:val="0"/>
            <w:vAlign w:val="top"/>
          </w:tcPr>
          <w:p w14:paraId="1C1873A3">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4425C503">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4B0ED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7B84A9D">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6381F3FB">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6025-2024</w:t>
            </w:r>
          </w:p>
        </w:tc>
        <w:tc>
          <w:tcPr>
            <w:tcW w:w="2519" w:type="dxa"/>
            <w:noWrap w:val="0"/>
            <w:vAlign w:val="top"/>
          </w:tcPr>
          <w:p w14:paraId="7306D67C">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移动智能终端防范治理电信网络诈骗技术要求</w:t>
            </w:r>
          </w:p>
        </w:tc>
        <w:tc>
          <w:tcPr>
            <w:tcW w:w="6411" w:type="dxa"/>
            <w:noWrap w:val="0"/>
            <w:vAlign w:val="top"/>
          </w:tcPr>
          <w:p w14:paraId="6F6CF0D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本文件规定了移动智能终端防范治理电信网络诈骗技术要求，包括电话防范治理能力、短信防范治理能力、网页防范治理能力和应用程序防范治理能力等</w:t>
            </w:r>
          </w:p>
          <w:p w14:paraId="086880B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本文件适用于移动智能终端生产企业，为移动智能终端防范治理电信网络诈骗工作提供指导</w:t>
            </w:r>
          </w:p>
        </w:tc>
        <w:tc>
          <w:tcPr>
            <w:tcW w:w="1625" w:type="dxa"/>
            <w:noWrap w:val="0"/>
            <w:vAlign w:val="top"/>
          </w:tcPr>
          <w:p w14:paraId="6C1FCB66">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77E4A476">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615B5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93B18ED">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0E6FDED3">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6026-2024</w:t>
            </w:r>
          </w:p>
        </w:tc>
        <w:tc>
          <w:tcPr>
            <w:tcW w:w="2519" w:type="dxa"/>
            <w:noWrap w:val="0"/>
            <w:vAlign w:val="top"/>
          </w:tcPr>
          <w:p w14:paraId="3CFFA409">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短视频社区易受骗人群识别与预警指南</w:t>
            </w:r>
          </w:p>
        </w:tc>
        <w:tc>
          <w:tcPr>
            <w:tcW w:w="6411" w:type="dxa"/>
            <w:noWrap w:val="0"/>
            <w:vAlign w:val="top"/>
          </w:tcPr>
          <w:p w14:paraId="34702D9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本文件给出了短视频社区易受骗人群特征及识别方法，包括静态风险特征识别和基于场景的动态行为特征识别等，以及典型场景下识别后的风险预警</w:t>
            </w:r>
          </w:p>
          <w:p w14:paraId="5B073BF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本文件适用于短视频社区基于不同业务场景和特点识别易受骗人群并进行预警时参考</w:t>
            </w:r>
          </w:p>
        </w:tc>
        <w:tc>
          <w:tcPr>
            <w:tcW w:w="1625" w:type="dxa"/>
            <w:noWrap w:val="0"/>
            <w:vAlign w:val="top"/>
          </w:tcPr>
          <w:p w14:paraId="3A52E4F6">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2C44D88E">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087D9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E1E0F75">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5E30392D">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6027-2024</w:t>
            </w:r>
          </w:p>
        </w:tc>
        <w:tc>
          <w:tcPr>
            <w:tcW w:w="2519" w:type="dxa"/>
            <w:noWrap w:val="0"/>
            <w:vAlign w:val="top"/>
          </w:tcPr>
          <w:p w14:paraId="6ACD061C">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针对电信网络诈骗的举报受理与处置规范</w:t>
            </w:r>
          </w:p>
        </w:tc>
        <w:tc>
          <w:tcPr>
            <w:tcW w:w="6411" w:type="dxa"/>
            <w:noWrap w:val="0"/>
            <w:vAlign w:val="top"/>
          </w:tcPr>
          <w:p w14:paraId="0D9B6F2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本文件规定了针对电信网络诈骗的用户举报受理与处置的要求、流程，分类明确了的涉诈资源举报字段，并对已处置资源的救济渠道做出要求</w:t>
            </w:r>
          </w:p>
          <w:p w14:paraId="49725EE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本文件适用于指导电信业务经营企业、互联网服务提供企业等企业建立电信网络诈骗举报受理与处置机制</w:t>
            </w:r>
          </w:p>
        </w:tc>
        <w:tc>
          <w:tcPr>
            <w:tcW w:w="1625" w:type="dxa"/>
            <w:noWrap w:val="0"/>
            <w:vAlign w:val="top"/>
          </w:tcPr>
          <w:p w14:paraId="16D0858E">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788431A3">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57439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C0EE0FA">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3374725C">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6028-2024</w:t>
            </w:r>
          </w:p>
        </w:tc>
        <w:tc>
          <w:tcPr>
            <w:tcW w:w="2519" w:type="dxa"/>
            <w:noWrap w:val="0"/>
            <w:vAlign w:val="top"/>
          </w:tcPr>
          <w:p w14:paraId="7E54DEC3">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涉诈互联网账号核验处置技术要求</w:t>
            </w:r>
          </w:p>
        </w:tc>
        <w:tc>
          <w:tcPr>
            <w:tcW w:w="6411" w:type="dxa"/>
            <w:noWrap w:val="0"/>
            <w:vAlign w:val="top"/>
          </w:tcPr>
          <w:p w14:paraId="6FDFCB8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本文件主要规定了互联网企业对涉诈互联网账号的核验及处置原则、流程与规范，并对已处置互联网账号的救济渠道予以明确</w:t>
            </w:r>
          </w:p>
          <w:p w14:paraId="60BA39A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本文件适用于互联网企业根据涉诈互联网账号情况，开展涉诈互联网账号核验处置工作</w:t>
            </w:r>
          </w:p>
        </w:tc>
        <w:tc>
          <w:tcPr>
            <w:tcW w:w="1625" w:type="dxa"/>
            <w:noWrap w:val="0"/>
            <w:vAlign w:val="top"/>
          </w:tcPr>
          <w:p w14:paraId="32F9794D">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3748383B">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21BF7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A0EA5FF">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54E13B18">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6029-2024</w:t>
            </w:r>
          </w:p>
        </w:tc>
        <w:tc>
          <w:tcPr>
            <w:tcW w:w="2519" w:type="dxa"/>
            <w:noWrap w:val="0"/>
            <w:vAlign w:val="top"/>
          </w:tcPr>
          <w:p w14:paraId="37AE5AA9">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涉诈电信网络资源信息共享技术要求</w:t>
            </w:r>
          </w:p>
        </w:tc>
        <w:tc>
          <w:tcPr>
            <w:tcW w:w="6411" w:type="dxa"/>
            <w:noWrap w:val="0"/>
            <w:vAlign w:val="top"/>
          </w:tcPr>
          <w:p w14:paraId="169EB5D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本文件规定了涉诈电信网络资源共享的模型框架、数据分类、技术要求，针对不同类别的涉诈资源分别规定了涉诈资源信息共享的流程</w:t>
            </w:r>
          </w:p>
          <w:p w14:paraId="2925E16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本文件适用于涉诈电信网络资源共享方开展电信网络诈骗防范治理工作</w:t>
            </w:r>
          </w:p>
        </w:tc>
        <w:tc>
          <w:tcPr>
            <w:tcW w:w="1625" w:type="dxa"/>
            <w:noWrap w:val="0"/>
            <w:vAlign w:val="top"/>
          </w:tcPr>
          <w:p w14:paraId="165D465A">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2D647391">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126B6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FEE6F64">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1FE19E23">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6030-2024</w:t>
            </w:r>
          </w:p>
        </w:tc>
        <w:tc>
          <w:tcPr>
            <w:tcW w:w="2519" w:type="dxa"/>
            <w:noWrap w:val="0"/>
            <w:vAlign w:val="top"/>
          </w:tcPr>
          <w:p w14:paraId="41673267">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物联网基础安全 网关管理平台安全分级分类管理技术要求</w:t>
            </w:r>
          </w:p>
        </w:tc>
        <w:tc>
          <w:tcPr>
            <w:tcW w:w="6411" w:type="dxa"/>
            <w:noWrap w:val="0"/>
            <w:vAlign w:val="top"/>
          </w:tcPr>
          <w:p w14:paraId="48A8ECC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w:t>
            </w:r>
            <w:r>
              <w:rPr>
                <w:rFonts w:hint="eastAsia" w:ascii="Times New Roman" w:hAnsi="Times New Roman" w:eastAsia="仿宋_GB2312" w:cs="宋体"/>
                <w:sz w:val="21"/>
                <w:szCs w:val="21"/>
                <w:lang w:val="en-US" w:eastAsia="zh-CN"/>
              </w:rPr>
              <w:t>物联网</w:t>
            </w:r>
            <w:r>
              <w:rPr>
                <w:rFonts w:hint="eastAsia" w:ascii="Times New Roman" w:hAnsi="Times New Roman" w:eastAsia="仿宋_GB2312" w:cs="宋体"/>
                <w:sz w:val="21"/>
                <w:szCs w:val="21"/>
              </w:rPr>
              <w:t>网关管理平台安全分级分类的方式方法，从安全物理环境、安全通信网络、安全区域边界、安全计算环境、安全管理中心、安全管理制度、安全管理机构、安全管理人员、安全建设管理、安全运维管理等方面规定各级各类网关管理平台的安全能力要求</w:t>
            </w:r>
          </w:p>
          <w:p w14:paraId="27B0AD6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本文件适用于基于公用电信网的各类</w:t>
            </w:r>
            <w:r>
              <w:rPr>
                <w:rFonts w:hint="eastAsia" w:ascii="Times New Roman" w:hAnsi="Times New Roman" w:eastAsia="仿宋_GB2312" w:cs="宋体"/>
                <w:sz w:val="21"/>
                <w:szCs w:val="21"/>
                <w:lang w:val="en-US" w:eastAsia="zh-CN"/>
              </w:rPr>
              <w:t>物联网</w:t>
            </w:r>
            <w:r>
              <w:rPr>
                <w:rFonts w:hint="eastAsia" w:ascii="Times New Roman" w:hAnsi="Times New Roman" w:eastAsia="仿宋_GB2312" w:cs="宋体"/>
                <w:sz w:val="21"/>
                <w:szCs w:val="21"/>
              </w:rPr>
              <w:t>网关管理平台系统的设计、开发、生产、运营和安全评估</w:t>
            </w:r>
          </w:p>
        </w:tc>
        <w:tc>
          <w:tcPr>
            <w:tcW w:w="1625" w:type="dxa"/>
            <w:noWrap w:val="0"/>
            <w:vAlign w:val="top"/>
          </w:tcPr>
          <w:p w14:paraId="738611C2">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2D03F3D3">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4A35B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BD421A6">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6747E128">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6031-2024</w:t>
            </w:r>
          </w:p>
        </w:tc>
        <w:tc>
          <w:tcPr>
            <w:tcW w:w="2519" w:type="dxa"/>
            <w:noWrap w:val="0"/>
            <w:vAlign w:val="top"/>
          </w:tcPr>
          <w:p w14:paraId="70D6AEB1">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物联网基础安全 网关管理平台安全分级分类管理评估方法</w:t>
            </w:r>
          </w:p>
        </w:tc>
        <w:tc>
          <w:tcPr>
            <w:tcW w:w="6411" w:type="dxa"/>
            <w:noWrap w:val="0"/>
            <w:vAlign w:val="top"/>
          </w:tcPr>
          <w:p w14:paraId="4320339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本文件描述了</w:t>
            </w:r>
            <w:r>
              <w:rPr>
                <w:rFonts w:hint="eastAsia" w:ascii="Times New Roman" w:hAnsi="Times New Roman" w:eastAsia="仿宋_GB2312" w:cs="宋体"/>
                <w:sz w:val="21"/>
                <w:szCs w:val="21"/>
                <w:lang w:val="en-US" w:eastAsia="zh-CN"/>
              </w:rPr>
              <w:t>物联网</w:t>
            </w:r>
            <w:r>
              <w:rPr>
                <w:rFonts w:hint="eastAsia" w:ascii="Times New Roman" w:hAnsi="Times New Roman" w:eastAsia="仿宋_GB2312" w:cs="宋体"/>
                <w:sz w:val="21"/>
                <w:szCs w:val="21"/>
              </w:rPr>
              <w:t>网关管理平台各安全等级的安全功能要求和安全管理要求的评估方法</w:t>
            </w:r>
          </w:p>
          <w:p w14:paraId="4C580C6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本文件适用于基于公用电信网的各类</w:t>
            </w:r>
            <w:r>
              <w:rPr>
                <w:rFonts w:hint="eastAsia" w:ascii="Times New Roman" w:hAnsi="Times New Roman" w:eastAsia="仿宋_GB2312" w:cs="宋体"/>
                <w:sz w:val="21"/>
                <w:szCs w:val="21"/>
                <w:lang w:val="en-US" w:eastAsia="zh-CN"/>
              </w:rPr>
              <w:t>物联网</w:t>
            </w:r>
            <w:r>
              <w:rPr>
                <w:rFonts w:hint="eastAsia" w:ascii="Times New Roman" w:hAnsi="Times New Roman" w:eastAsia="仿宋_GB2312" w:cs="宋体"/>
                <w:sz w:val="21"/>
                <w:szCs w:val="21"/>
              </w:rPr>
              <w:t>网关管理平台系统的安全评估</w:t>
            </w:r>
          </w:p>
        </w:tc>
        <w:tc>
          <w:tcPr>
            <w:tcW w:w="1625" w:type="dxa"/>
            <w:noWrap w:val="0"/>
            <w:vAlign w:val="top"/>
          </w:tcPr>
          <w:p w14:paraId="7DAD1C68">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4558917E">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2329F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7197367">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16A01121">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6032-2024</w:t>
            </w:r>
          </w:p>
        </w:tc>
        <w:tc>
          <w:tcPr>
            <w:tcW w:w="2519" w:type="dxa"/>
            <w:noWrap w:val="0"/>
            <w:vAlign w:val="top"/>
          </w:tcPr>
          <w:p w14:paraId="64CD95F5">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面向家庭宽带场景的IPv6安全隔离技术要求</w:t>
            </w:r>
          </w:p>
        </w:tc>
        <w:tc>
          <w:tcPr>
            <w:tcW w:w="6411" w:type="dxa"/>
            <w:noWrap w:val="0"/>
            <w:vAlign w:val="top"/>
          </w:tcPr>
          <w:p w14:paraId="1BFB9DC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本文件规定了面向家庭宽带场景的</w:t>
            </w:r>
            <w:r>
              <w:rPr>
                <w:rFonts w:ascii="Times New Roman" w:hAnsi="Times New Roman" w:eastAsia="仿宋_GB2312" w:cs="宋体"/>
                <w:sz w:val="21"/>
                <w:szCs w:val="21"/>
              </w:rPr>
              <w:t>IPv6安全隔离的技术要求，包括家庭宽带IPv6地址段安全隔离总体原则</w:t>
            </w:r>
            <w:r>
              <w:rPr>
                <w:rFonts w:hint="eastAsia" w:ascii="Times New Roman" w:hAnsi="Times New Roman" w:eastAsia="仿宋_GB2312" w:cs="宋体"/>
                <w:sz w:val="21"/>
                <w:szCs w:val="21"/>
                <w:lang w:eastAsia="zh-CN"/>
              </w:rPr>
              <w:t>，</w:t>
            </w:r>
            <w:r>
              <w:rPr>
                <w:rFonts w:ascii="Times New Roman" w:hAnsi="Times New Roman" w:eastAsia="仿宋_GB2312" w:cs="宋体"/>
                <w:sz w:val="21"/>
                <w:szCs w:val="21"/>
              </w:rPr>
              <w:t>以及在各类家庭宽带网络设备上进行IPv6安全隔离配置的具体要求等</w:t>
            </w:r>
          </w:p>
          <w:p w14:paraId="2EF8F53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本文件适用于电信运营商家庭宽带网络，场景包括对现有家庭宽带网络</w:t>
            </w:r>
            <w:r>
              <w:rPr>
                <w:rFonts w:ascii="Times New Roman" w:hAnsi="Times New Roman" w:eastAsia="仿宋_GB2312" w:cs="宋体"/>
                <w:sz w:val="21"/>
                <w:szCs w:val="21"/>
              </w:rPr>
              <w:t>IPv6安全隔离情况进行安全评估和加固，以及对家庭宽带网络进行IPv6地址大规模升级改造</w:t>
            </w:r>
          </w:p>
        </w:tc>
        <w:tc>
          <w:tcPr>
            <w:tcW w:w="1625" w:type="dxa"/>
            <w:noWrap w:val="0"/>
            <w:vAlign w:val="top"/>
          </w:tcPr>
          <w:p w14:paraId="11C767E8">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6AE39346">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475B0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A4CB2DE">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1A4E6804">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6033-2024</w:t>
            </w:r>
          </w:p>
        </w:tc>
        <w:tc>
          <w:tcPr>
            <w:tcW w:w="2519" w:type="dxa"/>
            <w:noWrap w:val="0"/>
            <w:vAlign w:val="top"/>
          </w:tcPr>
          <w:p w14:paraId="2D06F4E9">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内容分发网络技术要求 支持HTTPS的认证系统</w:t>
            </w:r>
          </w:p>
        </w:tc>
        <w:tc>
          <w:tcPr>
            <w:tcW w:w="6411" w:type="dxa"/>
            <w:noWrap w:val="0"/>
            <w:vAlign w:val="top"/>
          </w:tcPr>
          <w:p w14:paraId="2A0BC77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本文件规定了内容分发网络</w:t>
            </w:r>
            <w:r>
              <w:rPr>
                <w:rFonts w:ascii="Times New Roman" w:hAnsi="Times New Roman" w:eastAsia="仿宋_GB2312" w:cs="宋体"/>
                <w:sz w:val="21"/>
                <w:szCs w:val="21"/>
              </w:rPr>
              <w:t>HTTPS加速整体的技术要求，包括HTTPS加速方案、证书类型和选择标准、证书部署方案等要求</w:t>
            </w:r>
          </w:p>
          <w:p w14:paraId="4BB8E18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本文件主要适用于提供</w:t>
            </w:r>
            <w:r>
              <w:rPr>
                <w:rFonts w:ascii="Times New Roman" w:hAnsi="Times New Roman" w:eastAsia="仿宋_GB2312" w:cs="宋体"/>
                <w:sz w:val="21"/>
                <w:szCs w:val="21"/>
              </w:rPr>
              <w:t>HTTPS加速服务的内容分发网络厂商</w:t>
            </w:r>
          </w:p>
        </w:tc>
        <w:tc>
          <w:tcPr>
            <w:tcW w:w="1625" w:type="dxa"/>
            <w:noWrap w:val="0"/>
            <w:vAlign w:val="top"/>
          </w:tcPr>
          <w:p w14:paraId="3644B7B8">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046B2C54">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24BD7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2C582E8">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7BD062DC">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6034-2024</w:t>
            </w:r>
          </w:p>
        </w:tc>
        <w:tc>
          <w:tcPr>
            <w:tcW w:w="2519" w:type="dxa"/>
            <w:noWrap w:val="0"/>
            <w:vAlign w:val="top"/>
          </w:tcPr>
          <w:p w14:paraId="0BA3E741">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互联网域名服务信息安全管理要求</w:t>
            </w:r>
          </w:p>
        </w:tc>
        <w:tc>
          <w:tcPr>
            <w:tcW w:w="6411" w:type="dxa"/>
            <w:noWrap w:val="0"/>
            <w:vAlign w:val="top"/>
          </w:tcPr>
          <w:p w14:paraId="3FA17DD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本文件规定了互联网域名服务在信息安全方面的管理要求</w:t>
            </w:r>
          </w:p>
          <w:p w14:paraId="52925C3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本文件适用于在中华人民共和国境内从事互联网域名服务的相关机构，包括域名根服务器（含镜像服务器）运行、域名注册管理、域名注册服务、域名权威解析和域名递归解析等</w:t>
            </w:r>
          </w:p>
        </w:tc>
        <w:tc>
          <w:tcPr>
            <w:tcW w:w="1625" w:type="dxa"/>
            <w:noWrap w:val="0"/>
            <w:vAlign w:val="top"/>
          </w:tcPr>
          <w:p w14:paraId="579B5477">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0A4C0BA3">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24F23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1B7D5E75">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F1B570E">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6035-2024</w:t>
            </w:r>
          </w:p>
        </w:tc>
        <w:tc>
          <w:tcPr>
            <w:tcW w:w="2519" w:type="dxa"/>
            <w:noWrap w:val="0"/>
            <w:vAlign w:val="top"/>
          </w:tcPr>
          <w:p w14:paraId="24FC40F0">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互联网域名服务信息安全管理系统及接口测试方法</w:t>
            </w:r>
          </w:p>
        </w:tc>
        <w:tc>
          <w:tcPr>
            <w:tcW w:w="6411" w:type="dxa"/>
            <w:noWrap w:val="0"/>
            <w:vAlign w:val="top"/>
          </w:tcPr>
          <w:p w14:paraId="2CBE179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本文件规定了互联网域名服务机构信息安全管理系统及接口相关的测试要求，包括测试方法、测试内容、测试用例等</w:t>
            </w:r>
          </w:p>
          <w:p w14:paraId="40ABF04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本文件适用于在中华人民共和国境内从事互联网域名服务的相关机构</w:t>
            </w:r>
            <w:r>
              <w:rPr>
                <w:rFonts w:hint="eastAsia" w:ascii="Times New Roman" w:hAnsi="Times New Roman" w:eastAsia="仿宋_GB2312" w:cs="宋体"/>
                <w:sz w:val="21"/>
                <w:szCs w:val="21"/>
                <w:lang w:eastAsia="zh-CN"/>
              </w:rPr>
              <w:t>，</w:t>
            </w:r>
            <w:r>
              <w:rPr>
                <w:rFonts w:hint="eastAsia" w:ascii="Times New Roman" w:hAnsi="Times New Roman" w:eastAsia="仿宋_GB2312" w:cs="宋体"/>
                <w:sz w:val="21"/>
                <w:szCs w:val="21"/>
                <w:lang w:val="en-US" w:eastAsia="zh-CN"/>
              </w:rPr>
              <w:t>包括</w:t>
            </w:r>
            <w:r>
              <w:rPr>
                <w:rFonts w:hint="eastAsia" w:ascii="Times New Roman" w:hAnsi="Times New Roman" w:eastAsia="仿宋_GB2312" w:cs="宋体"/>
                <w:sz w:val="21"/>
                <w:szCs w:val="21"/>
              </w:rPr>
              <w:t>信息安全管理系统的测试和评估工作</w:t>
            </w:r>
          </w:p>
        </w:tc>
        <w:tc>
          <w:tcPr>
            <w:tcW w:w="1625" w:type="dxa"/>
            <w:noWrap w:val="0"/>
            <w:vAlign w:val="top"/>
          </w:tcPr>
          <w:p w14:paraId="511A4D22">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6F535A3C">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01A5E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172C652">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721E9543">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6036-2024</w:t>
            </w:r>
          </w:p>
        </w:tc>
        <w:tc>
          <w:tcPr>
            <w:tcW w:w="2519" w:type="dxa"/>
            <w:noWrap w:val="0"/>
            <w:vAlign w:val="top"/>
          </w:tcPr>
          <w:p w14:paraId="5FCCBFBC">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移动智能终端安全态势感知平台技术要求</w:t>
            </w:r>
          </w:p>
        </w:tc>
        <w:tc>
          <w:tcPr>
            <w:tcW w:w="6411" w:type="dxa"/>
            <w:noWrap w:val="0"/>
            <w:vAlign w:val="top"/>
          </w:tcPr>
          <w:p w14:paraId="48B72A3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本文件规定了移动智能终端安全态势感知平台的功能要求、性能要求</w:t>
            </w:r>
          </w:p>
          <w:p w14:paraId="2F531E1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本文件适用于基于移动智能终端数据的安全态势感知平台，指导相关产品的设计、开发和选型过程</w:t>
            </w:r>
          </w:p>
        </w:tc>
        <w:tc>
          <w:tcPr>
            <w:tcW w:w="1625" w:type="dxa"/>
            <w:noWrap w:val="0"/>
            <w:vAlign w:val="top"/>
          </w:tcPr>
          <w:p w14:paraId="693DB8A7">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2993BB7A">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391A6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A048BF2">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D31D419">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6037-2024</w:t>
            </w:r>
          </w:p>
        </w:tc>
        <w:tc>
          <w:tcPr>
            <w:tcW w:w="2519" w:type="dxa"/>
            <w:noWrap w:val="0"/>
            <w:vAlign w:val="top"/>
          </w:tcPr>
          <w:p w14:paraId="4E13BA2D">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基于移动互联网的消费类健康终端安全测试方法</w:t>
            </w:r>
          </w:p>
        </w:tc>
        <w:tc>
          <w:tcPr>
            <w:tcW w:w="6411" w:type="dxa"/>
            <w:noWrap w:val="0"/>
            <w:vAlign w:val="top"/>
          </w:tcPr>
          <w:p w14:paraId="63A1097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基于移动互联网的消费类健康终端的测试方法，包括硬件安全、系统软件安全、应用软件安全、标识和鉴别安全、访问控制、网络通信能力、数据安全、密码安全、日志记录、管理客户端安全等的测试方法</w:t>
            </w:r>
          </w:p>
          <w:p w14:paraId="6B2D397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本文件适用于基于移动互联网的消费类健康终端的测试与评估</w:t>
            </w:r>
          </w:p>
        </w:tc>
        <w:tc>
          <w:tcPr>
            <w:tcW w:w="1625" w:type="dxa"/>
            <w:noWrap w:val="0"/>
            <w:vAlign w:val="top"/>
          </w:tcPr>
          <w:p w14:paraId="36B2B1BD">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6D02020E">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66EEF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A754796">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4982395E">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6038-2024</w:t>
            </w:r>
          </w:p>
        </w:tc>
        <w:tc>
          <w:tcPr>
            <w:tcW w:w="2519" w:type="dxa"/>
            <w:noWrap w:val="0"/>
            <w:vAlign w:val="top"/>
          </w:tcPr>
          <w:p w14:paraId="5262F8C8">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物联网基础安全 物联网平台安全分级分类管理技术要求</w:t>
            </w:r>
          </w:p>
        </w:tc>
        <w:tc>
          <w:tcPr>
            <w:tcW w:w="6411" w:type="dxa"/>
            <w:noWrap w:val="0"/>
            <w:vAlign w:val="top"/>
          </w:tcPr>
          <w:p w14:paraId="0F8737A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本文件规定了物联网平台安全分级分类的技术要求，描述了不同安全等级物联网平台的数据及个人信息保护、接入安全、网络安全等方面的安全要求</w:t>
            </w:r>
          </w:p>
          <w:p w14:paraId="3294148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本文件适用于物联网连接管理、设备管理、应用开发支撑、数据和业务分析以及物联网业务服务提供等平台的设计、开发和运维</w:t>
            </w:r>
          </w:p>
        </w:tc>
        <w:tc>
          <w:tcPr>
            <w:tcW w:w="1625" w:type="dxa"/>
            <w:noWrap w:val="0"/>
            <w:vAlign w:val="top"/>
          </w:tcPr>
          <w:p w14:paraId="03D7BF32">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2DF1B39A">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40CA6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659E5F2">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3A13840B">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6039-2024</w:t>
            </w:r>
          </w:p>
        </w:tc>
        <w:tc>
          <w:tcPr>
            <w:tcW w:w="2519" w:type="dxa"/>
            <w:noWrap w:val="0"/>
            <w:vAlign w:val="top"/>
          </w:tcPr>
          <w:p w14:paraId="763A6980">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物联网基础安全 物联网平台安全分级分类管理评估方法</w:t>
            </w:r>
          </w:p>
        </w:tc>
        <w:tc>
          <w:tcPr>
            <w:tcW w:w="6411" w:type="dxa"/>
            <w:noWrap w:val="0"/>
            <w:vAlign w:val="top"/>
          </w:tcPr>
          <w:p w14:paraId="53B5394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本文件规定了物联网平台各安全等级的安全功能要求和安全管理要求的评估方法</w:t>
            </w:r>
          </w:p>
          <w:p w14:paraId="1B96024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本文件适用于物联网连接管理、设备管理、应用开发支撑、数据和业务分析以及物联网业务服务提供等平台的安全评估</w:t>
            </w:r>
          </w:p>
        </w:tc>
        <w:tc>
          <w:tcPr>
            <w:tcW w:w="1625" w:type="dxa"/>
            <w:noWrap w:val="0"/>
            <w:vAlign w:val="top"/>
          </w:tcPr>
          <w:p w14:paraId="658D33A8">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6A313EDE">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3FB7A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3F38DF2">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1EE5FAA0">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6040-2024</w:t>
            </w:r>
          </w:p>
        </w:tc>
        <w:tc>
          <w:tcPr>
            <w:tcW w:w="2519" w:type="dxa"/>
            <w:noWrap w:val="0"/>
            <w:vAlign w:val="top"/>
          </w:tcPr>
          <w:p w14:paraId="4B5893EB">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物联网基础安全 基于公用电信网的宽带客户智能网关安全分级分类管理评估方法</w:t>
            </w:r>
          </w:p>
        </w:tc>
        <w:tc>
          <w:tcPr>
            <w:tcW w:w="6411" w:type="dxa"/>
            <w:noWrap w:val="0"/>
            <w:vAlign w:val="top"/>
          </w:tcPr>
          <w:p w14:paraId="3FBD6F9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本文件规定了用于物联网的宽带客户智能网关各安全等级的安全功能要求和安全保障要求的评估方法</w:t>
            </w:r>
          </w:p>
          <w:p w14:paraId="2B50127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本文件适用于安全测评服务机构、基于公用电信网的宽带客户智能网关设备的运营使用单位</w:t>
            </w:r>
            <w:r>
              <w:rPr>
                <w:rFonts w:hint="eastAsia" w:ascii="Times New Roman" w:hAnsi="Times New Roman" w:eastAsia="仿宋_GB2312" w:cs="宋体"/>
                <w:sz w:val="21"/>
                <w:szCs w:val="21"/>
                <w:lang w:eastAsia="zh-CN"/>
              </w:rPr>
              <w:t>，</w:t>
            </w:r>
            <w:r>
              <w:rPr>
                <w:rFonts w:hint="eastAsia" w:ascii="Times New Roman" w:hAnsi="Times New Roman" w:eastAsia="仿宋_GB2312" w:cs="宋体"/>
                <w:sz w:val="21"/>
                <w:szCs w:val="21"/>
              </w:rPr>
              <w:t>对用于物联网的智能网关设备安全状况进行安全测评，也适用于网络安全职能部门进行网关安全等级保护监督检查时参考使用</w:t>
            </w:r>
          </w:p>
        </w:tc>
        <w:tc>
          <w:tcPr>
            <w:tcW w:w="1625" w:type="dxa"/>
            <w:noWrap w:val="0"/>
            <w:vAlign w:val="top"/>
          </w:tcPr>
          <w:p w14:paraId="774E0160">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72896FF6">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4761E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21CE6ED">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14A78AC5">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3347.8-2024</w:t>
            </w:r>
          </w:p>
        </w:tc>
        <w:tc>
          <w:tcPr>
            <w:tcW w:w="2519" w:type="dxa"/>
            <w:noWrap w:val="0"/>
            <w:vAlign w:val="top"/>
          </w:tcPr>
          <w:p w14:paraId="42CCBAEA">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基于公用电信网的宽带客户智能网关测试方法 第8部分：家庭用智能网关设备安全</w:t>
            </w:r>
          </w:p>
        </w:tc>
        <w:tc>
          <w:tcPr>
            <w:tcW w:w="6411" w:type="dxa"/>
            <w:noWrap w:val="0"/>
            <w:vAlign w:val="top"/>
          </w:tcPr>
          <w:p w14:paraId="0255ECD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本文件规定了家庭用智能网关设备硬件安全、系统安全、网络安全、应用安全以及数据安全等方面的测试方法</w:t>
            </w:r>
          </w:p>
          <w:p w14:paraId="5040DF7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本文件适用于基于公用电信网的宽带客户家庭用智能网关的开发、生产和测试</w:t>
            </w:r>
          </w:p>
        </w:tc>
        <w:tc>
          <w:tcPr>
            <w:tcW w:w="1625" w:type="dxa"/>
            <w:noWrap w:val="0"/>
            <w:vAlign w:val="top"/>
          </w:tcPr>
          <w:p w14:paraId="36EEBDE2">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2923D53D">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73A9D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B0B48A8">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1EEEA5BA">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3347.9-2024</w:t>
            </w:r>
          </w:p>
        </w:tc>
        <w:tc>
          <w:tcPr>
            <w:tcW w:w="2519" w:type="dxa"/>
            <w:noWrap w:val="0"/>
            <w:vAlign w:val="top"/>
          </w:tcPr>
          <w:p w14:paraId="1C40D82E">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基于公用电信网的宽带客户智能网关测试方法 第9部分：企业用智能网关设备安全</w:t>
            </w:r>
          </w:p>
        </w:tc>
        <w:tc>
          <w:tcPr>
            <w:tcW w:w="6411" w:type="dxa"/>
            <w:noWrap w:val="0"/>
            <w:vAlign w:val="top"/>
          </w:tcPr>
          <w:p w14:paraId="49F63B6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s="宋体"/>
                <w:sz w:val="21"/>
                <w:szCs w:val="21"/>
              </w:rPr>
            </w:pPr>
            <w:r>
              <w:rPr>
                <w:rFonts w:hint="eastAsia" w:ascii="Times New Roman" w:hAnsi="Times New Roman" w:eastAsia="仿宋_GB2312" w:cs="宋体"/>
                <w:sz w:val="21"/>
                <w:szCs w:val="21"/>
              </w:rPr>
              <w:t>本文件规定了企业用智能网关设备硬件安全、系统安全、联网安全、应用安全以及数据安全等方面的测试方法</w:t>
            </w:r>
          </w:p>
          <w:p w14:paraId="5CA647A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szCs w:val="21"/>
              </w:rPr>
              <w:t>本文件适用于基于公用电信网的宽带客户企业用智能网关的开发、生产和测试</w:t>
            </w:r>
          </w:p>
        </w:tc>
        <w:tc>
          <w:tcPr>
            <w:tcW w:w="1625" w:type="dxa"/>
            <w:noWrap w:val="0"/>
            <w:vAlign w:val="top"/>
          </w:tcPr>
          <w:p w14:paraId="435BE739">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200CF20F">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632CA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1C391AE">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E2E9448">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6041-2024</w:t>
            </w:r>
          </w:p>
        </w:tc>
        <w:tc>
          <w:tcPr>
            <w:tcW w:w="2519" w:type="dxa"/>
            <w:noWrap w:val="0"/>
            <w:vAlign w:val="top"/>
          </w:tcPr>
          <w:p w14:paraId="6D3D2454">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5G移动通信网 核心网网络切片增强技术要求（第二阶段）</w:t>
            </w:r>
          </w:p>
        </w:tc>
        <w:tc>
          <w:tcPr>
            <w:tcW w:w="6411" w:type="dxa"/>
            <w:noWrap w:val="0"/>
            <w:vAlign w:val="top"/>
          </w:tcPr>
          <w:p w14:paraId="2B585D56">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本文件确立了</w:t>
            </w:r>
            <w:r>
              <w:rPr>
                <w:rFonts w:ascii="Times New Roman" w:hAnsi="Times New Roman" w:eastAsia="仿宋_GB2312"/>
                <w:color w:val="000000"/>
                <w:sz w:val="21"/>
                <w:szCs w:val="21"/>
              </w:rPr>
              <w:t>5G移动通信网核心网网络切片增强技术的总体架构，针对网络切片的接入控制规定了核心网功能要求、接口要求，并确立了关键流程</w:t>
            </w:r>
          </w:p>
          <w:p w14:paraId="1E676D3A">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本文件适用基于独立组网的</w:t>
            </w:r>
            <w:r>
              <w:rPr>
                <w:rFonts w:ascii="Times New Roman" w:hAnsi="Times New Roman" w:eastAsia="仿宋_GB2312"/>
                <w:color w:val="000000"/>
                <w:sz w:val="21"/>
                <w:szCs w:val="21"/>
              </w:rPr>
              <w:t>5G核心网支持网络切片增强的研发和测试</w:t>
            </w:r>
          </w:p>
        </w:tc>
        <w:tc>
          <w:tcPr>
            <w:tcW w:w="1625" w:type="dxa"/>
            <w:noWrap w:val="0"/>
            <w:vAlign w:val="top"/>
          </w:tcPr>
          <w:p w14:paraId="3C0F37A8">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47C2B3BA">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69F19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5BEF200">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32C40697">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6042-2024</w:t>
            </w:r>
          </w:p>
        </w:tc>
        <w:tc>
          <w:tcPr>
            <w:tcW w:w="2519" w:type="dxa"/>
            <w:noWrap w:val="0"/>
            <w:vAlign w:val="top"/>
          </w:tcPr>
          <w:p w14:paraId="26FF3314">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移动边缘计算应用使能架构技术要求</w:t>
            </w:r>
          </w:p>
        </w:tc>
        <w:tc>
          <w:tcPr>
            <w:tcW w:w="6411" w:type="dxa"/>
            <w:noWrap w:val="0"/>
            <w:vAlign w:val="top"/>
          </w:tcPr>
          <w:p w14:paraId="563FC484">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本文件规定了移动边缘计算使能架构技术要求，包括边缘计算应用使能架构的基本概念、技术需求、边缘计算应用使能架构（含功能和接口要求）、边缘计算应用使能架构相关功能的标识和常用值、</w:t>
            </w:r>
            <w:r>
              <w:rPr>
                <w:rFonts w:ascii="Times New Roman" w:hAnsi="Times New Roman" w:eastAsia="仿宋_GB2312"/>
                <w:color w:val="000000"/>
                <w:sz w:val="21"/>
                <w:szCs w:val="21"/>
              </w:rPr>
              <w:t>边缘应用使能架构的流程和消息等</w:t>
            </w:r>
          </w:p>
          <w:p w14:paraId="4F124485">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本文件适用于移动边缘计算应用使能架构中相关功能的研发和测试</w:t>
            </w:r>
          </w:p>
        </w:tc>
        <w:tc>
          <w:tcPr>
            <w:tcW w:w="1625" w:type="dxa"/>
            <w:noWrap w:val="0"/>
            <w:vAlign w:val="top"/>
          </w:tcPr>
          <w:p w14:paraId="4BDAAABA">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601A556C">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5C354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9627CF0">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9F37213">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6043-2024</w:t>
            </w:r>
          </w:p>
        </w:tc>
        <w:tc>
          <w:tcPr>
            <w:tcW w:w="2519" w:type="dxa"/>
            <w:noWrap w:val="0"/>
            <w:vAlign w:val="top"/>
          </w:tcPr>
          <w:p w14:paraId="603B5430">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智能天馈系统工程参数信息单元管理平台功能要求</w:t>
            </w:r>
          </w:p>
        </w:tc>
        <w:tc>
          <w:tcPr>
            <w:tcW w:w="6411" w:type="dxa"/>
            <w:noWrap w:val="0"/>
            <w:vAlign w:val="top"/>
          </w:tcPr>
          <w:p w14:paraId="15FB88C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本文件规定了智能天馈系统工程参数信息单元管理平台网络架构</w:t>
            </w:r>
            <w:r>
              <w:rPr>
                <w:rFonts w:hint="eastAsia" w:ascii="Times New Roman" w:hAnsi="Times New Roman" w:eastAsia="仿宋_GB2312"/>
                <w:color w:val="000000"/>
                <w:sz w:val="21"/>
                <w:szCs w:val="21"/>
                <w:lang w:eastAsia="zh-CN"/>
              </w:rPr>
              <w:t>、</w:t>
            </w:r>
            <w:r>
              <w:rPr>
                <w:rFonts w:hint="eastAsia" w:ascii="Times New Roman" w:hAnsi="Times New Roman" w:eastAsia="仿宋_GB2312"/>
                <w:color w:val="000000"/>
                <w:sz w:val="21"/>
                <w:szCs w:val="21"/>
              </w:rPr>
              <w:t>设备管理、告警及故障管理、数据统计以及系统管理要求</w:t>
            </w:r>
          </w:p>
          <w:p w14:paraId="1EC3EB7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本文件适用于移动通信网络天线的方位角、机械下倾角、经纬度、海拔高度等工程参数的管理</w:t>
            </w:r>
          </w:p>
        </w:tc>
        <w:tc>
          <w:tcPr>
            <w:tcW w:w="1625" w:type="dxa"/>
            <w:noWrap w:val="0"/>
            <w:vAlign w:val="top"/>
          </w:tcPr>
          <w:p w14:paraId="5FE9DC65">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2CE165DC">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36797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1EAB8CD1">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0F8EFCA2">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6044-2024</w:t>
            </w:r>
          </w:p>
        </w:tc>
        <w:tc>
          <w:tcPr>
            <w:tcW w:w="2519" w:type="dxa"/>
            <w:noWrap w:val="0"/>
            <w:vAlign w:val="top"/>
          </w:tcPr>
          <w:p w14:paraId="0C521F58">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算力网络 算力度量与算力建模技术要求</w:t>
            </w:r>
          </w:p>
        </w:tc>
        <w:tc>
          <w:tcPr>
            <w:tcW w:w="6411" w:type="dxa"/>
            <w:noWrap w:val="0"/>
            <w:vAlign w:val="top"/>
          </w:tcPr>
          <w:p w14:paraId="0C99EF0D">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本文件规定了面向算力网络的算网融合</w:t>
            </w:r>
            <w:r>
              <w:rPr>
                <w:rFonts w:hint="eastAsia" w:ascii="Times New Roman" w:hAnsi="Times New Roman" w:eastAsia="仿宋_GB2312"/>
                <w:color w:val="000000"/>
                <w:sz w:val="21"/>
                <w:szCs w:val="21"/>
                <w:lang w:eastAsia="zh-CN"/>
              </w:rPr>
              <w:t>、</w:t>
            </w:r>
            <w:r>
              <w:rPr>
                <w:rFonts w:hint="eastAsia" w:ascii="Times New Roman" w:hAnsi="Times New Roman" w:eastAsia="仿宋_GB2312"/>
                <w:color w:val="000000"/>
                <w:sz w:val="21"/>
                <w:szCs w:val="21"/>
              </w:rPr>
              <w:t>算力度量与算力建模机制的需求和总体架构，包括算力资源模型、服务能力模型、算力度量机制、算力测试与评价等相关技术要求</w:t>
            </w:r>
          </w:p>
          <w:p w14:paraId="29C35C43">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本文件适用于具有算力网络服务能力的网络节点及服务节点的研发和测试</w:t>
            </w:r>
          </w:p>
        </w:tc>
        <w:tc>
          <w:tcPr>
            <w:tcW w:w="1625" w:type="dxa"/>
            <w:noWrap w:val="0"/>
            <w:vAlign w:val="top"/>
          </w:tcPr>
          <w:p w14:paraId="28FCCB46">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4FB82F9E">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217B1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D791115">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4822D7A">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6045-2024</w:t>
            </w:r>
          </w:p>
        </w:tc>
        <w:tc>
          <w:tcPr>
            <w:tcW w:w="2519" w:type="dxa"/>
            <w:noWrap w:val="0"/>
            <w:vAlign w:val="top"/>
          </w:tcPr>
          <w:p w14:paraId="480C1362">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算力网络 算力路由协议技术要求</w:t>
            </w:r>
          </w:p>
        </w:tc>
        <w:tc>
          <w:tcPr>
            <w:tcW w:w="6411" w:type="dxa"/>
            <w:noWrap w:val="0"/>
            <w:vAlign w:val="top"/>
          </w:tcPr>
          <w:p w14:paraId="04D48A7E">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本文件规定了算力网络的算力路由协议技术要求，包括算力路由协议的总体功能要求</w:t>
            </w:r>
            <w:r>
              <w:rPr>
                <w:rFonts w:hint="eastAsia" w:ascii="Times New Roman" w:hAnsi="Times New Roman" w:eastAsia="仿宋_GB2312"/>
                <w:color w:val="000000"/>
                <w:sz w:val="21"/>
                <w:szCs w:val="21"/>
                <w:lang w:eastAsia="zh-CN"/>
              </w:rPr>
              <w:t>、</w:t>
            </w:r>
            <w:r>
              <w:rPr>
                <w:rFonts w:hint="eastAsia" w:ascii="Times New Roman" w:hAnsi="Times New Roman" w:eastAsia="仿宋_GB2312"/>
                <w:color w:val="000000"/>
                <w:sz w:val="21"/>
                <w:szCs w:val="21"/>
              </w:rPr>
              <w:t>算力路由协议控制面技术要求</w:t>
            </w:r>
            <w:r>
              <w:rPr>
                <w:rFonts w:hint="eastAsia" w:ascii="Times New Roman" w:hAnsi="Times New Roman" w:eastAsia="仿宋_GB2312"/>
                <w:color w:val="000000"/>
                <w:sz w:val="21"/>
                <w:szCs w:val="21"/>
                <w:lang w:eastAsia="zh-CN"/>
              </w:rPr>
              <w:t>、</w:t>
            </w:r>
            <w:r>
              <w:rPr>
                <w:rFonts w:hint="eastAsia" w:ascii="Times New Roman" w:hAnsi="Times New Roman" w:eastAsia="仿宋_GB2312"/>
                <w:color w:val="000000"/>
                <w:sz w:val="21"/>
                <w:szCs w:val="21"/>
              </w:rPr>
              <w:t>算力路由协议数据面技术要求和算力路由协议的管理面技术要求</w:t>
            </w:r>
          </w:p>
          <w:p w14:paraId="3B527CCC">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本文件适用于算网融合演进的运营商承载网络</w:t>
            </w:r>
          </w:p>
        </w:tc>
        <w:tc>
          <w:tcPr>
            <w:tcW w:w="1625" w:type="dxa"/>
            <w:noWrap w:val="0"/>
            <w:vAlign w:val="top"/>
          </w:tcPr>
          <w:p w14:paraId="2174F4EB">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7B285668">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04562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A316F68">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A6A8B70">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6046-2024</w:t>
            </w:r>
          </w:p>
        </w:tc>
        <w:tc>
          <w:tcPr>
            <w:tcW w:w="2519" w:type="dxa"/>
            <w:noWrap w:val="0"/>
            <w:vAlign w:val="top"/>
          </w:tcPr>
          <w:p w14:paraId="0D52A773">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算力网络 算网编排管理技术要求</w:t>
            </w:r>
          </w:p>
        </w:tc>
        <w:tc>
          <w:tcPr>
            <w:tcW w:w="6411" w:type="dxa"/>
            <w:noWrap w:val="0"/>
            <w:vAlign w:val="top"/>
          </w:tcPr>
          <w:p w14:paraId="4A568EAE">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本文件规定了算力网络的算网编排管理技术要求，包括算力网络编排管理总体功能架构</w:t>
            </w:r>
            <w:r>
              <w:rPr>
                <w:rFonts w:hint="eastAsia" w:ascii="Times New Roman" w:hAnsi="Times New Roman" w:eastAsia="仿宋_GB2312"/>
                <w:color w:val="000000"/>
                <w:sz w:val="21"/>
                <w:szCs w:val="21"/>
                <w:lang w:eastAsia="zh-CN"/>
              </w:rPr>
              <w:t>、</w:t>
            </w:r>
            <w:r>
              <w:rPr>
                <w:rFonts w:hint="eastAsia" w:ascii="Times New Roman" w:hAnsi="Times New Roman" w:eastAsia="仿宋_GB2312"/>
                <w:color w:val="000000"/>
                <w:sz w:val="21"/>
                <w:szCs w:val="21"/>
              </w:rPr>
              <w:t>算力网络编排管理各功能模块技术要求</w:t>
            </w:r>
            <w:r>
              <w:rPr>
                <w:rFonts w:hint="eastAsia" w:ascii="Times New Roman" w:hAnsi="Times New Roman" w:eastAsia="仿宋_GB2312"/>
                <w:color w:val="000000"/>
                <w:sz w:val="21"/>
                <w:szCs w:val="21"/>
                <w:lang w:eastAsia="zh-CN"/>
              </w:rPr>
              <w:t>、</w:t>
            </w:r>
            <w:r>
              <w:rPr>
                <w:rFonts w:hint="eastAsia" w:ascii="Times New Roman" w:hAnsi="Times New Roman" w:eastAsia="仿宋_GB2312"/>
                <w:color w:val="000000"/>
                <w:sz w:val="21"/>
                <w:szCs w:val="21"/>
              </w:rPr>
              <w:t>算网编排管理层和其它层协同技术要求</w:t>
            </w:r>
          </w:p>
          <w:p w14:paraId="31E0D613">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本文件适用于算力网络中算网编排管理技术的研发</w:t>
            </w:r>
          </w:p>
        </w:tc>
        <w:tc>
          <w:tcPr>
            <w:tcW w:w="1625" w:type="dxa"/>
            <w:noWrap w:val="0"/>
            <w:vAlign w:val="top"/>
          </w:tcPr>
          <w:p w14:paraId="7DBB2E5A">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4086B2E4">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6F05C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A02E9FD">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70B20A79">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6047-2024</w:t>
            </w:r>
          </w:p>
        </w:tc>
        <w:tc>
          <w:tcPr>
            <w:tcW w:w="2519" w:type="dxa"/>
            <w:noWrap w:val="0"/>
            <w:vAlign w:val="top"/>
          </w:tcPr>
          <w:p w14:paraId="289EEFF7">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算力网络运营管理 总体技术要求</w:t>
            </w:r>
          </w:p>
        </w:tc>
        <w:tc>
          <w:tcPr>
            <w:tcW w:w="6411" w:type="dxa"/>
            <w:noWrap w:val="0"/>
            <w:vAlign w:val="top"/>
          </w:tcPr>
          <w:p w14:paraId="0BE60ED4">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本文件规定了算力网络运营管理总体架构、功能要求以及接口要求等内容</w:t>
            </w:r>
          </w:p>
          <w:p w14:paraId="508EA430">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本文件适用于为算力网络服务提供商、算力网络解决方案提供商、算力网络基础设施生产企业等开展算力网络运营管理工作提供参考</w:t>
            </w:r>
          </w:p>
        </w:tc>
        <w:tc>
          <w:tcPr>
            <w:tcW w:w="1625" w:type="dxa"/>
            <w:noWrap w:val="0"/>
            <w:vAlign w:val="top"/>
          </w:tcPr>
          <w:p w14:paraId="67985E20">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5EAD313C">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27B4D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5E6522B">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33AC2373">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6048-2024</w:t>
            </w:r>
          </w:p>
        </w:tc>
        <w:tc>
          <w:tcPr>
            <w:tcW w:w="2519" w:type="dxa"/>
            <w:noWrap w:val="0"/>
            <w:vAlign w:val="top"/>
          </w:tcPr>
          <w:p w14:paraId="5FF2F14B">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数据中心算力技术要求和测评方法</w:t>
            </w:r>
          </w:p>
        </w:tc>
        <w:tc>
          <w:tcPr>
            <w:tcW w:w="6411" w:type="dxa"/>
            <w:noWrap w:val="0"/>
            <w:vAlign w:val="top"/>
          </w:tcPr>
          <w:p w14:paraId="37FE7CBC">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本文件规定了数据中心</w:t>
            </w:r>
            <w:r>
              <w:rPr>
                <w:rFonts w:hint="eastAsia" w:ascii="Times New Roman" w:hAnsi="Times New Roman" w:eastAsia="仿宋_GB2312"/>
                <w:color w:val="000000"/>
                <w:sz w:val="21"/>
                <w:szCs w:val="21"/>
                <w:lang w:val="en-US" w:eastAsia="zh-CN"/>
              </w:rPr>
              <w:t>的</w:t>
            </w:r>
            <w:r>
              <w:rPr>
                <w:rFonts w:hint="eastAsia" w:ascii="Times New Roman" w:hAnsi="Times New Roman" w:eastAsia="仿宋_GB2312"/>
                <w:color w:val="000000"/>
                <w:sz w:val="21"/>
                <w:szCs w:val="21"/>
              </w:rPr>
              <w:t>算力接入、算力度量、算力调度、算力运营等的技术要求以及算力测评方法</w:t>
            </w:r>
          </w:p>
          <w:p w14:paraId="2D4C694B">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本文件适用于数据中心规划、设计、建设、运维等环节</w:t>
            </w:r>
          </w:p>
        </w:tc>
        <w:tc>
          <w:tcPr>
            <w:tcW w:w="1625" w:type="dxa"/>
            <w:noWrap w:val="0"/>
            <w:vAlign w:val="top"/>
          </w:tcPr>
          <w:p w14:paraId="06F772C8">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5827C6A3">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53A95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17F4C8E3">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0F665053">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6049-2024</w:t>
            </w:r>
          </w:p>
        </w:tc>
        <w:tc>
          <w:tcPr>
            <w:tcW w:w="2519" w:type="dxa"/>
            <w:noWrap w:val="0"/>
            <w:vAlign w:val="top"/>
          </w:tcPr>
          <w:p w14:paraId="37349E42">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冷板式液冷整机柜服务器技术要求和测试方法</w:t>
            </w:r>
          </w:p>
        </w:tc>
        <w:tc>
          <w:tcPr>
            <w:tcW w:w="6411" w:type="dxa"/>
            <w:noWrap w:val="0"/>
            <w:vAlign w:val="top"/>
          </w:tcPr>
          <w:p w14:paraId="79F72428">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本文件规定了冷板式液冷整机柜服务器的机柜、供液组件、供配电组件、计算节点、交换节点、整机柜内组网、机柜管理模块技术要求和测试方法</w:t>
            </w:r>
          </w:p>
          <w:p w14:paraId="79E14D33">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本文件适用于数据中心冷板式液冷整机柜服务器的设计、生产及测试</w:t>
            </w:r>
          </w:p>
        </w:tc>
        <w:tc>
          <w:tcPr>
            <w:tcW w:w="1625" w:type="dxa"/>
            <w:noWrap w:val="0"/>
            <w:vAlign w:val="top"/>
          </w:tcPr>
          <w:p w14:paraId="712AD8F1">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261EE3E0">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2AD98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CB2BF45">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7837C5C0">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6050-2024</w:t>
            </w:r>
          </w:p>
        </w:tc>
        <w:tc>
          <w:tcPr>
            <w:tcW w:w="2519" w:type="dxa"/>
            <w:noWrap w:val="0"/>
            <w:vAlign w:val="top"/>
          </w:tcPr>
          <w:p w14:paraId="6BDBC1A5">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水下数据中心技术要求</w:t>
            </w:r>
          </w:p>
        </w:tc>
        <w:tc>
          <w:tcPr>
            <w:tcW w:w="6411" w:type="dxa"/>
            <w:noWrap w:val="0"/>
            <w:vAlign w:val="top"/>
          </w:tcPr>
          <w:p w14:paraId="7AA80054">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水下数据中心的分级、组成和技术要求，包含基本要求、结构要求、电能利用效率、制冷系统要求、电气系统要求、综合监控系统要求、网络与综合布线系统要求、消防要求、缆线系统要求、场地及环境要求等</w:t>
            </w:r>
          </w:p>
          <w:p w14:paraId="5C7748EF">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本文件适用于部署于海洋的水下数据中心的设计、制造、安装与应用。部署于湖泊、江水（江河）等的水下数据中心可参照执行</w:t>
            </w:r>
          </w:p>
        </w:tc>
        <w:tc>
          <w:tcPr>
            <w:tcW w:w="1625" w:type="dxa"/>
            <w:noWrap w:val="0"/>
            <w:vAlign w:val="top"/>
          </w:tcPr>
          <w:p w14:paraId="54DA8029">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79B6CD39">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5EDC6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DCF7CAB">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5C2227B">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6051-2024</w:t>
            </w:r>
          </w:p>
        </w:tc>
        <w:tc>
          <w:tcPr>
            <w:tcW w:w="2519" w:type="dxa"/>
            <w:noWrap w:val="0"/>
            <w:vAlign w:val="top"/>
          </w:tcPr>
          <w:p w14:paraId="32BD01AF">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城域数据中心网络控制器北向接口技术要求</w:t>
            </w:r>
          </w:p>
        </w:tc>
        <w:tc>
          <w:tcPr>
            <w:tcW w:w="6411" w:type="dxa"/>
            <w:noWrap w:val="0"/>
            <w:vAlign w:val="top"/>
          </w:tcPr>
          <w:p w14:paraId="7EFD4A80">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本文件规定了城域网中数据中心网络控制器北向开放接口及相关功能定义，包括拓扑管理、业务管理、网络运维管理等多种通用业务场景的编排管控接口</w:t>
            </w:r>
          </w:p>
          <w:p w14:paraId="6FB5B512">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本文件适用于在城域网数据中心应用的网络</w:t>
            </w:r>
            <w:r>
              <w:rPr>
                <w:rFonts w:ascii="Times New Roman" w:hAnsi="Times New Roman" w:eastAsia="仿宋_GB2312"/>
                <w:color w:val="000000"/>
                <w:sz w:val="21"/>
                <w:szCs w:val="21"/>
              </w:rPr>
              <w:t>SDN控制器的北向接口开发设计</w:t>
            </w:r>
          </w:p>
        </w:tc>
        <w:tc>
          <w:tcPr>
            <w:tcW w:w="1625" w:type="dxa"/>
            <w:noWrap w:val="0"/>
            <w:vAlign w:val="top"/>
          </w:tcPr>
          <w:p w14:paraId="2A11630A">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5843937A">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3832F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2DD12E3">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0C8C300F">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6052-2024</w:t>
            </w:r>
          </w:p>
        </w:tc>
        <w:tc>
          <w:tcPr>
            <w:tcW w:w="2519" w:type="dxa"/>
            <w:noWrap w:val="0"/>
            <w:vAlign w:val="top"/>
          </w:tcPr>
          <w:p w14:paraId="25F032C1">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面向网络功能虚拟化的分布式块存储技术要求</w:t>
            </w:r>
          </w:p>
        </w:tc>
        <w:tc>
          <w:tcPr>
            <w:tcW w:w="6411" w:type="dxa"/>
            <w:noWrap w:val="0"/>
            <w:vAlign w:val="top"/>
          </w:tcPr>
          <w:p w14:paraId="48CD3BAC">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w:t>
            </w:r>
            <w:r>
              <w:rPr>
                <w:rFonts w:hint="eastAsia" w:ascii="Times New Roman" w:hAnsi="Times New Roman" w:eastAsia="仿宋_GB2312" w:cs="宋体"/>
                <w:i w:val="0"/>
                <w:iCs w:val="0"/>
                <w:color w:val="000000"/>
                <w:kern w:val="0"/>
                <w:sz w:val="21"/>
                <w:szCs w:val="22"/>
                <w:u w:val="none"/>
                <w:lang w:val="en-US" w:eastAsia="zh-CN" w:bidi="ar"/>
              </w:rPr>
              <w:t>面向网络功能虚拟化的</w:t>
            </w:r>
            <w:r>
              <w:rPr>
                <w:rFonts w:hint="eastAsia" w:ascii="Times New Roman" w:hAnsi="Times New Roman" w:eastAsia="仿宋_GB2312"/>
                <w:color w:val="000000"/>
                <w:sz w:val="21"/>
                <w:szCs w:val="21"/>
              </w:rPr>
              <w:t>分布式块存储的功能、性能、可靠性、管理运维、硬件服务器和运维管理接口</w:t>
            </w:r>
            <w:r>
              <w:rPr>
                <w:rFonts w:ascii="Times New Roman" w:hAnsi="Times New Roman" w:eastAsia="仿宋_GB2312"/>
                <w:color w:val="000000"/>
                <w:sz w:val="21"/>
                <w:szCs w:val="21"/>
              </w:rPr>
              <w:t>API等技术要求</w:t>
            </w:r>
          </w:p>
          <w:p w14:paraId="220B35BB">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w:t>
            </w:r>
            <w:r>
              <w:rPr>
                <w:rFonts w:hint="eastAsia" w:ascii="Times New Roman" w:hAnsi="Times New Roman" w:eastAsia="仿宋_GB2312" w:cs="宋体"/>
                <w:i w:val="0"/>
                <w:iCs w:val="0"/>
                <w:color w:val="000000"/>
                <w:kern w:val="0"/>
                <w:sz w:val="21"/>
                <w:szCs w:val="22"/>
                <w:u w:val="none"/>
                <w:lang w:val="en-US" w:eastAsia="zh-CN" w:bidi="ar"/>
              </w:rPr>
              <w:t>面向网络功能虚拟化的</w:t>
            </w:r>
            <w:r>
              <w:rPr>
                <w:rFonts w:ascii="Times New Roman" w:hAnsi="Times New Roman" w:eastAsia="仿宋_GB2312"/>
                <w:color w:val="000000"/>
                <w:sz w:val="21"/>
                <w:szCs w:val="21"/>
              </w:rPr>
              <w:t>及其他云化场景</w:t>
            </w:r>
          </w:p>
        </w:tc>
        <w:tc>
          <w:tcPr>
            <w:tcW w:w="1625" w:type="dxa"/>
            <w:noWrap w:val="0"/>
            <w:vAlign w:val="top"/>
          </w:tcPr>
          <w:p w14:paraId="6D5C893D">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744FC939">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5D593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0B06B17">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0B11673B">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4843.3-2024</w:t>
            </w:r>
          </w:p>
        </w:tc>
        <w:tc>
          <w:tcPr>
            <w:tcW w:w="2519" w:type="dxa"/>
            <w:noWrap w:val="0"/>
            <w:vAlign w:val="top"/>
          </w:tcPr>
          <w:p w14:paraId="02E0F267">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数据中心和通信机房基站能源智慧化应用技术要求 第3部分：能效管理系统</w:t>
            </w:r>
          </w:p>
        </w:tc>
        <w:tc>
          <w:tcPr>
            <w:tcW w:w="6411" w:type="dxa"/>
            <w:noWrap w:val="0"/>
            <w:vAlign w:val="top"/>
          </w:tcPr>
          <w:p w14:paraId="0391BBEB">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本文件规定了数据中心和通信机房基站能效管理系统技术要求，包括能效管理系统架构、数据采集、数据分析和应用管理技术要求</w:t>
            </w:r>
          </w:p>
          <w:p w14:paraId="14030B89">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本文件适用于数据中心、通信机房、通信基站各类能效管理系统</w:t>
            </w:r>
          </w:p>
        </w:tc>
        <w:tc>
          <w:tcPr>
            <w:tcW w:w="1625" w:type="dxa"/>
            <w:noWrap w:val="0"/>
            <w:vAlign w:val="top"/>
          </w:tcPr>
          <w:p w14:paraId="0837E9E8">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22AB6352">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34A64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FBEB680">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460647D">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6053-2024</w:t>
            </w:r>
          </w:p>
        </w:tc>
        <w:tc>
          <w:tcPr>
            <w:tcW w:w="2519" w:type="dxa"/>
            <w:noWrap w:val="0"/>
            <w:vAlign w:val="top"/>
          </w:tcPr>
          <w:p w14:paraId="6A39B026">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接入网设备支持SRv6功能的测试方法</w:t>
            </w:r>
          </w:p>
        </w:tc>
        <w:tc>
          <w:tcPr>
            <w:tcW w:w="6411" w:type="dxa"/>
            <w:noWrap w:val="0"/>
            <w:vAlign w:val="top"/>
          </w:tcPr>
          <w:p w14:paraId="04B71267">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本文件描述了接入网设备光线路终端</w:t>
            </w:r>
            <w:r>
              <w:rPr>
                <w:rFonts w:hint="eastAsia" w:ascii="Times New Roman" w:hAnsi="Times New Roman" w:eastAsia="仿宋_GB2312"/>
                <w:color w:val="000000"/>
                <w:sz w:val="21"/>
                <w:szCs w:val="21"/>
                <w:lang w:eastAsia="zh-CN"/>
              </w:rPr>
              <w:t>（</w:t>
            </w:r>
            <w:r>
              <w:rPr>
                <w:rFonts w:ascii="Times New Roman" w:hAnsi="Times New Roman" w:eastAsia="仿宋_GB2312"/>
                <w:color w:val="000000"/>
                <w:sz w:val="21"/>
                <w:szCs w:val="21"/>
              </w:rPr>
              <w:t>OLT</w:t>
            </w:r>
            <w:r>
              <w:rPr>
                <w:rFonts w:hint="eastAsia" w:ascii="Times New Roman" w:hAnsi="Times New Roman" w:eastAsia="仿宋_GB2312"/>
                <w:color w:val="000000"/>
                <w:sz w:val="21"/>
                <w:szCs w:val="21"/>
                <w:lang w:eastAsia="zh-CN"/>
              </w:rPr>
              <w:t>）</w:t>
            </w:r>
            <w:r>
              <w:rPr>
                <w:rFonts w:ascii="Times New Roman" w:hAnsi="Times New Roman" w:eastAsia="仿宋_GB2312"/>
                <w:color w:val="000000"/>
                <w:sz w:val="21"/>
                <w:szCs w:val="21"/>
              </w:rPr>
              <w:t>支持SRv6功能的测试方法，包括</w:t>
            </w:r>
            <w:r>
              <w:rPr>
                <w:rFonts w:hint="eastAsia" w:ascii="Times New Roman" w:hAnsi="Times New Roman" w:eastAsia="仿宋_GB2312"/>
                <w:color w:val="000000"/>
                <w:sz w:val="21"/>
                <w:szCs w:val="21"/>
                <w:lang w:val="en-US" w:eastAsia="zh-CN"/>
              </w:rPr>
              <w:t>段标识（</w:t>
            </w:r>
            <w:r>
              <w:rPr>
                <w:rFonts w:ascii="Times New Roman" w:hAnsi="Times New Roman" w:eastAsia="仿宋_GB2312"/>
                <w:color w:val="000000"/>
                <w:sz w:val="21"/>
                <w:szCs w:val="21"/>
              </w:rPr>
              <w:t>SID</w:t>
            </w:r>
            <w:r>
              <w:rPr>
                <w:rFonts w:hint="eastAsia" w:ascii="Times New Roman" w:hAnsi="Times New Roman" w:eastAsia="仿宋_GB2312"/>
                <w:color w:val="000000"/>
                <w:sz w:val="21"/>
                <w:szCs w:val="21"/>
                <w:lang w:val="en-US" w:eastAsia="zh-CN"/>
              </w:rPr>
              <w:t>）</w:t>
            </w:r>
            <w:r>
              <w:rPr>
                <w:rFonts w:ascii="Times New Roman" w:hAnsi="Times New Roman" w:eastAsia="仿宋_GB2312"/>
                <w:color w:val="000000"/>
                <w:sz w:val="21"/>
                <w:szCs w:val="21"/>
              </w:rPr>
              <w:t>映射规则测试、SRv6管理功能测试和SRv6性能测试等</w:t>
            </w:r>
          </w:p>
          <w:p w14:paraId="3AF48B28">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本文件适用于公用电信网环境下的支持</w:t>
            </w:r>
            <w:r>
              <w:rPr>
                <w:rFonts w:ascii="Times New Roman" w:hAnsi="Times New Roman" w:eastAsia="仿宋_GB2312"/>
                <w:color w:val="000000"/>
                <w:sz w:val="21"/>
                <w:szCs w:val="21"/>
              </w:rPr>
              <w:t>SRv6功能的无源光网络</w:t>
            </w:r>
            <w:r>
              <w:rPr>
                <w:rFonts w:hint="eastAsia" w:ascii="Times New Roman" w:hAnsi="Times New Roman" w:eastAsia="仿宋_GB2312"/>
                <w:color w:val="000000"/>
                <w:sz w:val="21"/>
                <w:szCs w:val="21"/>
                <w:lang w:eastAsia="zh-CN"/>
              </w:rPr>
              <w:t>（</w:t>
            </w:r>
            <w:r>
              <w:rPr>
                <w:rFonts w:hint="eastAsia" w:ascii="Times New Roman" w:hAnsi="Times New Roman" w:eastAsia="仿宋_GB2312"/>
                <w:color w:val="000000"/>
                <w:sz w:val="21"/>
                <w:szCs w:val="21"/>
                <w:lang w:val="en-US" w:eastAsia="zh-CN"/>
              </w:rPr>
              <w:t>PON</w:t>
            </w:r>
            <w:r>
              <w:rPr>
                <w:rFonts w:hint="eastAsia" w:ascii="Times New Roman" w:hAnsi="Times New Roman" w:eastAsia="仿宋_GB2312"/>
                <w:color w:val="000000"/>
                <w:sz w:val="21"/>
                <w:szCs w:val="21"/>
                <w:lang w:eastAsia="zh-CN"/>
              </w:rPr>
              <w:t>）</w:t>
            </w:r>
            <w:r>
              <w:rPr>
                <w:rFonts w:ascii="Times New Roman" w:hAnsi="Times New Roman" w:eastAsia="仿宋_GB2312"/>
                <w:color w:val="000000"/>
                <w:sz w:val="21"/>
                <w:szCs w:val="21"/>
              </w:rPr>
              <w:t>系统的研制和生产，专用电信网也可参考使用</w:t>
            </w:r>
          </w:p>
        </w:tc>
        <w:tc>
          <w:tcPr>
            <w:tcW w:w="1625" w:type="dxa"/>
            <w:noWrap w:val="0"/>
            <w:vAlign w:val="top"/>
          </w:tcPr>
          <w:p w14:paraId="53004923">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487CB92F">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19698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2AC3774">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64FD7A24">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6054-2024</w:t>
            </w:r>
          </w:p>
        </w:tc>
        <w:tc>
          <w:tcPr>
            <w:tcW w:w="2519" w:type="dxa"/>
            <w:noWrap w:val="0"/>
            <w:vAlign w:val="top"/>
          </w:tcPr>
          <w:p w14:paraId="170EEBBE">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基于SRv6网络故障保护技术要求</w:t>
            </w:r>
          </w:p>
        </w:tc>
        <w:tc>
          <w:tcPr>
            <w:tcW w:w="6411" w:type="dxa"/>
            <w:noWrap w:val="0"/>
            <w:vAlign w:val="top"/>
          </w:tcPr>
          <w:p w14:paraId="7BB75301">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w:t>
            </w:r>
            <w:r>
              <w:rPr>
                <w:rFonts w:ascii="Times New Roman" w:hAnsi="Times New Roman" w:eastAsia="仿宋_GB2312"/>
                <w:color w:val="000000"/>
                <w:sz w:val="21"/>
                <w:szCs w:val="21"/>
              </w:rPr>
              <w:t>SRv6网络故障保护关键技术及要求，包括SRv6</w:t>
            </w:r>
            <w:r>
              <w:rPr>
                <w:rFonts w:hint="eastAsia" w:ascii="Times New Roman" w:hAnsi="Times New Roman" w:eastAsia="仿宋_GB2312"/>
                <w:color w:val="000000"/>
                <w:sz w:val="21"/>
                <w:szCs w:val="21"/>
              </w:rPr>
              <w:t>拓扑无关的无环备份路径</w:t>
            </w:r>
            <w:r>
              <w:rPr>
                <w:rFonts w:ascii="Times New Roman" w:hAnsi="Times New Roman" w:eastAsia="仿宋_GB2312"/>
                <w:color w:val="000000"/>
                <w:sz w:val="21"/>
                <w:szCs w:val="21"/>
              </w:rPr>
              <w:t>技术</w:t>
            </w:r>
            <w:r>
              <w:rPr>
                <w:rFonts w:hint="eastAsia" w:ascii="Times New Roman" w:hAnsi="Times New Roman" w:eastAsia="仿宋_GB2312"/>
                <w:color w:val="000000"/>
                <w:sz w:val="21"/>
                <w:szCs w:val="21"/>
              </w:rPr>
              <w:t>（</w:t>
            </w:r>
            <w:r>
              <w:rPr>
                <w:rFonts w:ascii="Times New Roman" w:hAnsi="Times New Roman" w:eastAsia="仿宋_GB2312"/>
                <w:color w:val="000000"/>
                <w:sz w:val="21"/>
                <w:szCs w:val="21"/>
              </w:rPr>
              <w:t>TI-LFA</w:t>
            </w:r>
            <w:r>
              <w:rPr>
                <w:rFonts w:hint="eastAsia" w:ascii="Times New Roman" w:hAnsi="Times New Roman" w:eastAsia="仿宋_GB2312"/>
                <w:color w:val="000000"/>
                <w:sz w:val="21"/>
                <w:szCs w:val="21"/>
              </w:rPr>
              <w:t>）</w:t>
            </w:r>
            <w:r>
              <w:rPr>
                <w:rFonts w:ascii="Times New Roman" w:hAnsi="Times New Roman" w:eastAsia="仿宋_GB2312"/>
                <w:color w:val="000000"/>
                <w:sz w:val="21"/>
                <w:szCs w:val="21"/>
              </w:rPr>
              <w:t>、指定中间节点保护技术、尾节点保护技术、防微环技术及SRv6端到端保护技术等</w:t>
            </w:r>
          </w:p>
          <w:p w14:paraId="25B67DDF">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w:t>
            </w:r>
            <w:r>
              <w:rPr>
                <w:rFonts w:ascii="Times New Roman" w:hAnsi="Times New Roman" w:eastAsia="仿宋_GB2312"/>
                <w:color w:val="000000"/>
                <w:sz w:val="21"/>
                <w:szCs w:val="21"/>
              </w:rPr>
              <w:t>SRv6组网下常见网络故障场景，包括SRv6 BE节点/链路失效、SRv6 Policy中间节点/尾节点失效、微环及SRv6 Policy故障场景等</w:t>
            </w:r>
          </w:p>
        </w:tc>
        <w:tc>
          <w:tcPr>
            <w:tcW w:w="1625" w:type="dxa"/>
            <w:noWrap w:val="0"/>
            <w:vAlign w:val="top"/>
          </w:tcPr>
          <w:p w14:paraId="6CB8A5B9">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415E80B6">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57F35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72F6CC1">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622A196E">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6055-2024</w:t>
            </w:r>
          </w:p>
        </w:tc>
        <w:tc>
          <w:tcPr>
            <w:tcW w:w="2519" w:type="dxa"/>
            <w:noWrap w:val="0"/>
            <w:vAlign w:val="top"/>
          </w:tcPr>
          <w:p w14:paraId="30D65DCF">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基于SRv6的报文头压缩测试方法</w:t>
            </w:r>
          </w:p>
        </w:tc>
        <w:tc>
          <w:tcPr>
            <w:tcW w:w="6411" w:type="dxa"/>
            <w:noWrap w:val="0"/>
            <w:vAlign w:val="top"/>
          </w:tcPr>
          <w:p w14:paraId="731F9483">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olor w:val="000000"/>
                <w:sz w:val="21"/>
                <w:szCs w:val="21"/>
                <w:lang w:val="en-US" w:eastAsia="zh-CN"/>
              </w:rPr>
            </w:pPr>
            <w:r>
              <w:rPr>
                <w:rFonts w:hint="eastAsia" w:ascii="Times New Roman" w:hAnsi="Times New Roman" w:eastAsia="仿宋_GB2312"/>
                <w:color w:val="000000"/>
                <w:sz w:val="21"/>
                <w:szCs w:val="21"/>
              </w:rPr>
              <w:t>本文件规定了</w:t>
            </w:r>
            <w:r>
              <w:rPr>
                <w:rFonts w:ascii="Times New Roman" w:hAnsi="Times New Roman" w:eastAsia="仿宋_GB2312"/>
                <w:color w:val="000000"/>
                <w:sz w:val="21"/>
                <w:szCs w:val="21"/>
              </w:rPr>
              <w:t>SRv6报文头压缩的测试方法，包括SRv6头压缩转发、控制器部署和调优、可靠性、OAM以及性能</w:t>
            </w:r>
            <w:r>
              <w:rPr>
                <w:rFonts w:hint="eastAsia" w:ascii="Times New Roman" w:hAnsi="Times New Roman" w:eastAsia="仿宋_GB2312"/>
                <w:color w:val="000000"/>
                <w:sz w:val="21"/>
                <w:szCs w:val="21"/>
                <w:lang w:val="en-US" w:eastAsia="zh-CN"/>
              </w:rPr>
              <w:t>的</w:t>
            </w:r>
            <w:r>
              <w:rPr>
                <w:rFonts w:ascii="Times New Roman" w:hAnsi="Times New Roman" w:eastAsia="仿宋_GB2312"/>
                <w:color w:val="000000"/>
                <w:sz w:val="21"/>
                <w:szCs w:val="21"/>
              </w:rPr>
              <w:t>测试</w:t>
            </w:r>
            <w:r>
              <w:rPr>
                <w:rFonts w:hint="eastAsia" w:ascii="Times New Roman" w:hAnsi="Times New Roman" w:eastAsia="仿宋_GB2312"/>
                <w:color w:val="000000"/>
                <w:sz w:val="21"/>
                <w:szCs w:val="21"/>
                <w:lang w:val="en-US" w:eastAsia="zh-CN"/>
              </w:rPr>
              <w:t>方法</w:t>
            </w:r>
          </w:p>
          <w:p w14:paraId="3444E9F6">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本文件适用于支持</w:t>
            </w:r>
            <w:r>
              <w:rPr>
                <w:rFonts w:ascii="Times New Roman" w:hAnsi="Times New Roman" w:eastAsia="仿宋_GB2312"/>
                <w:color w:val="000000"/>
                <w:sz w:val="21"/>
                <w:szCs w:val="21"/>
              </w:rPr>
              <w:t>SRv6报文头压缩的网络设备及系统的测试与评估，设备研发、管理也可参照使用</w:t>
            </w:r>
          </w:p>
        </w:tc>
        <w:tc>
          <w:tcPr>
            <w:tcW w:w="1625" w:type="dxa"/>
            <w:noWrap w:val="0"/>
            <w:vAlign w:val="top"/>
          </w:tcPr>
          <w:p w14:paraId="47919BB7">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50360B44">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52234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17DA02CA">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7ACD80DD">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6056-2024</w:t>
            </w:r>
          </w:p>
        </w:tc>
        <w:tc>
          <w:tcPr>
            <w:tcW w:w="2519" w:type="dxa"/>
            <w:noWrap w:val="0"/>
            <w:vAlign w:val="top"/>
          </w:tcPr>
          <w:p w14:paraId="2BB56883">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无状态4over6过渡技术 RADIUS参数配置技术要求</w:t>
            </w:r>
          </w:p>
        </w:tc>
        <w:tc>
          <w:tcPr>
            <w:tcW w:w="6411" w:type="dxa"/>
            <w:noWrap w:val="0"/>
            <w:vAlign w:val="top"/>
          </w:tcPr>
          <w:p w14:paraId="789A235D">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w:t>
            </w:r>
            <w:r>
              <w:rPr>
                <w:rFonts w:ascii="Times New Roman" w:hAnsi="Times New Roman" w:eastAsia="仿宋_GB2312"/>
                <w:color w:val="000000"/>
                <w:sz w:val="21"/>
                <w:szCs w:val="21"/>
              </w:rPr>
              <w:t>RADIUS属性</w:t>
            </w:r>
            <w:r>
              <w:rPr>
                <w:rFonts w:hint="eastAsia" w:ascii="Times New Roman" w:hAnsi="Times New Roman" w:eastAsia="仿宋_GB2312"/>
                <w:color w:val="000000"/>
                <w:sz w:val="21"/>
                <w:szCs w:val="21"/>
              </w:rPr>
              <w:t>中涉及无状态</w:t>
            </w:r>
            <w:r>
              <w:rPr>
                <w:rFonts w:ascii="Times New Roman" w:hAnsi="Times New Roman" w:eastAsia="仿宋_GB2312"/>
                <w:color w:val="000000"/>
                <w:sz w:val="21"/>
                <w:szCs w:val="21"/>
              </w:rPr>
              <w:t>4over6过渡属性</w:t>
            </w:r>
            <w:r>
              <w:rPr>
                <w:rFonts w:hint="eastAsia" w:ascii="Times New Roman" w:hAnsi="Times New Roman" w:eastAsia="仿宋_GB2312"/>
                <w:color w:val="000000"/>
                <w:sz w:val="21"/>
                <w:szCs w:val="21"/>
              </w:rPr>
              <w:t>（</w:t>
            </w:r>
            <w:r>
              <w:rPr>
                <w:rFonts w:ascii="Times New Roman" w:hAnsi="Times New Roman" w:eastAsia="仿宋_GB2312"/>
                <w:color w:val="000000"/>
                <w:sz w:val="21"/>
                <w:szCs w:val="21"/>
              </w:rPr>
              <w:t>Softwire46</w:t>
            </w:r>
            <w:r>
              <w:rPr>
                <w:rFonts w:hint="eastAsia" w:ascii="Times New Roman" w:hAnsi="Times New Roman" w:eastAsia="仿宋_GB2312"/>
                <w:color w:val="000000"/>
                <w:sz w:val="21"/>
                <w:szCs w:val="21"/>
              </w:rPr>
              <w:t>）要求</w:t>
            </w:r>
            <w:r>
              <w:rPr>
                <w:rFonts w:ascii="Times New Roman" w:hAnsi="Times New Roman" w:eastAsia="仿宋_GB2312"/>
                <w:color w:val="000000"/>
                <w:sz w:val="21"/>
                <w:szCs w:val="21"/>
              </w:rPr>
              <w:t>，</w:t>
            </w:r>
            <w:r>
              <w:rPr>
                <w:rFonts w:hint="eastAsia" w:ascii="Times New Roman" w:hAnsi="Times New Roman" w:eastAsia="仿宋_GB2312"/>
                <w:color w:val="000000"/>
                <w:sz w:val="21"/>
                <w:szCs w:val="21"/>
              </w:rPr>
              <w:t>包括</w:t>
            </w:r>
            <w:r>
              <w:rPr>
                <w:rFonts w:ascii="Times New Roman" w:hAnsi="Times New Roman" w:eastAsia="仿宋_GB2312"/>
                <w:color w:val="000000"/>
                <w:sz w:val="21"/>
                <w:szCs w:val="21"/>
              </w:rPr>
              <w:t>用户边缘设备所需要的参数格式</w:t>
            </w:r>
            <w:r>
              <w:rPr>
                <w:rFonts w:hint="eastAsia" w:ascii="Times New Roman" w:hAnsi="Times New Roman" w:eastAsia="仿宋_GB2312"/>
                <w:color w:val="000000"/>
                <w:sz w:val="21"/>
                <w:szCs w:val="21"/>
              </w:rPr>
              <w:t>，以及</w:t>
            </w:r>
            <w:r>
              <w:rPr>
                <w:rFonts w:ascii="Times New Roman" w:hAnsi="Times New Roman" w:eastAsia="仿宋_GB2312"/>
                <w:color w:val="000000"/>
                <w:sz w:val="21"/>
                <w:szCs w:val="21"/>
              </w:rPr>
              <w:t>用户边缘设备获取这些参数的流程</w:t>
            </w:r>
          </w:p>
          <w:p w14:paraId="79D1ADA5">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本文件适用于使用</w:t>
            </w:r>
            <w:r>
              <w:rPr>
                <w:rFonts w:ascii="Times New Roman" w:hAnsi="Times New Roman" w:eastAsia="仿宋_GB2312"/>
                <w:color w:val="000000"/>
                <w:sz w:val="21"/>
                <w:szCs w:val="21"/>
              </w:rPr>
              <w:t>Radius协议进行</w:t>
            </w:r>
            <w:r>
              <w:rPr>
                <w:rFonts w:hint="eastAsia" w:ascii="Times New Roman" w:hAnsi="Times New Roman" w:eastAsia="仿宋_GB2312"/>
                <w:color w:val="000000"/>
                <w:sz w:val="21"/>
                <w:szCs w:val="21"/>
              </w:rPr>
              <w:t>无状态</w:t>
            </w:r>
            <w:r>
              <w:rPr>
                <w:rFonts w:ascii="Times New Roman" w:hAnsi="Times New Roman" w:eastAsia="仿宋_GB2312"/>
                <w:color w:val="000000"/>
                <w:sz w:val="21"/>
                <w:szCs w:val="21"/>
              </w:rPr>
              <w:t>IPv4主机跨越IPv6网络服务</w:t>
            </w:r>
          </w:p>
        </w:tc>
        <w:tc>
          <w:tcPr>
            <w:tcW w:w="1625" w:type="dxa"/>
            <w:noWrap w:val="0"/>
            <w:vAlign w:val="top"/>
          </w:tcPr>
          <w:p w14:paraId="1D2F9A8D">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7159504A">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0E5F2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D19AFDF">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0EFEC357">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6057-2024</w:t>
            </w:r>
          </w:p>
        </w:tc>
        <w:tc>
          <w:tcPr>
            <w:tcW w:w="2519" w:type="dxa"/>
            <w:noWrap w:val="0"/>
            <w:vAlign w:val="top"/>
          </w:tcPr>
          <w:p w14:paraId="44C7E34B">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分布式运营级网络地址翻译（CGN）的集中备份测试方法</w:t>
            </w:r>
          </w:p>
        </w:tc>
        <w:tc>
          <w:tcPr>
            <w:tcW w:w="6411" w:type="dxa"/>
            <w:noWrap w:val="0"/>
            <w:vAlign w:val="top"/>
          </w:tcPr>
          <w:p w14:paraId="777AF5E4">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本文件规定了分布式运营级网络地址翻译</w:t>
            </w:r>
            <w:r>
              <w:rPr>
                <w:rFonts w:hint="eastAsia" w:ascii="Times New Roman" w:hAnsi="Times New Roman" w:eastAsia="仿宋_GB2312"/>
                <w:color w:val="000000"/>
                <w:sz w:val="21"/>
                <w:szCs w:val="21"/>
                <w:lang w:eastAsia="zh-CN"/>
              </w:rPr>
              <w:t>（</w:t>
            </w:r>
            <w:r>
              <w:rPr>
                <w:rFonts w:hint="eastAsia" w:ascii="Times New Roman" w:hAnsi="Times New Roman" w:eastAsia="仿宋_GB2312"/>
                <w:color w:val="000000"/>
                <w:sz w:val="21"/>
                <w:szCs w:val="21"/>
                <w:lang w:val="en-US" w:eastAsia="zh-CN"/>
              </w:rPr>
              <w:t>CGN</w:t>
            </w:r>
            <w:r>
              <w:rPr>
                <w:rFonts w:hint="eastAsia" w:ascii="Times New Roman" w:hAnsi="Times New Roman" w:eastAsia="仿宋_GB2312"/>
                <w:color w:val="000000"/>
                <w:sz w:val="21"/>
                <w:szCs w:val="21"/>
                <w:lang w:eastAsia="zh-CN"/>
              </w:rPr>
              <w:t>）</w:t>
            </w:r>
            <w:r>
              <w:rPr>
                <w:rFonts w:hint="eastAsia" w:ascii="Times New Roman" w:hAnsi="Times New Roman" w:eastAsia="仿宋_GB2312"/>
                <w:color w:val="000000"/>
                <w:sz w:val="21"/>
                <w:szCs w:val="21"/>
              </w:rPr>
              <w:t>的集中备份技术的测试方法，描述了测试场景、测试方法、关键测试内容等</w:t>
            </w:r>
          </w:p>
          <w:p w14:paraId="13B838DE">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本文件适用于采用集中</w:t>
            </w:r>
            <w:r>
              <w:rPr>
                <w:rFonts w:ascii="Times New Roman" w:hAnsi="Times New Roman" w:eastAsia="仿宋_GB2312"/>
                <w:color w:val="000000"/>
                <w:sz w:val="21"/>
                <w:szCs w:val="21"/>
              </w:rPr>
              <w:t>备份分布式CGN的场景、方案</w:t>
            </w:r>
          </w:p>
        </w:tc>
        <w:tc>
          <w:tcPr>
            <w:tcW w:w="1625" w:type="dxa"/>
            <w:noWrap w:val="0"/>
            <w:vAlign w:val="top"/>
          </w:tcPr>
          <w:p w14:paraId="53DF8B4E">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35FCE7C4">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667C9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82A52E3">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6D13C530">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6058-2024</w:t>
            </w:r>
          </w:p>
        </w:tc>
        <w:tc>
          <w:tcPr>
            <w:tcW w:w="2519" w:type="dxa"/>
            <w:noWrap w:val="0"/>
            <w:vAlign w:val="top"/>
          </w:tcPr>
          <w:p w14:paraId="3A4F25C4">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面向车联网应用场景的高精度定位总体技术要求</w:t>
            </w:r>
          </w:p>
        </w:tc>
        <w:tc>
          <w:tcPr>
            <w:tcW w:w="6411" w:type="dxa"/>
            <w:noWrap w:val="0"/>
            <w:vAlign w:val="top"/>
          </w:tcPr>
          <w:p w14:paraId="3DDD3ED0">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本文件规定了面向车联网安全类、效率类和服务类等应用场景的基于高精度定位的总体技术要求，包括车联网应用场景需求、定位系统架构以及包括</w:t>
            </w:r>
            <w:r>
              <w:rPr>
                <w:rFonts w:ascii="Times New Roman" w:hAnsi="Times New Roman" w:eastAsia="仿宋_GB2312"/>
                <w:color w:val="000000"/>
                <w:sz w:val="21"/>
                <w:szCs w:val="21"/>
              </w:rPr>
              <w:t>GNSS定位、5G网络定位、直通链路定位、传感器与高精度地图匹配、路侧感知定位等定位方式的技术要求</w:t>
            </w:r>
          </w:p>
          <w:p w14:paraId="59F0254B">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本文件适用于面向车联网应用场景的高精度定位系统设计</w:t>
            </w:r>
          </w:p>
        </w:tc>
        <w:tc>
          <w:tcPr>
            <w:tcW w:w="1625" w:type="dxa"/>
            <w:noWrap w:val="0"/>
            <w:vAlign w:val="top"/>
          </w:tcPr>
          <w:p w14:paraId="686A8022">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793E6A48">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042E8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75FDD02">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0360642A">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6059.1-2024</w:t>
            </w:r>
          </w:p>
        </w:tc>
        <w:tc>
          <w:tcPr>
            <w:tcW w:w="2519" w:type="dxa"/>
            <w:noWrap w:val="0"/>
            <w:vAlign w:val="top"/>
          </w:tcPr>
          <w:p w14:paraId="29AAB434">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量子密钥分发（QKD）设备安全要求 第1部分：基于诱骗态BB84协议的QKD设备</w:t>
            </w:r>
          </w:p>
        </w:tc>
        <w:tc>
          <w:tcPr>
            <w:tcW w:w="6411" w:type="dxa"/>
            <w:noWrap w:val="0"/>
            <w:vAlign w:val="top"/>
          </w:tcPr>
          <w:p w14:paraId="6E3D7352">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本文件规定了基于诱骗态</w:t>
            </w:r>
            <w:r>
              <w:rPr>
                <w:rFonts w:ascii="Times New Roman" w:hAnsi="Times New Roman" w:eastAsia="仿宋_GB2312"/>
                <w:color w:val="000000"/>
                <w:sz w:val="21"/>
                <w:szCs w:val="21"/>
              </w:rPr>
              <w:t>BB84协议的量子密钥分发（QKD）设备部署的物理环境要求以及设备的QKD协议实现安全性要求、设备管理功能安全性要求与量子安全性要求</w:t>
            </w:r>
          </w:p>
          <w:p w14:paraId="2CFE6236">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本文件适用于量子保密通信网络中的基于诱骗态</w:t>
            </w:r>
            <w:r>
              <w:rPr>
                <w:rFonts w:ascii="Times New Roman" w:hAnsi="Times New Roman" w:eastAsia="仿宋_GB2312"/>
                <w:color w:val="000000"/>
                <w:sz w:val="21"/>
                <w:szCs w:val="21"/>
              </w:rPr>
              <w:t>BB84协议的量子密钥分发（QKD）设备设计、研发、生产和检验</w:t>
            </w:r>
          </w:p>
        </w:tc>
        <w:tc>
          <w:tcPr>
            <w:tcW w:w="1625" w:type="dxa"/>
            <w:noWrap w:val="0"/>
            <w:vAlign w:val="top"/>
          </w:tcPr>
          <w:p w14:paraId="12F671B8">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4218B451">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49F63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E476E52">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7B506181">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6060-2024</w:t>
            </w:r>
          </w:p>
        </w:tc>
        <w:tc>
          <w:tcPr>
            <w:tcW w:w="2519" w:type="dxa"/>
            <w:noWrap w:val="0"/>
            <w:vAlign w:val="top"/>
          </w:tcPr>
          <w:p w14:paraId="21EF914E">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量子密钥分发（QKD）网络 Kq接口技术要求</w:t>
            </w:r>
          </w:p>
        </w:tc>
        <w:tc>
          <w:tcPr>
            <w:tcW w:w="6411" w:type="dxa"/>
            <w:noWrap w:val="0"/>
            <w:vAlign w:val="top"/>
          </w:tcPr>
          <w:p w14:paraId="3B3ACE82">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本文件规定了量子密钥分发（</w:t>
            </w:r>
            <w:r>
              <w:rPr>
                <w:rFonts w:ascii="Times New Roman" w:hAnsi="Times New Roman" w:eastAsia="仿宋_GB2312"/>
                <w:color w:val="000000"/>
                <w:sz w:val="21"/>
                <w:szCs w:val="21"/>
              </w:rPr>
              <w:t>QKD）网络中密钥管理器（KM）与QKD设备间Kq-1和Kq-2接口的技术要求</w:t>
            </w:r>
            <w:r>
              <w:rPr>
                <w:rFonts w:hint="eastAsia" w:ascii="Times New Roman" w:hAnsi="Times New Roman" w:eastAsia="仿宋_GB2312"/>
                <w:color w:val="000000"/>
                <w:sz w:val="21"/>
                <w:szCs w:val="21"/>
                <w:lang w:eastAsia="zh-CN"/>
              </w:rPr>
              <w:t>，</w:t>
            </w:r>
            <w:r>
              <w:rPr>
                <w:rFonts w:ascii="Times New Roman" w:hAnsi="Times New Roman" w:eastAsia="仿宋_GB2312"/>
                <w:color w:val="000000"/>
                <w:sz w:val="21"/>
                <w:szCs w:val="21"/>
              </w:rPr>
              <w:t>包括接口的操作要求、通信方式、业务交互流程、基本安全要求、接口功能和接口消息说明</w:t>
            </w:r>
          </w:p>
          <w:p w14:paraId="590F8B68">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本文件适用于量子密钥分发（</w:t>
            </w:r>
            <w:r>
              <w:rPr>
                <w:rFonts w:ascii="Times New Roman" w:hAnsi="Times New Roman" w:eastAsia="仿宋_GB2312"/>
                <w:color w:val="000000"/>
                <w:sz w:val="21"/>
                <w:szCs w:val="21"/>
              </w:rPr>
              <w:t>QKD）网络中Kq接口的设计与开发</w:t>
            </w:r>
          </w:p>
        </w:tc>
        <w:tc>
          <w:tcPr>
            <w:tcW w:w="1625" w:type="dxa"/>
            <w:noWrap w:val="0"/>
            <w:vAlign w:val="top"/>
          </w:tcPr>
          <w:p w14:paraId="545DD7A2">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2AB89BF9">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69422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97AF6D3">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5BF99560">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3907.5-2024</w:t>
            </w:r>
          </w:p>
        </w:tc>
        <w:tc>
          <w:tcPr>
            <w:tcW w:w="2519" w:type="dxa"/>
            <w:noWrap w:val="0"/>
            <w:vAlign w:val="top"/>
          </w:tcPr>
          <w:p w14:paraId="656C2A1D">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基于BB84协议的量子密钥分发（QKD）用关键器件和模块 第5部分：量子态编码模块</w:t>
            </w:r>
          </w:p>
        </w:tc>
        <w:tc>
          <w:tcPr>
            <w:tcW w:w="6411" w:type="dxa"/>
            <w:noWrap w:val="0"/>
            <w:vAlign w:val="top"/>
          </w:tcPr>
          <w:p w14:paraId="5555E01C">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本文件界定了基于</w:t>
            </w:r>
            <w:r>
              <w:rPr>
                <w:rFonts w:ascii="Times New Roman" w:hAnsi="Times New Roman" w:eastAsia="仿宋_GB2312"/>
                <w:color w:val="000000"/>
                <w:sz w:val="21"/>
                <w:szCs w:val="21"/>
              </w:rPr>
              <w:t>BB84协议的量子密钥分发（QKD）用量子态编码模块的术语定义和缩略语</w:t>
            </w:r>
            <w:r>
              <w:rPr>
                <w:rFonts w:hint="eastAsia" w:ascii="Times New Roman" w:hAnsi="Times New Roman" w:eastAsia="仿宋_GB2312"/>
                <w:color w:val="000000"/>
                <w:sz w:val="21"/>
                <w:szCs w:val="21"/>
                <w:lang w:eastAsia="zh-CN"/>
              </w:rPr>
              <w:t>，</w:t>
            </w:r>
            <w:r>
              <w:rPr>
                <w:rFonts w:ascii="Times New Roman" w:hAnsi="Times New Roman" w:eastAsia="仿宋_GB2312"/>
                <w:color w:val="000000"/>
                <w:sz w:val="21"/>
                <w:szCs w:val="21"/>
              </w:rPr>
              <w:t>规定了量子态编码模块的光纤要求、光电特性要求、工作条件以及外观要求等技术要求</w:t>
            </w:r>
            <w:r>
              <w:rPr>
                <w:rFonts w:hint="eastAsia" w:ascii="Times New Roman" w:hAnsi="Times New Roman" w:eastAsia="仿宋_GB2312"/>
                <w:color w:val="000000"/>
                <w:sz w:val="21"/>
                <w:szCs w:val="21"/>
                <w:lang w:eastAsia="zh-CN"/>
              </w:rPr>
              <w:t>，</w:t>
            </w:r>
            <w:r>
              <w:rPr>
                <w:rFonts w:ascii="Times New Roman" w:hAnsi="Times New Roman" w:eastAsia="仿宋_GB2312"/>
                <w:color w:val="000000"/>
                <w:sz w:val="21"/>
                <w:szCs w:val="21"/>
              </w:rPr>
              <w:t>描述了相应的测试方法，规定了检验规则、标志、包装、运输和贮存等要求</w:t>
            </w:r>
          </w:p>
          <w:p w14:paraId="13860C61">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本文件适用于基于</w:t>
            </w:r>
            <w:r>
              <w:rPr>
                <w:rFonts w:ascii="Times New Roman" w:hAnsi="Times New Roman" w:eastAsia="仿宋_GB2312"/>
                <w:color w:val="000000"/>
                <w:sz w:val="21"/>
                <w:szCs w:val="21"/>
              </w:rPr>
              <w:t>BB84协议的量子密钥分发（QKD）用量子态编码模块的设计、开发、生产和检验</w:t>
            </w:r>
          </w:p>
        </w:tc>
        <w:tc>
          <w:tcPr>
            <w:tcW w:w="1625" w:type="dxa"/>
            <w:noWrap w:val="0"/>
            <w:vAlign w:val="top"/>
          </w:tcPr>
          <w:p w14:paraId="14213430">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2077A316">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48DF1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359B731">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81F40EE">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3907.6-2024</w:t>
            </w:r>
          </w:p>
        </w:tc>
        <w:tc>
          <w:tcPr>
            <w:tcW w:w="2519" w:type="dxa"/>
            <w:noWrap w:val="0"/>
            <w:vAlign w:val="top"/>
          </w:tcPr>
          <w:p w14:paraId="38D0CDF1">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基于BB84协议的量子密钥分发（QKD）用关键器件和模块 第6部分：量子态解码模块</w:t>
            </w:r>
          </w:p>
        </w:tc>
        <w:tc>
          <w:tcPr>
            <w:tcW w:w="6411" w:type="dxa"/>
            <w:noWrap w:val="0"/>
            <w:vAlign w:val="top"/>
          </w:tcPr>
          <w:p w14:paraId="02C118E5">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本文件界定了基于</w:t>
            </w:r>
            <w:r>
              <w:rPr>
                <w:rFonts w:ascii="Times New Roman" w:hAnsi="Times New Roman" w:eastAsia="仿宋_GB2312"/>
                <w:color w:val="000000"/>
                <w:sz w:val="21"/>
                <w:szCs w:val="21"/>
              </w:rPr>
              <w:t>BB84协议的量子密钥分发（QKD）用量子态解码模块的术语定义和缩略语</w:t>
            </w:r>
            <w:r>
              <w:rPr>
                <w:rFonts w:hint="eastAsia" w:ascii="Times New Roman" w:hAnsi="Times New Roman" w:eastAsia="仿宋_GB2312"/>
                <w:color w:val="000000"/>
                <w:sz w:val="21"/>
                <w:szCs w:val="21"/>
                <w:lang w:eastAsia="zh-CN"/>
              </w:rPr>
              <w:t>，</w:t>
            </w:r>
            <w:r>
              <w:rPr>
                <w:rFonts w:ascii="Times New Roman" w:hAnsi="Times New Roman" w:eastAsia="仿宋_GB2312"/>
                <w:color w:val="000000"/>
                <w:sz w:val="21"/>
                <w:szCs w:val="21"/>
              </w:rPr>
              <w:t>规定了量子态解码模块的光纤要求、光电特性要求、工作条件以及外观要求等技术要求</w:t>
            </w:r>
            <w:r>
              <w:rPr>
                <w:rFonts w:hint="eastAsia" w:ascii="Times New Roman" w:hAnsi="Times New Roman" w:eastAsia="仿宋_GB2312"/>
                <w:color w:val="000000"/>
                <w:sz w:val="21"/>
                <w:szCs w:val="21"/>
                <w:lang w:eastAsia="zh-CN"/>
              </w:rPr>
              <w:t>，</w:t>
            </w:r>
            <w:r>
              <w:rPr>
                <w:rFonts w:ascii="Times New Roman" w:hAnsi="Times New Roman" w:eastAsia="仿宋_GB2312"/>
                <w:color w:val="000000"/>
                <w:sz w:val="21"/>
                <w:szCs w:val="21"/>
              </w:rPr>
              <w:t>描述了相应的测试方法，规定了检验规则、标志、包装、运输和贮存等要求</w:t>
            </w:r>
          </w:p>
          <w:p w14:paraId="1EE6A847">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本文件适用于基于</w:t>
            </w:r>
            <w:r>
              <w:rPr>
                <w:rFonts w:ascii="Times New Roman" w:hAnsi="Times New Roman" w:eastAsia="仿宋_GB2312"/>
                <w:color w:val="000000"/>
                <w:sz w:val="21"/>
                <w:szCs w:val="21"/>
              </w:rPr>
              <w:t>BB84协议的量子密钥分发（QKD）用量子态解码模块的设计、开发、生产和检验</w:t>
            </w:r>
          </w:p>
        </w:tc>
        <w:tc>
          <w:tcPr>
            <w:tcW w:w="1625" w:type="dxa"/>
            <w:noWrap w:val="0"/>
            <w:vAlign w:val="top"/>
          </w:tcPr>
          <w:p w14:paraId="7DB56008">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5BF1B786">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086CB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6D6F9C6">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080F4F90">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4302.2-2024</w:t>
            </w:r>
          </w:p>
        </w:tc>
        <w:tc>
          <w:tcPr>
            <w:tcW w:w="2519" w:type="dxa"/>
            <w:noWrap w:val="0"/>
            <w:vAlign w:val="top"/>
          </w:tcPr>
          <w:p w14:paraId="3882A05F">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量子密钥分发（QKD）网络 网络管理技术要求 第2部分：EMS-NMS接口功能</w:t>
            </w:r>
          </w:p>
        </w:tc>
        <w:tc>
          <w:tcPr>
            <w:tcW w:w="6411" w:type="dxa"/>
            <w:noWrap w:val="0"/>
            <w:vAlign w:val="top"/>
          </w:tcPr>
          <w:p w14:paraId="098CF6A6">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本文件规定了量子密钥分发（</w:t>
            </w:r>
            <w:r>
              <w:rPr>
                <w:rFonts w:ascii="Times New Roman" w:hAnsi="Times New Roman" w:eastAsia="仿宋_GB2312"/>
                <w:color w:val="000000"/>
                <w:sz w:val="21"/>
                <w:szCs w:val="21"/>
              </w:rPr>
              <w:t>QKD）网络中网元管理系统</w:t>
            </w:r>
            <w:r>
              <w:rPr>
                <w:rFonts w:hint="eastAsia" w:ascii="Times New Roman" w:hAnsi="Times New Roman" w:eastAsia="仿宋_GB2312"/>
                <w:color w:val="000000"/>
                <w:sz w:val="21"/>
                <w:szCs w:val="21"/>
                <w:lang w:eastAsia="zh-CN"/>
              </w:rPr>
              <w:t>（</w:t>
            </w:r>
            <w:r>
              <w:rPr>
                <w:rFonts w:ascii="Times New Roman" w:hAnsi="Times New Roman" w:eastAsia="仿宋_GB2312"/>
                <w:color w:val="000000"/>
                <w:sz w:val="21"/>
                <w:szCs w:val="21"/>
              </w:rPr>
              <w:t>EMS</w:t>
            </w:r>
            <w:r>
              <w:rPr>
                <w:rFonts w:hint="eastAsia" w:ascii="Times New Roman" w:hAnsi="Times New Roman" w:eastAsia="仿宋_GB2312"/>
                <w:color w:val="000000"/>
                <w:sz w:val="21"/>
                <w:szCs w:val="21"/>
                <w:lang w:eastAsia="zh-CN"/>
              </w:rPr>
              <w:t>）</w:t>
            </w:r>
            <w:r>
              <w:rPr>
                <w:rFonts w:hint="eastAsia" w:ascii="Times New Roman" w:hAnsi="Times New Roman" w:eastAsia="仿宋_GB2312"/>
                <w:color w:val="000000"/>
                <w:sz w:val="21"/>
                <w:szCs w:val="21"/>
                <w:lang w:val="en-US" w:eastAsia="zh-CN"/>
              </w:rPr>
              <w:t>与</w:t>
            </w:r>
            <w:r>
              <w:rPr>
                <w:rFonts w:ascii="Times New Roman" w:hAnsi="Times New Roman" w:eastAsia="仿宋_GB2312"/>
                <w:color w:val="000000"/>
                <w:sz w:val="21"/>
                <w:szCs w:val="21"/>
              </w:rPr>
              <w:t>网络管理系统</w:t>
            </w:r>
            <w:r>
              <w:rPr>
                <w:rFonts w:hint="eastAsia" w:ascii="Times New Roman" w:hAnsi="Times New Roman" w:eastAsia="仿宋_GB2312"/>
                <w:color w:val="000000"/>
                <w:sz w:val="21"/>
                <w:szCs w:val="21"/>
                <w:lang w:eastAsia="zh-CN"/>
              </w:rPr>
              <w:t>（</w:t>
            </w:r>
            <w:r>
              <w:rPr>
                <w:rFonts w:ascii="Times New Roman" w:hAnsi="Times New Roman" w:eastAsia="仿宋_GB2312"/>
                <w:color w:val="000000"/>
                <w:sz w:val="21"/>
                <w:szCs w:val="21"/>
              </w:rPr>
              <w:t>NMS</w:t>
            </w:r>
            <w:r>
              <w:rPr>
                <w:rFonts w:hint="eastAsia" w:ascii="Times New Roman" w:hAnsi="Times New Roman" w:eastAsia="仿宋_GB2312"/>
                <w:color w:val="000000"/>
                <w:sz w:val="21"/>
                <w:szCs w:val="21"/>
                <w:lang w:eastAsia="zh-CN"/>
              </w:rPr>
              <w:t>）</w:t>
            </w:r>
            <w:r>
              <w:rPr>
                <w:rFonts w:ascii="Times New Roman" w:hAnsi="Times New Roman" w:eastAsia="仿宋_GB2312"/>
                <w:color w:val="000000"/>
                <w:sz w:val="21"/>
                <w:szCs w:val="21"/>
              </w:rPr>
              <w:t>之间的接口功能要求，包括配置管理、故障管理、性能管理和安全管理等功能要求</w:t>
            </w:r>
          </w:p>
          <w:p w14:paraId="7C663373">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本文件适用于量子密钥分发（</w:t>
            </w:r>
            <w:r>
              <w:rPr>
                <w:rFonts w:ascii="Times New Roman" w:hAnsi="Times New Roman" w:eastAsia="仿宋_GB2312"/>
                <w:color w:val="000000"/>
                <w:sz w:val="21"/>
                <w:szCs w:val="21"/>
              </w:rPr>
              <w:t>QKD）网络的网元管理系统（EMS）与网络管理系统（NMS）之间的接口研发、测试和运维</w:t>
            </w:r>
          </w:p>
        </w:tc>
        <w:tc>
          <w:tcPr>
            <w:tcW w:w="1625" w:type="dxa"/>
            <w:noWrap w:val="0"/>
            <w:vAlign w:val="top"/>
          </w:tcPr>
          <w:p w14:paraId="6CDD3AC3">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1FFF3D69">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6A898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EE6EDCB">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105453E6">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4302.3-2024</w:t>
            </w:r>
          </w:p>
        </w:tc>
        <w:tc>
          <w:tcPr>
            <w:tcW w:w="2519" w:type="dxa"/>
            <w:noWrap w:val="0"/>
            <w:vAlign w:val="top"/>
          </w:tcPr>
          <w:p w14:paraId="335031D4">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量子密钥分发（QKD）网络 网络管理技术要求 第3部分：EMS-NMS接口通用信息模型</w:t>
            </w:r>
          </w:p>
        </w:tc>
        <w:tc>
          <w:tcPr>
            <w:tcW w:w="6411" w:type="dxa"/>
            <w:noWrap w:val="0"/>
            <w:vAlign w:val="top"/>
          </w:tcPr>
          <w:p w14:paraId="38DDE45C">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本文件规定了量子密钥分发（</w:t>
            </w:r>
            <w:r>
              <w:rPr>
                <w:rFonts w:ascii="Times New Roman" w:hAnsi="Times New Roman" w:eastAsia="仿宋_GB2312"/>
                <w:color w:val="000000"/>
                <w:sz w:val="21"/>
                <w:szCs w:val="21"/>
              </w:rPr>
              <w:t>QKD）网络管理体系中网元管理系统</w:t>
            </w:r>
            <w:r>
              <w:rPr>
                <w:rFonts w:hint="eastAsia" w:ascii="Times New Roman" w:hAnsi="Times New Roman" w:eastAsia="仿宋_GB2312"/>
                <w:color w:val="000000"/>
                <w:sz w:val="21"/>
                <w:szCs w:val="21"/>
                <w:lang w:eastAsia="zh-CN"/>
              </w:rPr>
              <w:t>（</w:t>
            </w:r>
            <w:r>
              <w:rPr>
                <w:rFonts w:ascii="Times New Roman" w:hAnsi="Times New Roman" w:eastAsia="仿宋_GB2312"/>
                <w:color w:val="000000"/>
                <w:sz w:val="21"/>
                <w:szCs w:val="21"/>
              </w:rPr>
              <w:t>EMS</w:t>
            </w:r>
            <w:r>
              <w:rPr>
                <w:rFonts w:hint="eastAsia" w:ascii="Times New Roman" w:hAnsi="Times New Roman" w:eastAsia="仿宋_GB2312"/>
                <w:color w:val="000000"/>
                <w:sz w:val="21"/>
                <w:szCs w:val="21"/>
                <w:lang w:eastAsia="zh-CN"/>
              </w:rPr>
              <w:t>）</w:t>
            </w:r>
            <w:r>
              <w:rPr>
                <w:rFonts w:hint="eastAsia" w:ascii="Times New Roman" w:hAnsi="Times New Roman" w:eastAsia="仿宋_GB2312"/>
                <w:color w:val="000000"/>
                <w:sz w:val="21"/>
                <w:szCs w:val="21"/>
                <w:lang w:val="en-US" w:eastAsia="zh-CN"/>
              </w:rPr>
              <w:t>与</w:t>
            </w:r>
            <w:r>
              <w:rPr>
                <w:rFonts w:ascii="Times New Roman" w:hAnsi="Times New Roman" w:eastAsia="仿宋_GB2312"/>
                <w:color w:val="000000"/>
                <w:sz w:val="21"/>
                <w:szCs w:val="21"/>
              </w:rPr>
              <w:t>网络管理系统</w:t>
            </w:r>
            <w:r>
              <w:rPr>
                <w:rFonts w:hint="eastAsia" w:ascii="Times New Roman" w:hAnsi="Times New Roman" w:eastAsia="仿宋_GB2312"/>
                <w:color w:val="000000"/>
                <w:sz w:val="21"/>
                <w:szCs w:val="21"/>
                <w:lang w:eastAsia="zh-CN"/>
              </w:rPr>
              <w:t>（</w:t>
            </w:r>
            <w:r>
              <w:rPr>
                <w:rFonts w:ascii="Times New Roman" w:hAnsi="Times New Roman" w:eastAsia="仿宋_GB2312"/>
                <w:color w:val="000000"/>
                <w:sz w:val="21"/>
                <w:szCs w:val="21"/>
              </w:rPr>
              <w:t>NMS</w:t>
            </w:r>
            <w:r>
              <w:rPr>
                <w:rFonts w:hint="eastAsia" w:ascii="Times New Roman" w:hAnsi="Times New Roman" w:eastAsia="仿宋_GB2312"/>
                <w:color w:val="000000"/>
                <w:sz w:val="21"/>
                <w:szCs w:val="21"/>
                <w:lang w:eastAsia="zh-CN"/>
              </w:rPr>
              <w:t>）</w:t>
            </w:r>
            <w:r>
              <w:rPr>
                <w:rFonts w:ascii="Times New Roman" w:hAnsi="Times New Roman" w:eastAsia="仿宋_GB2312"/>
                <w:color w:val="000000"/>
                <w:sz w:val="21"/>
                <w:szCs w:val="21"/>
              </w:rPr>
              <w:t>之间的接口通用信息模型和功能</w:t>
            </w:r>
          </w:p>
          <w:p w14:paraId="4FCD1049">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本文件适用于量子密钥分发（</w:t>
            </w:r>
            <w:r>
              <w:rPr>
                <w:rFonts w:ascii="Times New Roman" w:hAnsi="Times New Roman" w:eastAsia="仿宋_GB2312"/>
                <w:color w:val="000000"/>
                <w:sz w:val="21"/>
                <w:szCs w:val="21"/>
              </w:rPr>
              <w:t>QKD）网络的网元管理系统（EMS）与网络管理系统（NMS）之间的接口研发、测试和运维</w:t>
            </w:r>
          </w:p>
        </w:tc>
        <w:tc>
          <w:tcPr>
            <w:tcW w:w="1625" w:type="dxa"/>
            <w:noWrap w:val="0"/>
            <w:vAlign w:val="top"/>
          </w:tcPr>
          <w:p w14:paraId="67A02128">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5D7FED4C">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2395F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B72E19D">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511FA9F5">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2713-2024</w:t>
            </w:r>
          </w:p>
        </w:tc>
        <w:tc>
          <w:tcPr>
            <w:tcW w:w="2519" w:type="dxa"/>
            <w:noWrap w:val="0"/>
            <w:vAlign w:val="top"/>
          </w:tcPr>
          <w:p w14:paraId="31732C79">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光传送网（OTN）保护技术要求</w:t>
            </w:r>
          </w:p>
        </w:tc>
        <w:tc>
          <w:tcPr>
            <w:tcW w:w="6411" w:type="dxa"/>
            <w:noWrap w:val="0"/>
            <w:vAlign w:val="top"/>
          </w:tcPr>
          <w:p w14:paraId="3E535B25">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本文件规范了光传送网（</w:t>
            </w:r>
            <w:r>
              <w:rPr>
                <w:rFonts w:ascii="Times New Roman" w:hAnsi="Times New Roman" w:eastAsia="仿宋_GB2312"/>
                <w:color w:val="000000"/>
                <w:sz w:val="21"/>
                <w:szCs w:val="21"/>
              </w:rPr>
              <w:t>OTN）保护的技术要求，包括光传送网（OTN）保护技术分类、通用功能要求、电层保护技术要求、光层保护技术要求、多层保护技术协调机制等</w:t>
            </w:r>
          </w:p>
          <w:p w14:paraId="0FEA2B4B">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本文件适用于光传送网（</w:t>
            </w:r>
            <w:r>
              <w:rPr>
                <w:rFonts w:ascii="Times New Roman" w:hAnsi="Times New Roman" w:eastAsia="仿宋_GB2312"/>
                <w:color w:val="000000"/>
                <w:sz w:val="21"/>
                <w:szCs w:val="21"/>
              </w:rPr>
              <w:t>OTN）保护方案的规划、开发、部署和运维</w:t>
            </w:r>
          </w:p>
        </w:tc>
        <w:tc>
          <w:tcPr>
            <w:tcW w:w="1625" w:type="dxa"/>
            <w:noWrap w:val="0"/>
            <w:vAlign w:val="top"/>
          </w:tcPr>
          <w:p w14:paraId="10618FA8">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r>
              <w:rPr>
                <w:rFonts w:ascii="Times New Roman" w:hAnsi="Times New Roman" w:eastAsia="仿宋_GB2312"/>
                <w:color w:val="000000"/>
                <w:sz w:val="21"/>
                <w:szCs w:val="21"/>
              </w:rPr>
              <w:t>YD/T 2713</w:t>
            </w:r>
            <w:r>
              <w:rPr>
                <w:rFonts w:hint="eastAsia" w:ascii="Times New Roman" w:hAnsi="Times New Roman" w:eastAsia="仿宋_GB2312"/>
                <w:color w:val="000000"/>
                <w:sz w:val="21"/>
                <w:szCs w:val="21"/>
                <w:lang w:val="en-US" w:eastAsia="zh-CN"/>
              </w:rPr>
              <w:t>-</w:t>
            </w:r>
            <w:r>
              <w:rPr>
                <w:rFonts w:ascii="Times New Roman" w:hAnsi="Times New Roman" w:eastAsia="仿宋_GB2312"/>
                <w:color w:val="000000"/>
                <w:sz w:val="21"/>
                <w:szCs w:val="21"/>
              </w:rPr>
              <w:t>2014</w:t>
            </w:r>
          </w:p>
        </w:tc>
        <w:tc>
          <w:tcPr>
            <w:tcW w:w="1649" w:type="dxa"/>
            <w:noWrap w:val="0"/>
            <w:vAlign w:val="top"/>
          </w:tcPr>
          <w:p w14:paraId="495393A0">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5995F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1467658">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C4AA260">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6061-2024</w:t>
            </w:r>
          </w:p>
        </w:tc>
        <w:tc>
          <w:tcPr>
            <w:tcW w:w="2519" w:type="dxa"/>
            <w:noWrap w:val="0"/>
            <w:vAlign w:val="top"/>
          </w:tcPr>
          <w:p w14:paraId="0A4F2814">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切片分组网络（SPN）细粒度承载测试方法</w:t>
            </w:r>
          </w:p>
        </w:tc>
        <w:tc>
          <w:tcPr>
            <w:tcW w:w="6411" w:type="dxa"/>
            <w:noWrap w:val="0"/>
            <w:vAlign w:val="top"/>
          </w:tcPr>
          <w:p w14:paraId="7FD69613">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本文件描述了切片分组网络（</w:t>
            </w:r>
            <w:r>
              <w:rPr>
                <w:rFonts w:ascii="Times New Roman" w:hAnsi="Times New Roman" w:eastAsia="仿宋_GB2312"/>
                <w:color w:val="000000"/>
                <w:sz w:val="21"/>
                <w:szCs w:val="21"/>
              </w:rPr>
              <w:t>SPN）细粒度承载测试方法，包括细粒度通道的交叉功能、业务承载功能和性能、隔离能力、操作维护管理功能、保护功能、无损带宽调整功能、同步接口功能和性能等测试方法</w:t>
            </w:r>
          </w:p>
          <w:p w14:paraId="428E863A">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本文件适用于支持细粒度技术的</w:t>
            </w:r>
            <w:r>
              <w:rPr>
                <w:rFonts w:ascii="Times New Roman" w:hAnsi="Times New Roman" w:eastAsia="仿宋_GB2312"/>
                <w:color w:val="000000"/>
                <w:sz w:val="21"/>
                <w:szCs w:val="21"/>
              </w:rPr>
              <w:t>SPN设备的研发、测试和应用</w:t>
            </w:r>
          </w:p>
        </w:tc>
        <w:tc>
          <w:tcPr>
            <w:tcW w:w="1625" w:type="dxa"/>
            <w:noWrap w:val="0"/>
            <w:vAlign w:val="top"/>
          </w:tcPr>
          <w:p w14:paraId="607CE245">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7EEF3AFF">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45996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2F47E92">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5F01C833">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6062-2024</w:t>
            </w:r>
          </w:p>
        </w:tc>
        <w:tc>
          <w:tcPr>
            <w:tcW w:w="2519" w:type="dxa"/>
            <w:noWrap w:val="0"/>
            <w:vAlign w:val="top"/>
          </w:tcPr>
          <w:p w14:paraId="635B52F0">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面向小微企业办公场景的宽带业务体验和网络性能评价指标体系</w:t>
            </w:r>
          </w:p>
        </w:tc>
        <w:tc>
          <w:tcPr>
            <w:tcW w:w="6411" w:type="dxa"/>
            <w:noWrap w:val="0"/>
            <w:vAlign w:val="top"/>
          </w:tcPr>
          <w:p w14:paraId="65AE5968">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本文件规定了面向小微企业办公场景的宽带业务体验和网络性能指标评价体系，包括企业内宽带业务体验和网络性能指标、评分方法、分级分类方法</w:t>
            </w:r>
          </w:p>
          <w:p w14:paraId="6B3B718D">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本文件适用于对小微企业办公场景的宽带业务体验及网络性能进行评价</w:t>
            </w:r>
          </w:p>
        </w:tc>
        <w:tc>
          <w:tcPr>
            <w:tcW w:w="1625" w:type="dxa"/>
            <w:noWrap w:val="0"/>
            <w:vAlign w:val="top"/>
          </w:tcPr>
          <w:p w14:paraId="101EA921">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44DB152F">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4D286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1032892">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7E140822">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6063-2024</w:t>
            </w:r>
          </w:p>
        </w:tc>
        <w:tc>
          <w:tcPr>
            <w:tcW w:w="2519" w:type="dxa"/>
            <w:noWrap w:val="0"/>
            <w:vAlign w:val="top"/>
          </w:tcPr>
          <w:p w14:paraId="75576773">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面向小微企业办公场景的宽带业务体验和网络性能指标测试方法</w:t>
            </w:r>
          </w:p>
        </w:tc>
        <w:tc>
          <w:tcPr>
            <w:tcW w:w="6411" w:type="dxa"/>
            <w:noWrap w:val="0"/>
            <w:vAlign w:val="top"/>
          </w:tcPr>
          <w:p w14:paraId="32F42216">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本文件描述了面向小微企业办公场景的宽带业务体验和网络性能指标测试方法</w:t>
            </w:r>
            <w:r>
              <w:rPr>
                <w:rFonts w:hint="eastAsia" w:ascii="Times New Roman" w:hAnsi="Times New Roman" w:eastAsia="仿宋_GB2312"/>
                <w:sz w:val="21"/>
              </w:rPr>
              <w:t>，</w:t>
            </w:r>
            <w:r>
              <w:rPr>
                <w:rFonts w:hint="eastAsia" w:ascii="Times New Roman" w:hAnsi="Times New Roman" w:eastAsia="仿宋_GB2312"/>
                <w:color w:val="000000"/>
                <w:sz w:val="21"/>
                <w:szCs w:val="21"/>
              </w:rPr>
              <w:t>包括宽带业务体验测试方法、企业内网络性能指标测试方法等</w:t>
            </w:r>
          </w:p>
          <w:p w14:paraId="0DD2264D">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本文件适用于对小微企业办公场景的宽带业务体验及网络性能进行测试</w:t>
            </w:r>
          </w:p>
        </w:tc>
        <w:tc>
          <w:tcPr>
            <w:tcW w:w="1625" w:type="dxa"/>
            <w:noWrap w:val="0"/>
            <w:vAlign w:val="top"/>
          </w:tcPr>
          <w:p w14:paraId="7D02C701">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73D85D43">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7818C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C3F0EE3">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4A333279">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6064-2024</w:t>
            </w:r>
          </w:p>
        </w:tc>
        <w:tc>
          <w:tcPr>
            <w:tcW w:w="2519" w:type="dxa"/>
            <w:noWrap w:val="0"/>
            <w:vAlign w:val="top"/>
          </w:tcPr>
          <w:p w14:paraId="75164355">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基于公用电信网的宽带客户网络联网技术要求 光纤到房间 应用场景与需求</w:t>
            </w:r>
          </w:p>
        </w:tc>
        <w:tc>
          <w:tcPr>
            <w:tcW w:w="6411" w:type="dxa"/>
            <w:noWrap w:val="0"/>
            <w:vAlign w:val="top"/>
          </w:tcPr>
          <w:p w14:paraId="3311321B">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本文件描述了</w:t>
            </w:r>
            <w:r>
              <w:rPr>
                <w:rFonts w:hint="eastAsia" w:ascii="Times New Roman" w:hAnsi="Times New Roman" w:eastAsia="仿宋_GB2312" w:cs="宋体"/>
                <w:i w:val="0"/>
                <w:iCs w:val="0"/>
                <w:color w:val="000000"/>
                <w:kern w:val="0"/>
                <w:sz w:val="21"/>
                <w:szCs w:val="22"/>
                <w:u w:val="none"/>
                <w:lang w:val="en-US" w:eastAsia="zh-CN" w:bidi="ar"/>
              </w:rPr>
              <w:t>基于公用电信网的</w:t>
            </w:r>
            <w:r>
              <w:rPr>
                <w:rFonts w:hint="eastAsia" w:ascii="Times New Roman" w:hAnsi="Times New Roman" w:eastAsia="仿宋_GB2312"/>
                <w:color w:val="000000"/>
                <w:sz w:val="21"/>
                <w:szCs w:val="21"/>
              </w:rPr>
              <w:t>光纤到房间在家庭和政企网络的应用场景，规定了</w:t>
            </w:r>
            <w:r>
              <w:rPr>
                <w:rFonts w:hint="eastAsia" w:ascii="Times New Roman" w:hAnsi="Times New Roman" w:eastAsia="仿宋_GB2312"/>
                <w:color w:val="000000"/>
                <w:sz w:val="21"/>
                <w:szCs w:val="21"/>
                <w:lang w:val="en-US" w:eastAsia="zh-CN"/>
              </w:rPr>
              <w:t>对应</w:t>
            </w:r>
            <w:r>
              <w:rPr>
                <w:rFonts w:hint="eastAsia" w:ascii="Times New Roman" w:hAnsi="Times New Roman" w:eastAsia="仿宋_GB2312"/>
                <w:color w:val="000000"/>
                <w:sz w:val="21"/>
                <w:szCs w:val="21"/>
              </w:rPr>
              <w:t>场景下的组网要求</w:t>
            </w:r>
          </w:p>
          <w:p w14:paraId="3C69A0B4">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本文件适用于基于公用电信网的光纤到房间网络的设计、开发，包括实现家庭用户场景和政企用户场景</w:t>
            </w:r>
          </w:p>
        </w:tc>
        <w:tc>
          <w:tcPr>
            <w:tcW w:w="1625" w:type="dxa"/>
            <w:noWrap w:val="0"/>
            <w:vAlign w:val="top"/>
          </w:tcPr>
          <w:p w14:paraId="13D30D99">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0A3E5699">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666B4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F190DA4">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7F2E7A2B">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6065-2024</w:t>
            </w:r>
          </w:p>
        </w:tc>
        <w:tc>
          <w:tcPr>
            <w:tcW w:w="2519" w:type="dxa"/>
            <w:noWrap w:val="0"/>
            <w:vAlign w:val="top"/>
          </w:tcPr>
          <w:p w14:paraId="2FB9D7E8">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基于公用电信网的宽带客户网络联网技术要求 通用介质有线联网 安全组网</w:t>
            </w:r>
          </w:p>
        </w:tc>
        <w:tc>
          <w:tcPr>
            <w:tcW w:w="6411" w:type="dxa"/>
            <w:noWrap w:val="0"/>
            <w:vAlign w:val="top"/>
          </w:tcPr>
          <w:p w14:paraId="3FD75630">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w:t>
            </w:r>
            <w:r>
              <w:rPr>
                <w:rFonts w:hint="eastAsia" w:ascii="Times New Roman" w:hAnsi="Times New Roman" w:eastAsia="仿宋_GB2312" w:cs="宋体"/>
                <w:i w:val="0"/>
                <w:iCs w:val="0"/>
                <w:color w:val="000000"/>
                <w:kern w:val="0"/>
                <w:sz w:val="21"/>
                <w:szCs w:val="22"/>
                <w:u w:val="none"/>
                <w:lang w:val="en-US" w:eastAsia="zh-CN" w:bidi="ar"/>
              </w:rPr>
              <w:t>基于公用电信网的</w:t>
            </w:r>
            <w:r>
              <w:rPr>
                <w:rFonts w:hint="eastAsia" w:ascii="Times New Roman" w:hAnsi="Times New Roman" w:eastAsia="仿宋_GB2312"/>
                <w:color w:val="000000"/>
                <w:sz w:val="21"/>
                <w:szCs w:val="21"/>
              </w:rPr>
              <w:t>通用介质有线联网节点建立安全域（SD）并允许其他通用介质有线联网节点加入该SD所需的安全接纳方法</w:t>
            </w:r>
            <w:r>
              <w:rPr>
                <w:rFonts w:hint="eastAsia" w:ascii="Times New Roman" w:hAnsi="Times New Roman" w:eastAsia="仿宋_GB2312"/>
                <w:color w:val="000000"/>
                <w:sz w:val="21"/>
                <w:szCs w:val="21"/>
                <w:lang w:eastAsia="zh-CN"/>
              </w:rPr>
              <w:t>，</w:t>
            </w:r>
            <w:r>
              <w:rPr>
                <w:rFonts w:hint="eastAsia" w:ascii="Times New Roman" w:hAnsi="Times New Roman" w:eastAsia="仿宋_GB2312"/>
                <w:color w:val="000000"/>
                <w:sz w:val="21"/>
                <w:szCs w:val="21"/>
              </w:rPr>
              <w:t>包括基于媒质访问控制（MAC）授权的安全接纳、按钮式配对、自动配对和基于密码短语的安全接纳。本文件还明确了选择适当安全接纳方法的机制，以及不同安全接纳方法之间的交互机制</w:t>
            </w:r>
          </w:p>
          <w:p w14:paraId="67B3A4D3">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本文件适用于公众电信网环境下的通用介质有线联网节点的开发、生产和测试，专用电信网也可参照使用</w:t>
            </w:r>
          </w:p>
        </w:tc>
        <w:tc>
          <w:tcPr>
            <w:tcW w:w="1625" w:type="dxa"/>
            <w:noWrap w:val="0"/>
            <w:vAlign w:val="top"/>
          </w:tcPr>
          <w:p w14:paraId="6977DA63">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79172C22">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r>
              <w:rPr>
                <w:rFonts w:ascii="Times New Roman" w:hAnsi="Times New Roman" w:eastAsia="仿宋_GB2312" w:cs="宋体"/>
                <w:sz w:val="21"/>
                <w:szCs w:val="21"/>
              </w:rPr>
              <w:t>ITU-T G.9978(2018),</w:t>
            </w:r>
            <w:r>
              <w:rPr>
                <w:rFonts w:hint="eastAsia" w:ascii="Times New Roman" w:hAnsi="Times New Roman" w:eastAsia="仿宋_GB2312" w:cs="宋体"/>
                <w:sz w:val="21"/>
                <w:szCs w:val="21"/>
                <w:lang w:val="en-US" w:eastAsia="zh-CN"/>
              </w:rPr>
              <w:t xml:space="preserve"> </w:t>
            </w:r>
            <w:r>
              <w:rPr>
                <w:rFonts w:ascii="Times New Roman" w:hAnsi="Times New Roman" w:eastAsia="仿宋_GB2312" w:cs="宋体"/>
                <w:sz w:val="21"/>
                <w:szCs w:val="21"/>
              </w:rPr>
              <w:t>MOD</w:t>
            </w:r>
          </w:p>
        </w:tc>
      </w:tr>
      <w:tr w14:paraId="280F6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DC3B713">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5CB3E597">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6066-2024</w:t>
            </w:r>
          </w:p>
        </w:tc>
        <w:tc>
          <w:tcPr>
            <w:tcW w:w="2519" w:type="dxa"/>
            <w:noWrap w:val="0"/>
            <w:vAlign w:val="top"/>
          </w:tcPr>
          <w:p w14:paraId="07D307F7">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IP网络层次化切片技术要求</w:t>
            </w:r>
          </w:p>
        </w:tc>
        <w:tc>
          <w:tcPr>
            <w:tcW w:w="6411" w:type="dxa"/>
            <w:noWrap w:val="0"/>
            <w:vAlign w:val="top"/>
          </w:tcPr>
          <w:p w14:paraId="782F851C">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本文件规范了</w:t>
            </w:r>
            <w:r>
              <w:rPr>
                <w:rFonts w:ascii="Times New Roman" w:hAnsi="Times New Roman" w:eastAsia="仿宋_GB2312"/>
                <w:color w:val="000000"/>
                <w:sz w:val="21"/>
                <w:szCs w:val="21"/>
              </w:rPr>
              <w:t>IP网络层次化切片技术要求，包括应用场景、架构和总体方案、控制面协议处理流程和功能要求、转发面处理流程和功能要求、操作维护管理以及可靠性要求</w:t>
            </w:r>
          </w:p>
          <w:p w14:paraId="56FF89E5">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本文件适用于具有网络层次化切片能力的</w:t>
            </w:r>
            <w:r>
              <w:rPr>
                <w:rFonts w:ascii="Times New Roman" w:hAnsi="Times New Roman" w:eastAsia="仿宋_GB2312"/>
                <w:color w:val="000000"/>
                <w:sz w:val="21"/>
                <w:szCs w:val="21"/>
              </w:rPr>
              <w:t>IP网络和设备的研发</w:t>
            </w:r>
          </w:p>
        </w:tc>
        <w:tc>
          <w:tcPr>
            <w:tcW w:w="1625" w:type="dxa"/>
            <w:noWrap w:val="0"/>
            <w:vAlign w:val="top"/>
          </w:tcPr>
          <w:p w14:paraId="6D34F41E">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4040D3E8">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5727D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1D8880D">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05E748F4">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6067-2024</w:t>
            </w:r>
          </w:p>
        </w:tc>
        <w:tc>
          <w:tcPr>
            <w:tcW w:w="2519" w:type="dxa"/>
            <w:noWrap w:val="0"/>
            <w:vAlign w:val="top"/>
          </w:tcPr>
          <w:p w14:paraId="257CF021">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支持IP网络切片的编排层技术要求</w:t>
            </w:r>
          </w:p>
        </w:tc>
        <w:tc>
          <w:tcPr>
            <w:tcW w:w="6411" w:type="dxa"/>
            <w:noWrap w:val="0"/>
            <w:vAlign w:val="top"/>
          </w:tcPr>
          <w:p w14:paraId="6426774D">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w:t>
            </w:r>
            <w:r>
              <w:rPr>
                <w:rFonts w:ascii="Times New Roman" w:hAnsi="Times New Roman" w:eastAsia="仿宋_GB2312"/>
                <w:color w:val="000000"/>
                <w:sz w:val="21"/>
                <w:szCs w:val="21"/>
              </w:rPr>
              <w:t>IP网络切片的编排层的功能要求，包括编排层功能架构</w:t>
            </w:r>
            <w:r>
              <w:rPr>
                <w:rFonts w:hint="eastAsia" w:ascii="Times New Roman" w:hAnsi="Times New Roman" w:eastAsia="仿宋_GB2312"/>
                <w:color w:val="000000"/>
                <w:sz w:val="21"/>
                <w:szCs w:val="21"/>
                <w:lang w:eastAsia="zh-CN"/>
              </w:rPr>
              <w:t>、</w:t>
            </w:r>
            <w:r>
              <w:rPr>
                <w:rFonts w:ascii="Times New Roman" w:hAnsi="Times New Roman" w:eastAsia="仿宋_GB2312"/>
                <w:color w:val="000000"/>
                <w:sz w:val="21"/>
                <w:szCs w:val="21"/>
              </w:rPr>
              <w:t>接口技术</w:t>
            </w:r>
            <w:r>
              <w:rPr>
                <w:rFonts w:hint="eastAsia" w:ascii="Times New Roman" w:hAnsi="Times New Roman" w:eastAsia="仿宋_GB2312"/>
                <w:color w:val="000000"/>
                <w:sz w:val="21"/>
                <w:szCs w:val="21"/>
                <w:lang w:eastAsia="zh-CN"/>
              </w:rPr>
              <w:t>、</w:t>
            </w:r>
            <w:r>
              <w:rPr>
                <w:rFonts w:ascii="Times New Roman" w:hAnsi="Times New Roman" w:eastAsia="仿宋_GB2312"/>
                <w:color w:val="000000"/>
                <w:sz w:val="21"/>
                <w:szCs w:val="21"/>
              </w:rPr>
              <w:t>设计态功能要求和运行态功能要求等</w:t>
            </w:r>
          </w:p>
          <w:p w14:paraId="0ED984E3">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w:t>
            </w:r>
            <w:r>
              <w:rPr>
                <w:rFonts w:ascii="Times New Roman" w:hAnsi="Times New Roman" w:eastAsia="仿宋_GB2312"/>
                <w:color w:val="000000"/>
                <w:sz w:val="21"/>
                <w:szCs w:val="21"/>
              </w:rPr>
              <w:t>IP网络切片的编排层的技术研发、建设和运维</w:t>
            </w:r>
          </w:p>
        </w:tc>
        <w:tc>
          <w:tcPr>
            <w:tcW w:w="1625" w:type="dxa"/>
            <w:noWrap w:val="0"/>
            <w:vAlign w:val="top"/>
          </w:tcPr>
          <w:p w14:paraId="71F0B56E">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0F3F24AE">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72768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597939A">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59F7174C">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6068-2024</w:t>
            </w:r>
          </w:p>
        </w:tc>
        <w:tc>
          <w:tcPr>
            <w:tcW w:w="2519" w:type="dxa"/>
            <w:noWrap w:val="0"/>
            <w:vAlign w:val="top"/>
          </w:tcPr>
          <w:p w14:paraId="4320CE1C">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面向汇聚层边缘云的IP承载网络总体架构和技术要求</w:t>
            </w:r>
          </w:p>
        </w:tc>
        <w:tc>
          <w:tcPr>
            <w:tcW w:w="6411" w:type="dxa"/>
            <w:noWrap w:val="0"/>
            <w:vAlign w:val="top"/>
          </w:tcPr>
          <w:p w14:paraId="264AB18A">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本文件规定了面向汇聚层边缘云的</w:t>
            </w:r>
            <w:r>
              <w:rPr>
                <w:rFonts w:ascii="Times New Roman" w:hAnsi="Times New Roman" w:eastAsia="仿宋_GB2312"/>
                <w:color w:val="000000"/>
                <w:sz w:val="21"/>
                <w:szCs w:val="21"/>
              </w:rPr>
              <w:t>IP承载网络总体架构和技术要求，包括面向汇聚层边缘云的IP承载组网要求、网络参考体系和技术特征、接口、QOS保障、安全、运营支撑、演进等技术要求</w:t>
            </w:r>
          </w:p>
          <w:p w14:paraId="2851073A">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本文件适用于面向汇聚层边缘云的</w:t>
            </w:r>
            <w:r>
              <w:rPr>
                <w:rFonts w:ascii="Times New Roman" w:hAnsi="Times New Roman" w:eastAsia="仿宋_GB2312"/>
                <w:color w:val="000000"/>
                <w:sz w:val="21"/>
                <w:szCs w:val="21"/>
              </w:rPr>
              <w:t>IP承载网络的规划和建设</w:t>
            </w:r>
            <w:r>
              <w:rPr>
                <w:rFonts w:hint="eastAsia" w:ascii="Times New Roman" w:hAnsi="Times New Roman" w:eastAsia="仿宋_GB2312"/>
                <w:color w:val="000000"/>
                <w:sz w:val="21"/>
                <w:szCs w:val="21"/>
                <w:lang w:eastAsia="zh-CN"/>
              </w:rPr>
              <w:t>，</w:t>
            </w:r>
            <w:r>
              <w:rPr>
                <w:rFonts w:hint="eastAsia" w:ascii="Times New Roman" w:hAnsi="Times New Roman" w:eastAsia="仿宋_GB2312"/>
                <w:color w:val="000000"/>
                <w:sz w:val="21"/>
                <w:szCs w:val="21"/>
                <w:lang w:val="en-US" w:eastAsia="zh-CN"/>
              </w:rPr>
              <w:t>以及</w:t>
            </w:r>
            <w:r>
              <w:rPr>
                <w:rFonts w:ascii="Times New Roman" w:hAnsi="Times New Roman" w:eastAsia="仿宋_GB2312"/>
                <w:color w:val="000000"/>
                <w:sz w:val="21"/>
                <w:szCs w:val="21"/>
              </w:rPr>
              <w:t>相关网络设备的研制、开发和技术引进</w:t>
            </w:r>
          </w:p>
        </w:tc>
        <w:tc>
          <w:tcPr>
            <w:tcW w:w="1625" w:type="dxa"/>
            <w:noWrap w:val="0"/>
            <w:vAlign w:val="top"/>
          </w:tcPr>
          <w:p w14:paraId="52428210">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390C8D05">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71C47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ADD95CF">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0A4786DD">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6069.2-2024</w:t>
            </w:r>
          </w:p>
        </w:tc>
        <w:tc>
          <w:tcPr>
            <w:tcW w:w="2519" w:type="dxa"/>
            <w:noWrap w:val="0"/>
            <w:vAlign w:val="top"/>
          </w:tcPr>
          <w:p w14:paraId="09EB91D1">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面向网络边缘节点的开放融合网络设备技术要求 第2部分：机框</w:t>
            </w:r>
          </w:p>
        </w:tc>
        <w:tc>
          <w:tcPr>
            <w:tcW w:w="6411" w:type="dxa"/>
            <w:noWrap w:val="0"/>
            <w:vAlign w:val="top"/>
          </w:tcPr>
          <w:p w14:paraId="6B8DA9CC">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本文件规定了应用于边缘节点开放网络的可插拔模块化硬件设备，提出了一种开放网络融合设备的机框架构</w:t>
            </w:r>
            <w:r>
              <w:rPr>
                <w:rFonts w:hint="eastAsia" w:ascii="Times New Roman" w:hAnsi="Times New Roman" w:eastAsia="仿宋_GB2312"/>
                <w:color w:val="000000"/>
                <w:sz w:val="21"/>
                <w:szCs w:val="21"/>
                <w:lang w:eastAsia="zh-CN"/>
              </w:rPr>
              <w:t>、</w:t>
            </w:r>
            <w:r>
              <w:rPr>
                <w:rFonts w:hint="eastAsia" w:ascii="Times New Roman" w:hAnsi="Times New Roman" w:eastAsia="仿宋_GB2312"/>
                <w:color w:val="000000"/>
                <w:sz w:val="21"/>
                <w:szCs w:val="21"/>
              </w:rPr>
              <w:t>应用场景、机框基本要求及模块设计要求等</w:t>
            </w:r>
          </w:p>
          <w:p w14:paraId="5D3B9E0D">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本文件适用于应用于边缘节点开放网络的可插拔模块化硬件设备要求</w:t>
            </w:r>
          </w:p>
        </w:tc>
        <w:tc>
          <w:tcPr>
            <w:tcW w:w="1625" w:type="dxa"/>
            <w:noWrap w:val="0"/>
            <w:vAlign w:val="top"/>
          </w:tcPr>
          <w:p w14:paraId="0474F997">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7760EE2C">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10A54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9568E90">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077EBD6D">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6070-2024</w:t>
            </w:r>
          </w:p>
        </w:tc>
        <w:tc>
          <w:tcPr>
            <w:tcW w:w="2519" w:type="dxa"/>
            <w:noWrap w:val="0"/>
            <w:vAlign w:val="top"/>
          </w:tcPr>
          <w:p w14:paraId="2E942CF7">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基于快速UDP网络连接（QUIC）协议的直播系统技术要求</w:t>
            </w:r>
          </w:p>
        </w:tc>
        <w:tc>
          <w:tcPr>
            <w:tcW w:w="6411" w:type="dxa"/>
            <w:noWrap w:val="0"/>
            <w:vAlign w:val="top"/>
          </w:tcPr>
          <w:p w14:paraId="4DCA2D89">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本文件规定了基于快速</w:t>
            </w:r>
            <w:r>
              <w:rPr>
                <w:rFonts w:ascii="Times New Roman" w:hAnsi="Times New Roman" w:eastAsia="仿宋_GB2312"/>
                <w:color w:val="000000"/>
                <w:sz w:val="21"/>
                <w:szCs w:val="21"/>
              </w:rPr>
              <w:t>UDP网络连接（QUIC）协议的直播系统技术要求，在QUIC直播应用场景分析的基础上定义了QUIC直播系统的传输流程和架构要求，明确QUIC直播系统需要满足的技术要求</w:t>
            </w:r>
          </w:p>
          <w:p w14:paraId="556B0C27">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本文件适用于直播平台、内容提供商</w:t>
            </w:r>
            <w:r>
              <w:rPr>
                <w:rFonts w:ascii="Times New Roman" w:hAnsi="Times New Roman" w:eastAsia="仿宋_GB2312"/>
                <w:color w:val="000000"/>
                <w:sz w:val="21"/>
                <w:szCs w:val="21"/>
              </w:rPr>
              <w:t>、网络服务提供商以及相关设备制造商等参与者，用于指导基于QUIC协议的低时延直播系统的设计、开发、部署与维护</w:t>
            </w:r>
          </w:p>
        </w:tc>
        <w:tc>
          <w:tcPr>
            <w:tcW w:w="1625" w:type="dxa"/>
            <w:noWrap w:val="0"/>
            <w:vAlign w:val="top"/>
          </w:tcPr>
          <w:p w14:paraId="6CAD244F">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437702AD">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1874E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4551418">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563FE5E6">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6071-2024</w:t>
            </w:r>
          </w:p>
        </w:tc>
        <w:tc>
          <w:tcPr>
            <w:tcW w:w="2519" w:type="dxa"/>
            <w:noWrap w:val="0"/>
            <w:vAlign w:val="top"/>
          </w:tcPr>
          <w:p w14:paraId="461F90DB">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路径计算单元通信协议技术要求</w:t>
            </w:r>
          </w:p>
        </w:tc>
        <w:tc>
          <w:tcPr>
            <w:tcW w:w="6411" w:type="dxa"/>
            <w:noWrap w:val="0"/>
            <w:vAlign w:val="top"/>
          </w:tcPr>
          <w:p w14:paraId="6EF45D3F">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本文件规定了用于路径计算单元与路径计算客户端间的路径计算单元通信协议（</w:t>
            </w:r>
            <w:r>
              <w:rPr>
                <w:rFonts w:ascii="Times New Roman" w:hAnsi="Times New Roman" w:eastAsia="仿宋_GB2312"/>
                <w:color w:val="000000"/>
                <w:sz w:val="21"/>
                <w:szCs w:val="21"/>
              </w:rPr>
              <w:t>PCEP</w:t>
            </w:r>
            <w:r>
              <w:rPr>
                <w:rFonts w:hint="eastAsia" w:ascii="Times New Roman" w:hAnsi="Times New Roman" w:eastAsia="仿宋_GB2312"/>
                <w:color w:val="000000"/>
                <w:sz w:val="21"/>
                <w:szCs w:val="21"/>
              </w:rPr>
              <w:t>）技术要求，内容包括路径计算单元通信协议的消息传输、协议流程、消息及对象格式等</w:t>
            </w:r>
          </w:p>
          <w:p w14:paraId="392F708F">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本文件适用于支持</w:t>
            </w:r>
            <w:r>
              <w:rPr>
                <w:rFonts w:ascii="Times New Roman" w:hAnsi="Times New Roman" w:eastAsia="仿宋_GB2312"/>
                <w:color w:val="000000"/>
                <w:sz w:val="21"/>
                <w:szCs w:val="21"/>
              </w:rPr>
              <w:t>PCEP协议的设备和系统</w:t>
            </w:r>
          </w:p>
        </w:tc>
        <w:tc>
          <w:tcPr>
            <w:tcW w:w="1625" w:type="dxa"/>
            <w:noWrap w:val="0"/>
            <w:vAlign w:val="top"/>
          </w:tcPr>
          <w:p w14:paraId="26ADA7FF">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7C74750C">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43A6A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E206681">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36E770EC">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6072-2024</w:t>
            </w:r>
          </w:p>
        </w:tc>
        <w:tc>
          <w:tcPr>
            <w:tcW w:w="2519" w:type="dxa"/>
            <w:noWrap w:val="0"/>
            <w:vAlign w:val="top"/>
          </w:tcPr>
          <w:p w14:paraId="0559AEB8">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路径计算单元通信协议一致性测试方法</w:t>
            </w:r>
          </w:p>
        </w:tc>
        <w:tc>
          <w:tcPr>
            <w:tcW w:w="6411" w:type="dxa"/>
            <w:noWrap w:val="0"/>
            <w:vAlign w:val="top"/>
          </w:tcPr>
          <w:p w14:paraId="661AE213">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本文件规定了路径计算单元通信协议（</w:t>
            </w:r>
            <w:r>
              <w:rPr>
                <w:rFonts w:ascii="Times New Roman" w:hAnsi="Times New Roman" w:eastAsia="仿宋_GB2312"/>
                <w:color w:val="000000"/>
                <w:sz w:val="21"/>
                <w:szCs w:val="21"/>
              </w:rPr>
              <w:t>PCEP）一致性测试方法，包括会话维护测试、路径计算测试</w:t>
            </w:r>
            <w:r>
              <w:rPr>
                <w:rFonts w:hint="eastAsia" w:ascii="Times New Roman" w:hAnsi="Times New Roman" w:eastAsia="仿宋_GB2312"/>
                <w:color w:val="000000"/>
                <w:sz w:val="21"/>
                <w:szCs w:val="21"/>
                <w:lang w:eastAsia="zh-CN"/>
              </w:rPr>
              <w:t>、</w:t>
            </w:r>
            <w:r>
              <w:rPr>
                <w:rFonts w:ascii="Times New Roman" w:hAnsi="Times New Roman" w:eastAsia="仿宋_GB2312"/>
                <w:color w:val="000000"/>
                <w:sz w:val="21"/>
                <w:szCs w:val="21"/>
              </w:rPr>
              <w:t>通知功能测试</w:t>
            </w:r>
          </w:p>
          <w:p w14:paraId="0499972B">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本文件适用于支持</w:t>
            </w:r>
            <w:r>
              <w:rPr>
                <w:rFonts w:ascii="Times New Roman" w:hAnsi="Times New Roman" w:eastAsia="仿宋_GB2312"/>
                <w:color w:val="000000"/>
                <w:sz w:val="21"/>
                <w:szCs w:val="21"/>
              </w:rPr>
              <w:t>PCEP协议的网络设备</w:t>
            </w:r>
          </w:p>
        </w:tc>
        <w:tc>
          <w:tcPr>
            <w:tcW w:w="1625" w:type="dxa"/>
            <w:noWrap w:val="0"/>
            <w:vAlign w:val="top"/>
          </w:tcPr>
          <w:p w14:paraId="3D6E59F3">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2805B4B8">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6CC8D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CEB7DAD">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C77A95D">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6073-2024</w:t>
            </w:r>
          </w:p>
        </w:tc>
        <w:tc>
          <w:tcPr>
            <w:tcW w:w="2519" w:type="dxa"/>
            <w:noWrap w:val="0"/>
            <w:vAlign w:val="top"/>
          </w:tcPr>
          <w:p w14:paraId="1DAEEBF1">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段路由路径段标识技术要求</w:t>
            </w:r>
          </w:p>
        </w:tc>
        <w:tc>
          <w:tcPr>
            <w:tcW w:w="6411" w:type="dxa"/>
            <w:noWrap w:val="0"/>
            <w:vAlign w:val="top"/>
          </w:tcPr>
          <w:p w14:paraId="577D0579">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本文件规定了段路由路径段标识的关键应用场景，以及段路由路径段标识的数据面和控制面技术要求</w:t>
            </w:r>
          </w:p>
          <w:p w14:paraId="7FF3D339">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本文件适用于支持段路由路径段标识技术的网络设备研发和测试</w:t>
            </w:r>
          </w:p>
        </w:tc>
        <w:tc>
          <w:tcPr>
            <w:tcW w:w="1625" w:type="dxa"/>
            <w:noWrap w:val="0"/>
            <w:vAlign w:val="top"/>
          </w:tcPr>
          <w:p w14:paraId="215FA0AB">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60911CC7">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331D7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DEB558B">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5750C57C">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6074-2024</w:t>
            </w:r>
          </w:p>
        </w:tc>
        <w:tc>
          <w:tcPr>
            <w:tcW w:w="2519" w:type="dxa"/>
            <w:noWrap w:val="0"/>
            <w:vAlign w:val="top"/>
          </w:tcPr>
          <w:p w14:paraId="0BC06F5A">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胖树（Fat Tree）路由协议技术要求</w:t>
            </w:r>
          </w:p>
        </w:tc>
        <w:tc>
          <w:tcPr>
            <w:tcW w:w="6411" w:type="dxa"/>
            <w:noWrap w:val="0"/>
            <w:vAlign w:val="top"/>
          </w:tcPr>
          <w:p w14:paraId="484A686F">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本文件规定了胖树（</w:t>
            </w:r>
            <w:r>
              <w:rPr>
                <w:rFonts w:ascii="Times New Roman" w:hAnsi="Times New Roman" w:eastAsia="仿宋_GB2312"/>
                <w:color w:val="000000"/>
                <w:sz w:val="21"/>
                <w:szCs w:val="21"/>
              </w:rPr>
              <w:t>Fat Tree）路由协议技术要求，包括邻居发现、拓扑交换、可达性计算、协议操作配置等内容</w:t>
            </w:r>
          </w:p>
          <w:p w14:paraId="5B438F8B">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本文件适用于数通领域，用于指导数据交换设备（包括路由器、交换机等设备）的研发设计</w:t>
            </w:r>
          </w:p>
        </w:tc>
        <w:tc>
          <w:tcPr>
            <w:tcW w:w="1625" w:type="dxa"/>
            <w:noWrap w:val="0"/>
            <w:vAlign w:val="top"/>
          </w:tcPr>
          <w:p w14:paraId="667622EB">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56A8FE6F">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6FF2D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1E7C7033">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035A6FB">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6075-2024</w:t>
            </w:r>
          </w:p>
        </w:tc>
        <w:tc>
          <w:tcPr>
            <w:tcW w:w="2519" w:type="dxa"/>
            <w:noWrap w:val="0"/>
            <w:vAlign w:val="top"/>
          </w:tcPr>
          <w:p w14:paraId="115D43A3">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智能实时音视频传输网络的网络架构技术要求</w:t>
            </w:r>
          </w:p>
        </w:tc>
        <w:tc>
          <w:tcPr>
            <w:tcW w:w="6411" w:type="dxa"/>
            <w:noWrap w:val="0"/>
            <w:vAlign w:val="top"/>
          </w:tcPr>
          <w:p w14:paraId="14F06613">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本文件规定了智能实时音视频传输网络的网络架构技术要求，包括系统架构技术要求、网络感知技术要求、智能规划技术要求、智能匹配技术要求、智能传输技术要求等</w:t>
            </w:r>
          </w:p>
          <w:p w14:paraId="2298ED21">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本文件适用于智能实时音视频传输网络的产品设计、研究开发等</w:t>
            </w:r>
          </w:p>
        </w:tc>
        <w:tc>
          <w:tcPr>
            <w:tcW w:w="1625" w:type="dxa"/>
            <w:noWrap w:val="0"/>
            <w:vAlign w:val="top"/>
          </w:tcPr>
          <w:p w14:paraId="4FCC85F1">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19547AAB">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187F1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A1292EE">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F091879">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6076-2024</w:t>
            </w:r>
          </w:p>
        </w:tc>
        <w:tc>
          <w:tcPr>
            <w:tcW w:w="2519" w:type="dxa"/>
            <w:noWrap w:val="0"/>
            <w:vAlign w:val="top"/>
          </w:tcPr>
          <w:p w14:paraId="7FF0F261">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IP网络互联网与专有网络服务接口控制平台技术要求</w:t>
            </w:r>
          </w:p>
        </w:tc>
        <w:tc>
          <w:tcPr>
            <w:tcW w:w="6411" w:type="dxa"/>
            <w:noWrap w:val="0"/>
            <w:vAlign w:val="top"/>
          </w:tcPr>
          <w:p w14:paraId="19EEC754">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w:t>
            </w:r>
            <w:r>
              <w:rPr>
                <w:rFonts w:ascii="Times New Roman" w:hAnsi="Times New Roman" w:eastAsia="仿宋_GB2312"/>
                <w:color w:val="000000"/>
                <w:sz w:val="21"/>
                <w:szCs w:val="21"/>
              </w:rPr>
              <w:t>IP网络中互联网与专有网络服务接口控制平台的应用场景、技术参考模型、功能要求、性能要求、互操作要求和安全要求</w:t>
            </w:r>
          </w:p>
          <w:p w14:paraId="08BC8C9C">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w:t>
            </w:r>
            <w:r>
              <w:rPr>
                <w:rFonts w:ascii="Times New Roman" w:hAnsi="Times New Roman" w:eastAsia="仿宋_GB2312"/>
                <w:color w:val="000000"/>
                <w:sz w:val="21"/>
                <w:szCs w:val="21"/>
              </w:rPr>
              <w:t>IP网络互联网与专有网络服务接口控制平台的设计、开发、运营、维护与使用等</w:t>
            </w:r>
          </w:p>
        </w:tc>
        <w:tc>
          <w:tcPr>
            <w:tcW w:w="1625" w:type="dxa"/>
            <w:noWrap w:val="0"/>
            <w:vAlign w:val="top"/>
          </w:tcPr>
          <w:p w14:paraId="26FEDFDA">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50A2285B">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662A3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7CFAE98">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7D292D3">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6077-2024</w:t>
            </w:r>
          </w:p>
        </w:tc>
        <w:tc>
          <w:tcPr>
            <w:tcW w:w="2519" w:type="dxa"/>
            <w:noWrap w:val="0"/>
            <w:vAlign w:val="top"/>
          </w:tcPr>
          <w:p w14:paraId="5CBF4615">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IP网络互联网与专有网络服务接口控制平台测试方法</w:t>
            </w:r>
          </w:p>
        </w:tc>
        <w:tc>
          <w:tcPr>
            <w:tcW w:w="6411" w:type="dxa"/>
            <w:noWrap w:val="0"/>
            <w:vAlign w:val="top"/>
          </w:tcPr>
          <w:p w14:paraId="7C772A71">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w:t>
            </w:r>
            <w:r>
              <w:rPr>
                <w:rFonts w:ascii="Times New Roman" w:hAnsi="Times New Roman" w:eastAsia="仿宋_GB2312"/>
                <w:color w:val="000000"/>
                <w:sz w:val="21"/>
                <w:szCs w:val="21"/>
              </w:rPr>
              <w:t>IP网络互联网与专有网络服务接口控制平台的测试方法，包括功能测试、性能测试、互操作性测试和安全性测试</w:t>
            </w:r>
          </w:p>
          <w:p w14:paraId="100D32DA">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w:t>
            </w:r>
            <w:r>
              <w:rPr>
                <w:rFonts w:ascii="Times New Roman" w:hAnsi="Times New Roman" w:eastAsia="仿宋_GB2312"/>
                <w:color w:val="000000"/>
                <w:sz w:val="21"/>
                <w:szCs w:val="21"/>
              </w:rPr>
              <w:t>IP网络互联网与专有网络服务接口控制平台的测试</w:t>
            </w:r>
          </w:p>
        </w:tc>
        <w:tc>
          <w:tcPr>
            <w:tcW w:w="1625" w:type="dxa"/>
            <w:noWrap w:val="0"/>
            <w:vAlign w:val="top"/>
          </w:tcPr>
          <w:p w14:paraId="41189D41">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319C4B6E">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3A973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582008D">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7E180DCF">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6078-2024</w:t>
            </w:r>
          </w:p>
        </w:tc>
        <w:tc>
          <w:tcPr>
            <w:tcW w:w="2519" w:type="dxa"/>
            <w:noWrap w:val="0"/>
            <w:vAlign w:val="top"/>
          </w:tcPr>
          <w:p w14:paraId="2BEA1F8C">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智能实时音视频传输网络接口技术要求</w:t>
            </w:r>
          </w:p>
        </w:tc>
        <w:tc>
          <w:tcPr>
            <w:tcW w:w="6411" w:type="dxa"/>
            <w:noWrap w:val="0"/>
            <w:vAlign w:val="top"/>
          </w:tcPr>
          <w:p w14:paraId="5B60470E">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本文件规定了智能实时音视频传输网络的接口技术要求，包括系统功能、接口定义以及相关的业务流程等</w:t>
            </w:r>
          </w:p>
          <w:p w14:paraId="430154A0">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本文件适用于智能实时音视频传输网络的产品设计、研究开发等</w:t>
            </w:r>
          </w:p>
        </w:tc>
        <w:tc>
          <w:tcPr>
            <w:tcW w:w="1625" w:type="dxa"/>
            <w:noWrap w:val="0"/>
            <w:vAlign w:val="top"/>
          </w:tcPr>
          <w:p w14:paraId="3444582B">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39B37437">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751F2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12CB5B90">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4894CB01">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6079-2024</w:t>
            </w:r>
          </w:p>
        </w:tc>
        <w:tc>
          <w:tcPr>
            <w:tcW w:w="2519" w:type="dxa"/>
            <w:noWrap w:val="0"/>
            <w:vAlign w:val="top"/>
          </w:tcPr>
          <w:p w14:paraId="26E840E9">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确定性承载网络的操作管理维护技术要求</w:t>
            </w:r>
          </w:p>
        </w:tc>
        <w:tc>
          <w:tcPr>
            <w:tcW w:w="6411" w:type="dxa"/>
            <w:noWrap w:val="0"/>
            <w:vAlign w:val="top"/>
          </w:tcPr>
          <w:p w14:paraId="7D7C545C">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本文件规定了确定性承载网络的操作管理维护技术要求，分析了确定性操作管理维护的需求</w:t>
            </w:r>
            <w:r>
              <w:rPr>
                <w:rFonts w:hint="eastAsia" w:ascii="Times New Roman" w:hAnsi="Times New Roman" w:eastAsia="仿宋_GB2312"/>
                <w:color w:val="000000"/>
                <w:sz w:val="21"/>
                <w:szCs w:val="21"/>
                <w:lang w:eastAsia="zh-CN"/>
              </w:rPr>
              <w:t>、</w:t>
            </w:r>
            <w:r>
              <w:rPr>
                <w:rFonts w:hint="eastAsia" w:ascii="Times New Roman" w:hAnsi="Times New Roman" w:eastAsia="仿宋_GB2312"/>
                <w:color w:val="000000"/>
                <w:sz w:val="21"/>
                <w:szCs w:val="21"/>
              </w:rPr>
              <w:t>数据面封装格式及处理机制</w:t>
            </w:r>
            <w:r>
              <w:rPr>
                <w:rFonts w:hint="eastAsia" w:ascii="Times New Roman" w:hAnsi="Times New Roman" w:eastAsia="仿宋_GB2312"/>
                <w:color w:val="000000"/>
                <w:sz w:val="21"/>
                <w:szCs w:val="21"/>
                <w:lang w:eastAsia="zh-CN"/>
              </w:rPr>
              <w:t>、</w:t>
            </w:r>
            <w:r>
              <w:rPr>
                <w:rFonts w:hint="eastAsia" w:ascii="Times New Roman" w:hAnsi="Times New Roman" w:eastAsia="仿宋_GB2312"/>
                <w:color w:val="000000"/>
                <w:sz w:val="21"/>
                <w:szCs w:val="21"/>
              </w:rPr>
              <w:t>故障检测方案和性能测量方法等，并详细规范了相关的技术要求</w:t>
            </w:r>
          </w:p>
          <w:p w14:paraId="64983CCA">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本文件适用于确定性承载网络的组网应用场景</w:t>
            </w:r>
          </w:p>
        </w:tc>
        <w:tc>
          <w:tcPr>
            <w:tcW w:w="1625" w:type="dxa"/>
            <w:noWrap w:val="0"/>
            <w:vAlign w:val="top"/>
          </w:tcPr>
          <w:p w14:paraId="37726C22">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6EA52553">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6575B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7391DFC">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13553E57">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6080-2024</w:t>
            </w:r>
          </w:p>
        </w:tc>
        <w:tc>
          <w:tcPr>
            <w:tcW w:w="2519" w:type="dxa"/>
            <w:noWrap w:val="0"/>
            <w:vAlign w:val="top"/>
          </w:tcPr>
          <w:p w14:paraId="37C69559">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云主机服务性能基准测试方法</w:t>
            </w:r>
          </w:p>
        </w:tc>
        <w:tc>
          <w:tcPr>
            <w:tcW w:w="6411" w:type="dxa"/>
            <w:noWrap w:val="0"/>
            <w:vAlign w:val="top"/>
          </w:tcPr>
          <w:p w14:paraId="6502047C">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本文件规定了云主机服务性能的测试方法，包括</w:t>
            </w:r>
            <w:r>
              <w:rPr>
                <w:rFonts w:ascii="Times New Roman" w:hAnsi="Times New Roman" w:eastAsia="仿宋_GB2312"/>
                <w:color w:val="000000"/>
                <w:sz w:val="21"/>
                <w:szCs w:val="21"/>
              </w:rPr>
              <w:t>CPU性能、内存性能、存储性能、网络性能四个维度，并基于云主机常见的三个应用场景分别建立了场景化测试的指标以及测试方法</w:t>
            </w:r>
          </w:p>
          <w:p w14:paraId="0A16CDAF">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本文件适用于服务商提供的公有云服务和私有云软件产品，即面向公共用户提供公有云服务和私有环境下的软件产品或解决方案</w:t>
            </w:r>
          </w:p>
        </w:tc>
        <w:tc>
          <w:tcPr>
            <w:tcW w:w="1625" w:type="dxa"/>
            <w:noWrap w:val="0"/>
            <w:vAlign w:val="top"/>
          </w:tcPr>
          <w:p w14:paraId="47A1FC5E">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569A7356">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580FD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4F4BCAD">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10ECC90C">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6081-2024</w:t>
            </w:r>
          </w:p>
        </w:tc>
        <w:tc>
          <w:tcPr>
            <w:tcW w:w="2519" w:type="dxa"/>
            <w:noWrap w:val="0"/>
            <w:vAlign w:val="top"/>
          </w:tcPr>
          <w:p w14:paraId="6E6DC945">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企业数字基础设施云化管理和服务运营能力成熟度模型</w:t>
            </w:r>
          </w:p>
        </w:tc>
        <w:tc>
          <w:tcPr>
            <w:tcW w:w="6411" w:type="dxa"/>
            <w:noWrap w:val="0"/>
            <w:vAlign w:val="top"/>
          </w:tcPr>
          <w:p w14:paraId="422F4A76">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企业数字基础设施云化管理和服务运营的整体能力和价值成熟度要求，包括云智平台化、能力组件化、数据价值化、管理精益化、运营体系化、风控横贯化等能力要求，以及成本集约、效益提升、质量保证、业务创新、风险可控、客户满意六大价值</w:t>
            </w:r>
          </w:p>
          <w:p w14:paraId="7E341D41">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仿宋_GB2312"/>
                <w:color w:val="000000"/>
                <w:sz w:val="21"/>
                <w:szCs w:val="21"/>
              </w:rPr>
              <w:t>本文件适用于企业数字化转型过程中信息技术领导者和相关人员，明确数字基础设施和信息技术服务运营在企业数字化转型中的作用、功能定位和实际价值</w:t>
            </w:r>
          </w:p>
        </w:tc>
        <w:tc>
          <w:tcPr>
            <w:tcW w:w="1625" w:type="dxa"/>
            <w:noWrap w:val="0"/>
            <w:vAlign w:val="top"/>
          </w:tcPr>
          <w:p w14:paraId="684649EB">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207DAE04">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7FFEF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6233E0D">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6528845E">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6082-2024</w:t>
            </w:r>
          </w:p>
        </w:tc>
        <w:tc>
          <w:tcPr>
            <w:tcW w:w="2519" w:type="dxa"/>
            <w:noWrap w:val="0"/>
            <w:vAlign w:val="top"/>
          </w:tcPr>
          <w:p w14:paraId="610CE51E">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面向云化网络的容器层平台北向（管理编排）接口技术要求</w:t>
            </w:r>
          </w:p>
        </w:tc>
        <w:tc>
          <w:tcPr>
            <w:tcW w:w="6411" w:type="dxa"/>
            <w:noWrap w:val="0"/>
            <w:vAlign w:val="top"/>
          </w:tcPr>
          <w:p w14:paraId="2EAD4944">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文件规定了</w:t>
            </w:r>
            <w:r>
              <w:rPr>
                <w:rFonts w:hint="eastAsia" w:ascii="Times New Roman" w:hAnsi="Times New Roman" w:eastAsia="仿宋_GB2312" w:cs="宋体"/>
                <w:i w:val="0"/>
                <w:iCs w:val="0"/>
                <w:color w:val="000000"/>
                <w:kern w:val="0"/>
                <w:sz w:val="21"/>
                <w:szCs w:val="22"/>
                <w:u w:val="none"/>
                <w:lang w:val="en-US" w:eastAsia="zh-CN" w:bidi="ar"/>
              </w:rPr>
              <w:t>面向云化网络的</w:t>
            </w:r>
            <w:r>
              <w:rPr>
                <w:rFonts w:hint="eastAsia" w:ascii="Times New Roman" w:hAnsi="Times New Roman" w:eastAsia="仿宋_GB2312"/>
                <w:color w:val="000000"/>
                <w:sz w:val="21"/>
                <w:szCs w:val="21"/>
              </w:rPr>
              <w:t>容器层</w:t>
            </w:r>
            <w:r>
              <w:rPr>
                <w:rFonts w:hint="eastAsia" w:ascii="Times New Roman" w:hAnsi="Times New Roman" w:eastAsia="仿宋_GB2312"/>
                <w:color w:val="000000"/>
                <w:sz w:val="21"/>
                <w:szCs w:val="21"/>
                <w:lang w:val="en-US" w:eastAsia="zh-CN"/>
              </w:rPr>
              <w:t>平台</w:t>
            </w:r>
            <w:r>
              <w:rPr>
                <w:rFonts w:hint="eastAsia" w:ascii="Times New Roman" w:hAnsi="Times New Roman" w:eastAsia="仿宋_GB2312"/>
                <w:color w:val="000000"/>
                <w:sz w:val="21"/>
                <w:szCs w:val="21"/>
              </w:rPr>
              <w:t>北向（管理编排）接口以及接口所对应的功能要求，主要包括增强接口（</w:t>
            </w:r>
            <w:r>
              <w:rPr>
                <w:rFonts w:ascii="Times New Roman" w:hAnsi="Times New Roman" w:eastAsia="仿宋_GB2312"/>
                <w:color w:val="000000"/>
                <w:sz w:val="21"/>
                <w:szCs w:val="21"/>
              </w:rPr>
              <w:t>Kubernetes接口）、电信云和边缘云自定义的容器集群管理器接口等内容</w:t>
            </w:r>
          </w:p>
          <w:p w14:paraId="4286232D">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本文件适用于容器层平台技术方案制定、产品研发、资源池建设、业务部署和运营等</w:t>
            </w:r>
          </w:p>
        </w:tc>
        <w:tc>
          <w:tcPr>
            <w:tcW w:w="1625" w:type="dxa"/>
            <w:noWrap w:val="0"/>
            <w:vAlign w:val="top"/>
          </w:tcPr>
          <w:p w14:paraId="1583D7AE">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4BB81C7D">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7E7F6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A702BA5">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3C24BDA9">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6083-2024</w:t>
            </w:r>
          </w:p>
        </w:tc>
        <w:tc>
          <w:tcPr>
            <w:tcW w:w="2519" w:type="dxa"/>
            <w:noWrap w:val="0"/>
            <w:vAlign w:val="top"/>
          </w:tcPr>
          <w:p w14:paraId="2AB2FCE9">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面向云化网络的容器层平台技术要求</w:t>
            </w:r>
          </w:p>
        </w:tc>
        <w:tc>
          <w:tcPr>
            <w:tcW w:w="6411" w:type="dxa"/>
            <w:noWrap w:val="0"/>
            <w:vAlign w:val="top"/>
          </w:tcPr>
          <w:p w14:paraId="1E673818">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本文件规定了面向云化电信网络的容器层平台相关技术要求，包括功能、性能、可靠性要求等，但不限定容器层的部署形态，如虚拟层集成的容器层、网络功能虚拟化编排器</w:t>
            </w:r>
            <w:r>
              <w:rPr>
                <w:rFonts w:ascii="Times New Roman" w:hAnsi="Times New Roman" w:eastAsia="仿宋_GB2312"/>
                <w:color w:val="000000"/>
                <w:sz w:val="21"/>
                <w:szCs w:val="21"/>
              </w:rPr>
              <w:t>集成的容器层等，本文件所描述的容器层包括独立的容器层平台及其它设备集成的容器层模块</w:t>
            </w:r>
          </w:p>
          <w:p w14:paraId="0E4E8E71">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本文件适用于容器层平台技术方案制定、产品研发、资源池建设、业务部署和运营等</w:t>
            </w:r>
          </w:p>
        </w:tc>
        <w:tc>
          <w:tcPr>
            <w:tcW w:w="1625" w:type="dxa"/>
            <w:noWrap w:val="0"/>
            <w:vAlign w:val="top"/>
          </w:tcPr>
          <w:p w14:paraId="06014C86">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172C1874">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483D6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3A0A03A">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08FBD2AD">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4399.4-2024</w:t>
            </w:r>
          </w:p>
        </w:tc>
        <w:tc>
          <w:tcPr>
            <w:tcW w:w="2519" w:type="dxa"/>
            <w:noWrap w:val="0"/>
            <w:vAlign w:val="top"/>
          </w:tcPr>
          <w:p w14:paraId="23A9BA41">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分布式应用架构通用技术能力要求 第4部分：服务网格平台</w:t>
            </w:r>
          </w:p>
        </w:tc>
        <w:tc>
          <w:tcPr>
            <w:tcW w:w="6411" w:type="dxa"/>
            <w:noWrap w:val="0"/>
            <w:vAlign w:val="top"/>
          </w:tcPr>
          <w:p w14:paraId="5C0165E3">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本文件规定了分布式应用架构下服务网格平台的技术架构和能力要求，包括服务网格平台控制平面、服务网格数据平面、服务网格平台安全、服务网格平台运维、服务网格平台性能的能力要求</w:t>
            </w:r>
          </w:p>
          <w:p w14:paraId="0C4982A1">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本文件适用于公有云服务和私有云</w:t>
            </w:r>
            <w:r>
              <w:rPr>
                <w:rFonts w:hint="eastAsia" w:ascii="Times New Roman" w:hAnsi="Times New Roman" w:eastAsia="仿宋_GB2312"/>
                <w:color w:val="000000"/>
                <w:sz w:val="21"/>
                <w:szCs w:val="21"/>
                <w:lang w:val="en-US" w:eastAsia="zh-CN"/>
              </w:rPr>
              <w:t>服务</w:t>
            </w:r>
          </w:p>
        </w:tc>
        <w:tc>
          <w:tcPr>
            <w:tcW w:w="1625" w:type="dxa"/>
            <w:noWrap w:val="0"/>
            <w:vAlign w:val="top"/>
          </w:tcPr>
          <w:p w14:paraId="607A4A7B">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3793E798">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7C569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12FD1A76">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6C7FA537">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6084-2024</w:t>
            </w:r>
          </w:p>
        </w:tc>
        <w:tc>
          <w:tcPr>
            <w:tcW w:w="2519" w:type="dxa"/>
            <w:noWrap w:val="0"/>
            <w:vAlign w:val="top"/>
          </w:tcPr>
          <w:p w14:paraId="62B2EE1B">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云网POP（对接点）互联组网架构及技术要求</w:t>
            </w:r>
          </w:p>
        </w:tc>
        <w:tc>
          <w:tcPr>
            <w:tcW w:w="6411" w:type="dxa"/>
            <w:noWrap w:val="0"/>
            <w:vAlign w:val="top"/>
          </w:tcPr>
          <w:p w14:paraId="0D297312">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本文件规定了云网</w:t>
            </w:r>
            <w:r>
              <w:rPr>
                <w:rFonts w:ascii="Times New Roman" w:hAnsi="Times New Roman" w:eastAsia="仿宋_GB2312"/>
                <w:color w:val="000000"/>
                <w:sz w:val="21"/>
                <w:szCs w:val="21"/>
              </w:rPr>
              <w:t>POP（对接点）互联组网架构及关键技术要求，包括云网POP组网架构、云网POP网元技术要求及云网互联典型业务场景</w:t>
            </w:r>
          </w:p>
          <w:p w14:paraId="49FCD012">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本文件适用于云网融合网络中云网</w:t>
            </w:r>
            <w:r>
              <w:rPr>
                <w:rFonts w:ascii="Times New Roman" w:hAnsi="Times New Roman" w:eastAsia="仿宋_GB2312"/>
                <w:color w:val="000000"/>
                <w:sz w:val="21"/>
                <w:szCs w:val="21"/>
              </w:rPr>
              <w:t>POP的规划和建设，也适用于云网POP相关网络设备的研制、开发和测试</w:t>
            </w:r>
          </w:p>
        </w:tc>
        <w:tc>
          <w:tcPr>
            <w:tcW w:w="1625" w:type="dxa"/>
            <w:noWrap w:val="0"/>
            <w:vAlign w:val="top"/>
          </w:tcPr>
          <w:p w14:paraId="71EEE7F0">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375C4A7A">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2B4FC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A483B0F">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5D254782">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6085-2024</w:t>
            </w:r>
          </w:p>
        </w:tc>
        <w:tc>
          <w:tcPr>
            <w:tcW w:w="2519" w:type="dxa"/>
            <w:noWrap w:val="0"/>
            <w:vAlign w:val="top"/>
          </w:tcPr>
          <w:p w14:paraId="5AF87889">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面向云网协同的业务链服务 总体技术要求</w:t>
            </w:r>
          </w:p>
        </w:tc>
        <w:tc>
          <w:tcPr>
            <w:tcW w:w="6411" w:type="dxa"/>
            <w:noWrap w:val="0"/>
            <w:vAlign w:val="top"/>
          </w:tcPr>
          <w:p w14:paraId="35ACB7B7">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本文件规定了面向云网协同的业务链服务系统架构和技术要求，包括面向云网协同的业务链服务系统总体架构、系统各功能层要求、系统各功能层间接口定义及系统关键技术要求等</w:t>
            </w:r>
          </w:p>
          <w:p w14:paraId="28F96A04">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本文件适用于面向云网协同的业务链服务系统的产品研发</w:t>
            </w:r>
          </w:p>
        </w:tc>
        <w:tc>
          <w:tcPr>
            <w:tcW w:w="1625" w:type="dxa"/>
            <w:noWrap w:val="0"/>
            <w:vAlign w:val="top"/>
          </w:tcPr>
          <w:p w14:paraId="5ABDF78D">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02C4428C">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06852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F68C034">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64BDDA76">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6086.1-2024</w:t>
            </w:r>
          </w:p>
        </w:tc>
        <w:tc>
          <w:tcPr>
            <w:tcW w:w="2519" w:type="dxa"/>
            <w:noWrap w:val="0"/>
            <w:vAlign w:val="top"/>
          </w:tcPr>
          <w:p w14:paraId="0E9C3088">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800Gb/s强度调制可插拔光收发合一模块 第1部分：8×100Gb/s</w:t>
            </w:r>
          </w:p>
        </w:tc>
        <w:tc>
          <w:tcPr>
            <w:tcW w:w="6411" w:type="dxa"/>
            <w:noWrap w:val="0"/>
            <w:vAlign w:val="top"/>
          </w:tcPr>
          <w:p w14:paraId="4F54A078">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本文件界定了</w:t>
            </w:r>
            <w:r>
              <w:rPr>
                <w:rFonts w:ascii="Times New Roman" w:hAnsi="Times New Roman" w:eastAsia="仿宋_GB2312"/>
                <w:color w:val="000000"/>
                <w:sz w:val="21"/>
                <w:szCs w:val="21"/>
              </w:rPr>
              <w:t>8×100Gb/s的800Gb/s强度调制可插拔光收发合一模块的缩略语、术语和定义，规定了其光电特性、外观、软件以及环保符合性等技术要求，描述了相应的测试方法，规定了检验规则、标志、包装、运输和贮存等</w:t>
            </w:r>
          </w:p>
          <w:p w14:paraId="6C4E2E63">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w:t>
            </w:r>
            <w:r>
              <w:rPr>
                <w:rFonts w:ascii="Times New Roman" w:hAnsi="Times New Roman" w:eastAsia="仿宋_GB2312"/>
                <w:color w:val="000000"/>
                <w:sz w:val="21"/>
                <w:szCs w:val="21"/>
              </w:rPr>
              <w:t>8×100Gb/s强度调制可插拔光收发合一模块的设计、开发、生产和检验</w:t>
            </w:r>
          </w:p>
        </w:tc>
        <w:tc>
          <w:tcPr>
            <w:tcW w:w="1625" w:type="dxa"/>
            <w:noWrap w:val="0"/>
            <w:vAlign w:val="top"/>
          </w:tcPr>
          <w:p w14:paraId="6CFB4DD0">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2F083D55">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0E742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2B95951">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3E520585">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6087.1-2024</w:t>
            </w:r>
          </w:p>
        </w:tc>
        <w:tc>
          <w:tcPr>
            <w:tcW w:w="2519" w:type="dxa"/>
            <w:noWrap w:val="0"/>
            <w:vAlign w:val="top"/>
          </w:tcPr>
          <w:p w14:paraId="171B256E">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通信用光路板组件 第1部分：光纤型</w:t>
            </w:r>
          </w:p>
        </w:tc>
        <w:tc>
          <w:tcPr>
            <w:tcW w:w="6411" w:type="dxa"/>
            <w:noWrap w:val="0"/>
            <w:vAlign w:val="top"/>
          </w:tcPr>
          <w:p w14:paraId="7D476A5C">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本文件界定了通信用光纤型光路板组件的术语和定义，规定了光路板组件的光学性能、可靠性性能、环境适应性等技术要求，描述了相应的测试方法，规定了检验规则、标志、包装、运输和贮存等</w:t>
            </w:r>
          </w:p>
          <w:p w14:paraId="0BB7B94F">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本文件适用于光通信应用场景下的单模光纤光路板组件的设计、开发、生产和检验</w:t>
            </w:r>
          </w:p>
        </w:tc>
        <w:tc>
          <w:tcPr>
            <w:tcW w:w="1625" w:type="dxa"/>
            <w:noWrap w:val="0"/>
            <w:vAlign w:val="top"/>
          </w:tcPr>
          <w:p w14:paraId="0B6C16AB">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38392579">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1DBE7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98840B8">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154658A">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841.2-2024</w:t>
            </w:r>
          </w:p>
        </w:tc>
        <w:tc>
          <w:tcPr>
            <w:tcW w:w="2519" w:type="dxa"/>
            <w:noWrap w:val="0"/>
            <w:vAlign w:val="top"/>
          </w:tcPr>
          <w:p w14:paraId="06DDA4B7">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地下通信管道用塑料管 第2部分：实壁管</w:t>
            </w:r>
          </w:p>
        </w:tc>
        <w:tc>
          <w:tcPr>
            <w:tcW w:w="6411" w:type="dxa"/>
            <w:noWrap w:val="0"/>
            <w:vAlign w:val="top"/>
          </w:tcPr>
          <w:p w14:paraId="7E70B1FA">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本文件规定了地下通信管道用实壁管材的产品型号、分类和结构、要求、试验方法、检验规则、标志、运输、贮存等</w:t>
            </w:r>
          </w:p>
          <w:p w14:paraId="3BC3EBFF">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本文件适用于地下通信管道系统中使用的实壁管的设计、开发、生产和检验</w:t>
            </w:r>
          </w:p>
        </w:tc>
        <w:tc>
          <w:tcPr>
            <w:tcW w:w="1625" w:type="dxa"/>
            <w:noWrap w:val="0"/>
            <w:vAlign w:val="top"/>
          </w:tcPr>
          <w:p w14:paraId="55674E60">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r>
              <w:rPr>
                <w:rFonts w:ascii="Times New Roman" w:hAnsi="Times New Roman" w:eastAsia="仿宋_GB2312"/>
                <w:color w:val="000000"/>
                <w:sz w:val="21"/>
                <w:szCs w:val="21"/>
              </w:rPr>
              <w:t>YD/T 841.2</w:t>
            </w:r>
            <w:r>
              <w:rPr>
                <w:rFonts w:hint="eastAsia" w:ascii="Times New Roman" w:hAnsi="Times New Roman" w:eastAsia="仿宋_GB2312"/>
                <w:color w:val="000000"/>
                <w:sz w:val="21"/>
                <w:szCs w:val="21"/>
                <w:lang w:val="en-US" w:eastAsia="zh-CN"/>
              </w:rPr>
              <w:t>-</w:t>
            </w:r>
            <w:r>
              <w:rPr>
                <w:rFonts w:ascii="Times New Roman" w:hAnsi="Times New Roman" w:eastAsia="仿宋_GB2312"/>
                <w:color w:val="000000"/>
                <w:sz w:val="21"/>
                <w:szCs w:val="21"/>
              </w:rPr>
              <w:t>2016</w:t>
            </w:r>
          </w:p>
        </w:tc>
        <w:tc>
          <w:tcPr>
            <w:tcW w:w="1649" w:type="dxa"/>
            <w:noWrap w:val="0"/>
            <w:vAlign w:val="top"/>
          </w:tcPr>
          <w:p w14:paraId="42F15577">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37FCF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1297D283">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7E243F34">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1997.3-2024</w:t>
            </w:r>
          </w:p>
        </w:tc>
        <w:tc>
          <w:tcPr>
            <w:tcW w:w="2519" w:type="dxa"/>
            <w:noWrap w:val="0"/>
            <w:vAlign w:val="top"/>
          </w:tcPr>
          <w:p w14:paraId="23986659">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通信用引入光缆 第3部分：预制成端光缆组件</w:t>
            </w:r>
          </w:p>
        </w:tc>
        <w:tc>
          <w:tcPr>
            <w:tcW w:w="6411" w:type="dxa"/>
            <w:noWrap w:val="0"/>
            <w:vAlign w:val="top"/>
          </w:tcPr>
          <w:p w14:paraId="18AFF805">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本文件规定了通信用引入光缆预制成端组件的产品分类、要求、试验方法，以及检验规则、标志、包装、运输和贮存</w:t>
            </w:r>
          </w:p>
          <w:p w14:paraId="19E8528E">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本文件适用于在工厂预成端光纤活动连接器插头的单芯、双芯及多芯单模引入光缆预制成端组件</w:t>
            </w:r>
          </w:p>
        </w:tc>
        <w:tc>
          <w:tcPr>
            <w:tcW w:w="1625" w:type="dxa"/>
            <w:noWrap w:val="0"/>
            <w:vAlign w:val="top"/>
          </w:tcPr>
          <w:p w14:paraId="1A359B56">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r>
              <w:rPr>
                <w:rFonts w:ascii="Times New Roman" w:hAnsi="Times New Roman" w:eastAsia="仿宋_GB2312"/>
                <w:color w:val="000000"/>
                <w:sz w:val="21"/>
                <w:szCs w:val="21"/>
              </w:rPr>
              <w:t>YD/T 1997.3</w:t>
            </w:r>
            <w:r>
              <w:rPr>
                <w:rFonts w:hint="eastAsia" w:ascii="Times New Roman" w:hAnsi="Times New Roman" w:eastAsia="仿宋_GB2312"/>
                <w:color w:val="000000"/>
                <w:sz w:val="21"/>
                <w:szCs w:val="21"/>
                <w:lang w:val="en-US" w:eastAsia="zh-CN"/>
              </w:rPr>
              <w:t>-</w:t>
            </w:r>
            <w:r>
              <w:rPr>
                <w:rFonts w:ascii="Times New Roman" w:hAnsi="Times New Roman" w:eastAsia="仿宋_GB2312"/>
                <w:color w:val="000000"/>
                <w:sz w:val="21"/>
                <w:szCs w:val="21"/>
              </w:rPr>
              <w:t>2015</w:t>
            </w:r>
          </w:p>
        </w:tc>
        <w:tc>
          <w:tcPr>
            <w:tcW w:w="1649" w:type="dxa"/>
            <w:noWrap w:val="0"/>
            <w:vAlign w:val="top"/>
          </w:tcPr>
          <w:p w14:paraId="10FB1008">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78112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6E03663">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247DB685">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2000.3-2024</w:t>
            </w:r>
          </w:p>
        </w:tc>
        <w:tc>
          <w:tcPr>
            <w:tcW w:w="2519" w:type="dxa"/>
            <w:noWrap w:val="0"/>
            <w:vAlign w:val="top"/>
          </w:tcPr>
          <w:p w14:paraId="760C3073">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平面光波导集成光路器件 第3部分：非均匀分路器</w:t>
            </w:r>
          </w:p>
        </w:tc>
        <w:tc>
          <w:tcPr>
            <w:tcW w:w="6411" w:type="dxa"/>
            <w:noWrap w:val="0"/>
            <w:vAlign w:val="top"/>
          </w:tcPr>
          <w:p w14:paraId="7E0F26FC">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本文件界定了基于平面光波导</w:t>
            </w:r>
            <w:r>
              <w:rPr>
                <w:rFonts w:ascii="Times New Roman" w:hAnsi="Times New Roman" w:eastAsia="仿宋_GB2312"/>
                <w:color w:val="000000"/>
                <w:sz w:val="21"/>
                <w:szCs w:val="21"/>
              </w:rPr>
              <w:t>技术的非均匀分光光功率分路器的术语和定义，规定了非均匀分路器的光学性能、传输性能、封装结构、阻燃性能、外观结构等技术要求，描述了相应的测试方法，规定了检验规则以及标志、包装、运输和贮存等</w:t>
            </w:r>
          </w:p>
          <w:p w14:paraId="72F0FDBF">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本文件适用于单模光纤耦合的非均匀分路器器件和组件的设计、开发、生产和检验</w:t>
            </w:r>
          </w:p>
        </w:tc>
        <w:tc>
          <w:tcPr>
            <w:tcW w:w="1625" w:type="dxa"/>
            <w:noWrap w:val="0"/>
            <w:vAlign w:val="top"/>
          </w:tcPr>
          <w:p w14:paraId="1F6D16A5">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27DAB71A">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6EE3A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443ECCE">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761F2F7F">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2163-2024</w:t>
            </w:r>
          </w:p>
        </w:tc>
        <w:tc>
          <w:tcPr>
            <w:tcW w:w="2519" w:type="dxa"/>
            <w:noWrap w:val="0"/>
            <w:vAlign w:val="top"/>
          </w:tcPr>
          <w:p w14:paraId="0D556319">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移动通信用50Ω集束同轴电缆</w:t>
            </w:r>
          </w:p>
        </w:tc>
        <w:tc>
          <w:tcPr>
            <w:tcW w:w="6411" w:type="dxa"/>
            <w:noWrap w:val="0"/>
            <w:vAlign w:val="top"/>
          </w:tcPr>
          <w:p w14:paraId="25EF64D0">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本文件规定了移动通信用</w:t>
            </w:r>
            <w:r>
              <w:rPr>
                <w:rFonts w:ascii="Times New Roman" w:hAnsi="Times New Roman" w:eastAsia="仿宋_GB2312"/>
                <w:color w:val="000000"/>
                <w:sz w:val="21"/>
                <w:szCs w:val="21"/>
              </w:rPr>
              <w:t>50Ω集束同轴电缆的产品分类、要求、试验方法、检验规则以及包装、运输和贮存等方面的要求</w:t>
            </w:r>
          </w:p>
          <w:p w14:paraId="42B45350">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本文件适用于移动通信用</w:t>
            </w:r>
            <w:r>
              <w:rPr>
                <w:rFonts w:ascii="Times New Roman" w:hAnsi="Times New Roman" w:eastAsia="仿宋_GB2312"/>
                <w:color w:val="000000"/>
                <w:sz w:val="21"/>
                <w:szCs w:val="21"/>
              </w:rPr>
              <w:t>50Ω集束同轴电缆的制造、测试、验收和使用</w:t>
            </w:r>
          </w:p>
        </w:tc>
        <w:tc>
          <w:tcPr>
            <w:tcW w:w="1625" w:type="dxa"/>
            <w:noWrap w:val="0"/>
            <w:vAlign w:val="top"/>
          </w:tcPr>
          <w:p w14:paraId="2FCB116E">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r>
              <w:rPr>
                <w:rFonts w:ascii="Times New Roman" w:hAnsi="Times New Roman" w:eastAsia="仿宋_GB2312"/>
                <w:color w:val="000000"/>
                <w:sz w:val="21"/>
                <w:szCs w:val="21"/>
              </w:rPr>
              <w:t>YD/T 2163</w:t>
            </w:r>
            <w:r>
              <w:rPr>
                <w:rFonts w:hint="eastAsia" w:ascii="Times New Roman" w:hAnsi="Times New Roman" w:eastAsia="仿宋_GB2312"/>
                <w:color w:val="000000"/>
                <w:sz w:val="21"/>
                <w:szCs w:val="21"/>
                <w:lang w:val="en-US" w:eastAsia="zh-CN"/>
              </w:rPr>
              <w:t>-</w:t>
            </w:r>
            <w:r>
              <w:rPr>
                <w:rFonts w:ascii="Times New Roman" w:hAnsi="Times New Roman" w:eastAsia="仿宋_GB2312"/>
                <w:color w:val="000000"/>
                <w:sz w:val="21"/>
                <w:szCs w:val="21"/>
              </w:rPr>
              <w:t>2010</w:t>
            </w:r>
          </w:p>
        </w:tc>
        <w:tc>
          <w:tcPr>
            <w:tcW w:w="1649" w:type="dxa"/>
            <w:noWrap w:val="0"/>
            <w:vAlign w:val="top"/>
          </w:tcPr>
          <w:p w14:paraId="1669067C">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0E718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36198AC">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3C9154D8">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2651-2024</w:t>
            </w:r>
          </w:p>
        </w:tc>
        <w:tc>
          <w:tcPr>
            <w:tcW w:w="2519" w:type="dxa"/>
            <w:noWrap w:val="0"/>
            <w:vAlign w:val="top"/>
          </w:tcPr>
          <w:p w14:paraId="1DAF2E6F">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通信电缆 聚四氟乙烯绝缘射频同轴电缆 实芯绝缘编织浸锡外导体型</w:t>
            </w:r>
          </w:p>
        </w:tc>
        <w:tc>
          <w:tcPr>
            <w:tcW w:w="6411" w:type="dxa"/>
            <w:noWrap w:val="0"/>
            <w:vAlign w:val="top"/>
          </w:tcPr>
          <w:p w14:paraId="21ECEA42">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本文件规定了实芯聚四氟乙烯绝缘编织浸锡外导体型射频同轴电缆的产品分类、要求、试验方法、检验规则、包装、标志、运输和贮存</w:t>
            </w:r>
          </w:p>
          <w:p w14:paraId="62A09643">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本文件适用于无线通信设备的天线内部及各种射频模块中用来传输信号的射频同轴电缆</w:t>
            </w:r>
          </w:p>
        </w:tc>
        <w:tc>
          <w:tcPr>
            <w:tcW w:w="1625" w:type="dxa"/>
            <w:noWrap w:val="0"/>
            <w:vAlign w:val="top"/>
          </w:tcPr>
          <w:p w14:paraId="040BBB01">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r>
              <w:rPr>
                <w:rFonts w:ascii="Times New Roman" w:hAnsi="Times New Roman" w:eastAsia="仿宋_GB2312"/>
                <w:color w:val="000000"/>
                <w:sz w:val="21"/>
                <w:szCs w:val="21"/>
              </w:rPr>
              <w:t>YD/T 2651</w:t>
            </w:r>
            <w:r>
              <w:rPr>
                <w:rFonts w:hint="eastAsia" w:ascii="Times New Roman" w:hAnsi="Times New Roman" w:eastAsia="仿宋_GB2312"/>
                <w:color w:val="000000"/>
                <w:sz w:val="21"/>
                <w:szCs w:val="21"/>
                <w:lang w:val="en-US" w:eastAsia="zh-CN"/>
              </w:rPr>
              <w:t>-</w:t>
            </w:r>
            <w:r>
              <w:rPr>
                <w:rFonts w:ascii="Times New Roman" w:hAnsi="Times New Roman" w:eastAsia="仿宋_GB2312"/>
                <w:color w:val="000000"/>
                <w:sz w:val="21"/>
                <w:szCs w:val="21"/>
              </w:rPr>
              <w:t>20</w:t>
            </w:r>
            <w:r>
              <w:rPr>
                <w:rFonts w:hint="eastAsia" w:ascii="Times New Roman" w:hAnsi="Times New Roman" w:eastAsia="仿宋_GB2312"/>
                <w:color w:val="000000"/>
                <w:sz w:val="21"/>
                <w:szCs w:val="21"/>
              </w:rPr>
              <w:t>13</w:t>
            </w:r>
          </w:p>
        </w:tc>
        <w:tc>
          <w:tcPr>
            <w:tcW w:w="1649" w:type="dxa"/>
            <w:noWrap w:val="0"/>
            <w:vAlign w:val="top"/>
          </w:tcPr>
          <w:p w14:paraId="66F22E15">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33AA1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BE1CCA2">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5E94ADB4">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6088-2024</w:t>
            </w:r>
          </w:p>
        </w:tc>
        <w:tc>
          <w:tcPr>
            <w:tcW w:w="2519" w:type="dxa"/>
            <w:noWrap w:val="0"/>
            <w:vAlign w:val="top"/>
          </w:tcPr>
          <w:p w14:paraId="24FB69E0">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基于超文本标记语言第5版（HTML5）的扩展应用编程接口技术要求</w:t>
            </w:r>
          </w:p>
        </w:tc>
        <w:tc>
          <w:tcPr>
            <w:tcW w:w="6411" w:type="dxa"/>
            <w:noWrap w:val="0"/>
            <w:vAlign w:val="top"/>
          </w:tcPr>
          <w:p w14:paraId="4EEC9F5F">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w:t>
            </w:r>
            <w:r>
              <w:rPr>
                <w:rFonts w:hint="eastAsia" w:ascii="Times New Roman" w:hAnsi="Times New Roman" w:eastAsia="仿宋_GB2312" w:cs="宋体"/>
                <w:i w:val="0"/>
                <w:iCs w:val="0"/>
                <w:color w:val="000000"/>
                <w:kern w:val="0"/>
                <w:sz w:val="21"/>
                <w:szCs w:val="22"/>
                <w:u w:val="none"/>
                <w:lang w:val="en-US" w:eastAsia="zh-CN" w:bidi="ar"/>
              </w:rPr>
              <w:t>基于超文本标记语言第5版（HTML5）的</w:t>
            </w:r>
            <w:r>
              <w:rPr>
                <w:rFonts w:ascii="Times New Roman" w:hAnsi="Times New Roman" w:eastAsia="仿宋_GB2312"/>
                <w:color w:val="000000"/>
                <w:sz w:val="21"/>
                <w:szCs w:val="21"/>
              </w:rPr>
              <w:t>扩展应用编程接口技术要求，包括应用声明文件</w:t>
            </w:r>
            <w:r>
              <w:rPr>
                <w:rFonts w:hint="eastAsia" w:ascii="Times New Roman" w:hAnsi="Times New Roman" w:eastAsia="仿宋_GB2312"/>
                <w:color w:val="000000"/>
                <w:sz w:val="21"/>
                <w:szCs w:val="21"/>
                <w:lang w:eastAsia="zh-CN"/>
              </w:rPr>
              <w:t>、</w:t>
            </w:r>
            <w:r>
              <w:rPr>
                <w:rFonts w:ascii="Times New Roman" w:hAnsi="Times New Roman" w:eastAsia="仿宋_GB2312"/>
                <w:color w:val="000000"/>
                <w:sz w:val="21"/>
                <w:szCs w:val="21"/>
              </w:rPr>
              <w:t>设备信息、事件、原生对象、组件、管理、压缩等编程接口技术要求</w:t>
            </w:r>
          </w:p>
          <w:p w14:paraId="4CAE24A5">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本文件适用于针对基于</w:t>
            </w:r>
            <w:r>
              <w:rPr>
                <w:rFonts w:ascii="Times New Roman" w:hAnsi="Times New Roman" w:eastAsia="仿宋_GB2312"/>
                <w:color w:val="000000"/>
                <w:sz w:val="21"/>
                <w:szCs w:val="21"/>
              </w:rPr>
              <w:t>HTML5技术的应用程序编程接口</w:t>
            </w:r>
          </w:p>
        </w:tc>
        <w:tc>
          <w:tcPr>
            <w:tcW w:w="1625" w:type="dxa"/>
            <w:noWrap w:val="0"/>
            <w:vAlign w:val="top"/>
          </w:tcPr>
          <w:p w14:paraId="36547B05">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66B52174">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63996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465DBFC">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75C80777">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6089-2024</w:t>
            </w:r>
          </w:p>
        </w:tc>
        <w:tc>
          <w:tcPr>
            <w:tcW w:w="2519" w:type="dxa"/>
            <w:noWrap w:val="0"/>
            <w:vAlign w:val="top"/>
          </w:tcPr>
          <w:p w14:paraId="53F8F2E5">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移动互联网+智能家居系统 跨平台接入与控制测试方法</w:t>
            </w:r>
          </w:p>
        </w:tc>
        <w:tc>
          <w:tcPr>
            <w:tcW w:w="6411" w:type="dxa"/>
            <w:noWrap w:val="0"/>
            <w:vAlign w:val="top"/>
          </w:tcPr>
          <w:p w14:paraId="64EF8DAB">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本文件规定了使用跨平台接入认证技术的智能家居应用终端、蓝牙</w:t>
            </w:r>
            <w:r>
              <w:rPr>
                <w:rFonts w:ascii="Times New Roman" w:hAnsi="Times New Roman" w:eastAsia="仿宋_GB2312"/>
                <w:color w:val="000000"/>
                <w:sz w:val="21"/>
                <w:szCs w:val="21"/>
              </w:rPr>
              <w:t>Mesh异构中继、APP和云平台的接入、认证等协议的一致性测试方法，以及不同应用终端和不同智能家居平台的互操作测试方法</w:t>
            </w:r>
          </w:p>
          <w:p w14:paraId="4ACCE4DB">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本文件适用于使用跨平台接入认证技术的智能家居应用终端、蓝牙</w:t>
            </w:r>
            <w:r>
              <w:rPr>
                <w:rFonts w:ascii="Times New Roman" w:hAnsi="Times New Roman" w:eastAsia="仿宋_GB2312"/>
                <w:color w:val="000000"/>
                <w:sz w:val="21"/>
                <w:szCs w:val="21"/>
              </w:rPr>
              <w:t>Mesh异构中继、APP和云平台的互联互通性验证</w:t>
            </w:r>
          </w:p>
        </w:tc>
        <w:tc>
          <w:tcPr>
            <w:tcW w:w="1625" w:type="dxa"/>
            <w:noWrap w:val="0"/>
            <w:vAlign w:val="top"/>
          </w:tcPr>
          <w:p w14:paraId="680CECB6">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62C5F7A4">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65FC2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3004391">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06B06B10">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6090-2024</w:t>
            </w:r>
          </w:p>
        </w:tc>
        <w:tc>
          <w:tcPr>
            <w:tcW w:w="2519" w:type="dxa"/>
            <w:noWrap w:val="0"/>
            <w:vAlign w:val="top"/>
          </w:tcPr>
          <w:p w14:paraId="111E0854">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面向互联网的医疗人工智能辅助决策 基于病理图像的辅助决策系统算法指标和测试方法</w:t>
            </w:r>
          </w:p>
        </w:tc>
        <w:tc>
          <w:tcPr>
            <w:tcW w:w="6411" w:type="dxa"/>
            <w:noWrap w:val="0"/>
            <w:vAlign w:val="top"/>
          </w:tcPr>
          <w:p w14:paraId="55A5F066">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本文规定了面向互联网的医疗人工智能辅助决策基于病理图像的辅助决策系统算法指标和测试方法，包括性能指标及计算方法、测试流程等内容</w:t>
            </w:r>
          </w:p>
          <w:p w14:paraId="29C2001A">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本文件适用于面向互联网的基于病理图像的医疗人工智能辅助决策系统</w:t>
            </w:r>
          </w:p>
        </w:tc>
        <w:tc>
          <w:tcPr>
            <w:tcW w:w="1625" w:type="dxa"/>
            <w:noWrap w:val="0"/>
            <w:vAlign w:val="top"/>
          </w:tcPr>
          <w:p w14:paraId="6FCF4967">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501F2163">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75AAB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4DD32C1">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12888718">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6091-2024</w:t>
            </w:r>
          </w:p>
        </w:tc>
        <w:tc>
          <w:tcPr>
            <w:tcW w:w="2519" w:type="dxa"/>
            <w:noWrap w:val="0"/>
            <w:vAlign w:val="top"/>
          </w:tcPr>
          <w:p w14:paraId="71AF8D4E">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移动智能终端游戏外设技术要求和测试方法 第1部分：便携散热器</w:t>
            </w:r>
          </w:p>
        </w:tc>
        <w:tc>
          <w:tcPr>
            <w:tcW w:w="6411" w:type="dxa"/>
            <w:noWrap w:val="0"/>
            <w:vAlign w:val="top"/>
          </w:tcPr>
          <w:p w14:paraId="30B5BD24">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本文件规定了移动智能终端便携散热器类游戏外设的外观结构、安全、电磁兼容性、环境适应性、可靠性、功能和性能的要求和测试方法</w:t>
            </w:r>
          </w:p>
          <w:p w14:paraId="6183E77A">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本文件适用于移动智能终端便携散热器的设计、制造和检测</w:t>
            </w:r>
          </w:p>
        </w:tc>
        <w:tc>
          <w:tcPr>
            <w:tcW w:w="1625" w:type="dxa"/>
            <w:noWrap w:val="0"/>
            <w:vAlign w:val="top"/>
          </w:tcPr>
          <w:p w14:paraId="23FE1174">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74E4A75E">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7BE23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8113D37">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3E1DBE06">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6092-2024</w:t>
            </w:r>
          </w:p>
        </w:tc>
        <w:tc>
          <w:tcPr>
            <w:tcW w:w="2519" w:type="dxa"/>
            <w:noWrap w:val="0"/>
            <w:vAlign w:val="top"/>
          </w:tcPr>
          <w:p w14:paraId="316EF053">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移动通信终端广角拍摄辅助能力技术要求和测试方法</w:t>
            </w:r>
          </w:p>
        </w:tc>
        <w:tc>
          <w:tcPr>
            <w:tcW w:w="6411" w:type="dxa"/>
            <w:noWrap w:val="0"/>
            <w:vAlign w:val="top"/>
          </w:tcPr>
          <w:p w14:paraId="38AF226E">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本文件规定了移动终端广角拍摄影像质量的技术要求、测试环境和测试方法，包括分辨率、白平衡、色彩还原误差、几何失真、帧频率、纹理细节、色彩饱和度等</w:t>
            </w:r>
          </w:p>
          <w:p w14:paraId="0B143B9D">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本文件适用于配备有广角拍摄功能的移动通信终端，其他设备也可参照使用</w:t>
            </w:r>
          </w:p>
        </w:tc>
        <w:tc>
          <w:tcPr>
            <w:tcW w:w="1625" w:type="dxa"/>
            <w:noWrap w:val="0"/>
            <w:vAlign w:val="top"/>
          </w:tcPr>
          <w:p w14:paraId="05E2F3C7">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2F2017C5">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0BD6B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E0CFB32">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14E4A202">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6093-2024</w:t>
            </w:r>
          </w:p>
        </w:tc>
        <w:tc>
          <w:tcPr>
            <w:tcW w:w="2519" w:type="dxa"/>
            <w:noWrap w:val="0"/>
            <w:vAlign w:val="top"/>
          </w:tcPr>
          <w:p w14:paraId="5AB866F7">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基于SDN的二层VPN组网技术要求</w:t>
            </w:r>
          </w:p>
        </w:tc>
        <w:tc>
          <w:tcPr>
            <w:tcW w:w="6411" w:type="dxa"/>
            <w:noWrap w:val="0"/>
            <w:vAlign w:val="top"/>
          </w:tcPr>
          <w:p w14:paraId="24784722">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本文件规定了软件定义网络（</w:t>
            </w:r>
            <w:r>
              <w:rPr>
                <w:rFonts w:ascii="Times New Roman" w:hAnsi="Times New Roman" w:eastAsia="仿宋_GB2312"/>
                <w:color w:val="000000"/>
                <w:sz w:val="21"/>
                <w:szCs w:val="21"/>
              </w:rPr>
              <w:t>SDN）中二层VPN的网络业务需求、网络功能架构、应用场景及部署需求</w:t>
            </w:r>
          </w:p>
          <w:p w14:paraId="5B6B5ABB">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本文件适用于基于</w:t>
            </w:r>
            <w:r>
              <w:rPr>
                <w:rFonts w:ascii="Times New Roman" w:hAnsi="Times New Roman" w:eastAsia="仿宋_GB2312"/>
                <w:color w:val="000000"/>
                <w:sz w:val="21"/>
                <w:szCs w:val="21"/>
              </w:rPr>
              <w:t>SDN的二层VPN网络的构建，并指导相关设备的研发</w:t>
            </w:r>
          </w:p>
        </w:tc>
        <w:tc>
          <w:tcPr>
            <w:tcW w:w="1625" w:type="dxa"/>
            <w:noWrap w:val="0"/>
            <w:vAlign w:val="top"/>
          </w:tcPr>
          <w:p w14:paraId="24F05F69">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59EBFB50">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58A4D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4E6D284">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32F3F745">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6094-2024</w:t>
            </w:r>
          </w:p>
        </w:tc>
        <w:tc>
          <w:tcPr>
            <w:tcW w:w="2519" w:type="dxa"/>
            <w:noWrap w:val="0"/>
            <w:vAlign w:val="top"/>
          </w:tcPr>
          <w:p w14:paraId="75B82C9B">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网络功能虚拟化编排器（NFVO）技术要求 智能编排</w:t>
            </w:r>
          </w:p>
        </w:tc>
        <w:tc>
          <w:tcPr>
            <w:tcW w:w="6411" w:type="dxa"/>
            <w:noWrap w:val="0"/>
            <w:vAlign w:val="top"/>
          </w:tcPr>
          <w:p w14:paraId="67B11157">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w:t>
            </w:r>
            <w:r>
              <w:rPr>
                <w:rFonts w:hint="eastAsia" w:ascii="Times New Roman" w:hAnsi="Times New Roman" w:eastAsia="仿宋_GB2312" w:cs="宋体"/>
                <w:color w:val="000000"/>
                <w:kern w:val="0"/>
                <w:sz w:val="21"/>
                <w:lang w:bidi="ar"/>
              </w:rPr>
              <w:t>网络功能虚拟化中</w:t>
            </w:r>
            <w:r>
              <w:rPr>
                <w:rFonts w:hint="eastAsia" w:ascii="Times New Roman" w:hAnsi="Times New Roman" w:eastAsia="仿宋_GB2312"/>
                <w:color w:val="000000"/>
                <w:sz w:val="21"/>
                <w:szCs w:val="21"/>
              </w:rPr>
              <w:t>智能决策系统（</w:t>
            </w:r>
            <w:r>
              <w:rPr>
                <w:rFonts w:ascii="Times New Roman" w:hAnsi="Times New Roman" w:eastAsia="仿宋_GB2312"/>
                <w:color w:val="000000"/>
                <w:sz w:val="21"/>
                <w:szCs w:val="21"/>
              </w:rPr>
              <w:t>IPS）与编排（MANO）中的NFVO、控制器（VNFM）的技术架构、功能要求、主要业务流程、接口以及IPS对NFVO、VNFM中存储数据的采集方式、存储规范和数据格式的要求</w:t>
            </w:r>
          </w:p>
          <w:p w14:paraId="2D83C7F0">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本文件适用于不同场景下的网络智能编排，这些场景包括网络资源编排、网络节能调度、故障预测及定位等</w:t>
            </w:r>
          </w:p>
        </w:tc>
        <w:tc>
          <w:tcPr>
            <w:tcW w:w="1625" w:type="dxa"/>
            <w:noWrap w:val="0"/>
            <w:vAlign w:val="top"/>
          </w:tcPr>
          <w:p w14:paraId="58833645">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375C073D">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08594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7702F19">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01307DB4">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6095-2024</w:t>
            </w:r>
          </w:p>
        </w:tc>
        <w:tc>
          <w:tcPr>
            <w:tcW w:w="2519" w:type="dxa"/>
            <w:noWrap w:val="0"/>
            <w:vAlign w:val="top"/>
          </w:tcPr>
          <w:p w14:paraId="360DDE5F">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基于SDN/NFV的新一代网络架构 固移融合专线业务总体技术要求</w:t>
            </w:r>
          </w:p>
        </w:tc>
        <w:tc>
          <w:tcPr>
            <w:tcW w:w="6411" w:type="dxa"/>
            <w:noWrap w:val="0"/>
            <w:vAlign w:val="top"/>
          </w:tcPr>
          <w:p w14:paraId="2BA08D05">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本文件规定了基于</w:t>
            </w:r>
            <w:r>
              <w:rPr>
                <w:rFonts w:hint="eastAsia" w:ascii="Times New Roman" w:hAnsi="Times New Roman" w:eastAsia="仿宋_GB2312"/>
                <w:color w:val="000000"/>
                <w:sz w:val="21"/>
                <w:szCs w:val="21"/>
                <w:lang w:val="en-US" w:eastAsia="zh-CN"/>
              </w:rPr>
              <w:t>软件定义网络</w:t>
            </w:r>
            <w:r>
              <w:rPr>
                <w:rFonts w:hint="eastAsia" w:ascii="Times New Roman" w:hAnsi="Times New Roman" w:eastAsia="仿宋_GB2312"/>
                <w:color w:val="000000"/>
                <w:sz w:val="21"/>
                <w:szCs w:val="21"/>
                <w:lang w:eastAsia="zh-CN"/>
              </w:rPr>
              <w:t>（</w:t>
            </w:r>
            <w:r>
              <w:rPr>
                <w:rFonts w:ascii="Times New Roman" w:hAnsi="Times New Roman" w:eastAsia="仿宋_GB2312"/>
                <w:color w:val="000000"/>
                <w:sz w:val="21"/>
                <w:szCs w:val="21"/>
              </w:rPr>
              <w:t>SDN</w:t>
            </w:r>
            <w:r>
              <w:rPr>
                <w:rFonts w:hint="eastAsia" w:ascii="Times New Roman" w:hAnsi="Times New Roman" w:eastAsia="仿宋_GB2312"/>
                <w:color w:val="000000"/>
                <w:sz w:val="21"/>
                <w:szCs w:val="21"/>
                <w:lang w:eastAsia="zh-CN"/>
              </w:rPr>
              <w:t>）</w:t>
            </w:r>
            <w:r>
              <w:rPr>
                <w:rFonts w:ascii="Times New Roman" w:hAnsi="Times New Roman" w:eastAsia="仿宋_GB2312"/>
                <w:color w:val="000000"/>
                <w:sz w:val="21"/>
                <w:szCs w:val="21"/>
              </w:rPr>
              <w:t>/</w:t>
            </w:r>
            <w:r>
              <w:rPr>
                <w:rFonts w:hint="eastAsia" w:ascii="Times New Roman" w:hAnsi="Times New Roman" w:eastAsia="仿宋_GB2312"/>
                <w:color w:val="000000"/>
                <w:sz w:val="21"/>
                <w:szCs w:val="21"/>
                <w:lang w:val="en-US" w:eastAsia="zh-CN"/>
              </w:rPr>
              <w:t>网络功能虚拟化</w:t>
            </w:r>
            <w:r>
              <w:rPr>
                <w:rFonts w:hint="eastAsia" w:ascii="Times New Roman" w:hAnsi="Times New Roman" w:eastAsia="仿宋_GB2312"/>
                <w:color w:val="000000"/>
                <w:sz w:val="21"/>
                <w:szCs w:val="21"/>
                <w:lang w:eastAsia="zh-CN"/>
              </w:rPr>
              <w:t>（</w:t>
            </w:r>
            <w:r>
              <w:rPr>
                <w:rFonts w:ascii="Times New Roman" w:hAnsi="Times New Roman" w:eastAsia="仿宋_GB2312"/>
                <w:color w:val="000000"/>
                <w:sz w:val="21"/>
                <w:szCs w:val="21"/>
              </w:rPr>
              <w:t>NFV</w:t>
            </w:r>
            <w:r>
              <w:rPr>
                <w:rFonts w:hint="eastAsia" w:ascii="Times New Roman" w:hAnsi="Times New Roman" w:eastAsia="仿宋_GB2312"/>
                <w:color w:val="000000"/>
                <w:sz w:val="21"/>
                <w:szCs w:val="21"/>
                <w:lang w:eastAsia="zh-CN"/>
              </w:rPr>
              <w:t>）</w:t>
            </w:r>
            <w:r>
              <w:rPr>
                <w:rFonts w:ascii="Times New Roman" w:hAnsi="Times New Roman" w:eastAsia="仿宋_GB2312"/>
                <w:color w:val="000000"/>
                <w:sz w:val="21"/>
                <w:szCs w:val="21"/>
              </w:rPr>
              <w:t>的新一代网络架构 固移融合专线业务的总体技术要求，包括固移融合专线业务定义及业务功能、业务场景、业务技术要求、业务的系统架构和接口要求等。本文件主要针对基于SDN/NFV的新一代网络架构固移融合专线业务进行规范化约束</w:t>
            </w:r>
          </w:p>
          <w:p w14:paraId="3B2751F4">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本文件适用于基于</w:t>
            </w:r>
            <w:r>
              <w:rPr>
                <w:rFonts w:ascii="Times New Roman" w:hAnsi="Times New Roman" w:eastAsia="仿宋_GB2312"/>
                <w:color w:val="000000"/>
                <w:sz w:val="21"/>
                <w:szCs w:val="21"/>
              </w:rPr>
              <w:t>SDN/NFV的新一代网络架构</w:t>
            </w:r>
          </w:p>
        </w:tc>
        <w:tc>
          <w:tcPr>
            <w:tcW w:w="1625" w:type="dxa"/>
            <w:noWrap w:val="0"/>
            <w:vAlign w:val="top"/>
          </w:tcPr>
          <w:p w14:paraId="3756E9C9">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26A343C2">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25787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1B314EB8">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7FAA79C4">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6096-2024</w:t>
            </w:r>
          </w:p>
        </w:tc>
        <w:tc>
          <w:tcPr>
            <w:tcW w:w="2519" w:type="dxa"/>
            <w:noWrap w:val="0"/>
            <w:vAlign w:val="top"/>
          </w:tcPr>
          <w:p w14:paraId="0183CAA6">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基于SDN的网络随选系统 SDN控制器技术要求</w:t>
            </w:r>
          </w:p>
        </w:tc>
        <w:tc>
          <w:tcPr>
            <w:tcW w:w="6411" w:type="dxa"/>
            <w:noWrap w:val="0"/>
            <w:vAlign w:val="top"/>
          </w:tcPr>
          <w:p w14:paraId="2357F3BD">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本文件规定了基于</w:t>
            </w:r>
            <w:r>
              <w:rPr>
                <w:rFonts w:hint="eastAsia" w:ascii="Times New Roman" w:hAnsi="Times New Roman" w:eastAsia="仿宋_GB2312"/>
                <w:color w:val="000000"/>
                <w:sz w:val="21"/>
                <w:szCs w:val="21"/>
                <w:lang w:val="en-US" w:eastAsia="zh-CN"/>
              </w:rPr>
              <w:t>软件定义网络（</w:t>
            </w:r>
            <w:r>
              <w:rPr>
                <w:rFonts w:ascii="Times New Roman" w:hAnsi="Times New Roman" w:eastAsia="仿宋_GB2312"/>
                <w:color w:val="000000"/>
                <w:sz w:val="21"/>
                <w:szCs w:val="21"/>
              </w:rPr>
              <w:t>SDN</w:t>
            </w:r>
            <w:r>
              <w:rPr>
                <w:rFonts w:hint="eastAsia" w:ascii="Times New Roman" w:hAnsi="Times New Roman" w:eastAsia="仿宋_GB2312"/>
                <w:color w:val="000000"/>
                <w:sz w:val="21"/>
                <w:szCs w:val="21"/>
                <w:lang w:val="en-US" w:eastAsia="zh-CN"/>
              </w:rPr>
              <w:t>）</w:t>
            </w:r>
            <w:r>
              <w:rPr>
                <w:rFonts w:ascii="Times New Roman" w:hAnsi="Times New Roman" w:eastAsia="仿宋_GB2312"/>
                <w:color w:val="000000"/>
                <w:sz w:val="21"/>
                <w:szCs w:val="21"/>
              </w:rPr>
              <w:t>的网络随选系统SDN控制器的架构模型、功能模块描述、功能要求和接口要求</w:t>
            </w:r>
          </w:p>
          <w:p w14:paraId="1699CB18">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本文件适用于基于</w:t>
            </w:r>
            <w:r>
              <w:rPr>
                <w:rFonts w:ascii="Times New Roman" w:hAnsi="Times New Roman" w:eastAsia="仿宋_GB2312"/>
                <w:color w:val="000000"/>
                <w:sz w:val="21"/>
                <w:szCs w:val="21"/>
              </w:rPr>
              <w:t>SDN的网络随选系统的相关研发和生产，可为基于SDN的网络随选系统SDN控制器的研发、生产和测试提供参考</w:t>
            </w:r>
          </w:p>
        </w:tc>
        <w:tc>
          <w:tcPr>
            <w:tcW w:w="1625" w:type="dxa"/>
            <w:noWrap w:val="0"/>
            <w:vAlign w:val="top"/>
          </w:tcPr>
          <w:p w14:paraId="08CD9CA2">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1BC11779">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6BC2D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6CCB32D">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5A874548">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6097-2024</w:t>
            </w:r>
          </w:p>
        </w:tc>
        <w:tc>
          <w:tcPr>
            <w:tcW w:w="2519" w:type="dxa"/>
            <w:noWrap w:val="0"/>
            <w:vAlign w:val="top"/>
          </w:tcPr>
          <w:p w14:paraId="17B9FCE5">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面向电信网的软件定义边界（SDP）技术要求</w:t>
            </w:r>
          </w:p>
        </w:tc>
        <w:tc>
          <w:tcPr>
            <w:tcW w:w="6411" w:type="dxa"/>
            <w:noWrap w:val="0"/>
            <w:vAlign w:val="top"/>
          </w:tcPr>
          <w:p w14:paraId="27960DF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本文件规定了面向电信业务网、管理网的软件定义边界（SDP）的技术体系、流程和接口、参考框架、技术要求和安全要求</w:t>
            </w:r>
          </w:p>
          <w:p w14:paraId="2F529C9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本文件适用于SDP技术研发、设备研制、系统部署和运维</w:t>
            </w:r>
          </w:p>
        </w:tc>
        <w:tc>
          <w:tcPr>
            <w:tcW w:w="1625" w:type="dxa"/>
            <w:noWrap w:val="0"/>
            <w:vAlign w:val="top"/>
          </w:tcPr>
          <w:p w14:paraId="0ADC52C3">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5F79D097">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307FE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79116D6">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61EF4958">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6098-2024</w:t>
            </w:r>
          </w:p>
        </w:tc>
        <w:tc>
          <w:tcPr>
            <w:tcW w:w="2519" w:type="dxa"/>
            <w:noWrap w:val="0"/>
            <w:vAlign w:val="top"/>
          </w:tcPr>
          <w:p w14:paraId="0211A636">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基于AI赋能的通信网络架构和AI通用能力技术要求</w:t>
            </w:r>
          </w:p>
        </w:tc>
        <w:tc>
          <w:tcPr>
            <w:tcW w:w="6411" w:type="dxa"/>
            <w:noWrap w:val="0"/>
            <w:vAlign w:val="top"/>
          </w:tcPr>
          <w:p w14:paraId="1EC594C5">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本文件主要规定了基于</w:t>
            </w:r>
            <w:r>
              <w:rPr>
                <w:rFonts w:ascii="Times New Roman" w:hAnsi="Times New Roman" w:eastAsia="仿宋_GB2312"/>
                <w:color w:val="000000"/>
                <w:sz w:val="21"/>
                <w:szCs w:val="21"/>
              </w:rPr>
              <w:t>AI赋能的通信网络智能系统的总体功能架构，以及数据采集、数据处理、AI模型训练、AI推理、知识构筑和意图决策的技术要求</w:t>
            </w:r>
          </w:p>
          <w:p w14:paraId="63DBB645">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w:t>
            </w:r>
            <w:r>
              <w:rPr>
                <w:rFonts w:ascii="Times New Roman" w:hAnsi="Times New Roman" w:eastAsia="仿宋_GB2312"/>
                <w:color w:val="000000"/>
                <w:sz w:val="21"/>
                <w:szCs w:val="21"/>
              </w:rPr>
              <w:t>AI赋能的IP网络，其他AI赋能的通信网络可以参照执行</w:t>
            </w:r>
          </w:p>
        </w:tc>
        <w:tc>
          <w:tcPr>
            <w:tcW w:w="1625" w:type="dxa"/>
            <w:noWrap w:val="0"/>
            <w:vAlign w:val="top"/>
          </w:tcPr>
          <w:p w14:paraId="117DA833">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3DE3F386">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217B0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10B0DE4">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03C11C81">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4918.3-202X</w:t>
            </w:r>
          </w:p>
        </w:tc>
        <w:tc>
          <w:tcPr>
            <w:tcW w:w="2519" w:type="dxa"/>
            <w:noWrap w:val="0"/>
            <w:vAlign w:val="top"/>
          </w:tcPr>
          <w:p w14:paraId="1E8A24AD">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基于边缘计算的机器视觉 第3部分：技术要求</w:t>
            </w:r>
          </w:p>
        </w:tc>
        <w:tc>
          <w:tcPr>
            <w:tcW w:w="6411" w:type="dxa"/>
            <w:noWrap w:val="0"/>
            <w:vAlign w:val="top"/>
          </w:tcPr>
          <w:p w14:paraId="5EE4BCA6">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本文件规定了基于边缘计算的机器视觉的技术要求，包括功能框架、边缘侧功能、云侧功能、边缘硬件性能、网络、接口、系统功能要求等</w:t>
            </w:r>
          </w:p>
          <w:p w14:paraId="53652590">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本文件适用于指导工业制造、安防、医疗、交通等领域基于边缘计算的机器视觉系统的设计、开发、测试</w:t>
            </w:r>
          </w:p>
        </w:tc>
        <w:tc>
          <w:tcPr>
            <w:tcW w:w="1625" w:type="dxa"/>
            <w:noWrap w:val="0"/>
            <w:vAlign w:val="top"/>
          </w:tcPr>
          <w:p w14:paraId="1F4BEE65">
            <w:pPr>
              <w:pStyle w:val="23"/>
              <w:keepNext w:val="0"/>
              <w:keepLines w:val="0"/>
              <w:pageBreakBefore w:val="0"/>
              <w:kinsoku/>
              <w:wordWrap/>
              <w:overflowPunct/>
              <w:topLinePunct w:val="0"/>
              <w:autoSpaceDE/>
              <w:autoSpaceDN/>
              <w:bidi w:val="0"/>
              <w:spacing w:line="360" w:lineRule="exact"/>
              <w:ind w:left="0" w:leftChars="0" w:firstLine="420" w:firstLineChars="200"/>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517C719E">
            <w:pPr>
              <w:pStyle w:val="23"/>
              <w:keepNext w:val="0"/>
              <w:keepLines w:val="0"/>
              <w:pageBreakBefore w:val="0"/>
              <w:kinsoku/>
              <w:wordWrap/>
              <w:overflowPunct/>
              <w:topLinePunct w:val="0"/>
              <w:autoSpaceDE/>
              <w:autoSpaceDN/>
              <w:bidi w:val="0"/>
              <w:spacing w:line="360" w:lineRule="exact"/>
              <w:ind w:left="0" w:leftChars="0" w:firstLine="420" w:firstLineChars="200"/>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07B81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5D13615">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04C2C87F">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6099-2024</w:t>
            </w:r>
          </w:p>
        </w:tc>
        <w:tc>
          <w:tcPr>
            <w:tcW w:w="2519" w:type="dxa"/>
            <w:noWrap w:val="0"/>
            <w:vAlign w:val="top"/>
          </w:tcPr>
          <w:p w14:paraId="6030E9CE">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数字孪生网络 中间系统到中间系统（ISIS）孪生体模拟能力要求</w:t>
            </w:r>
          </w:p>
        </w:tc>
        <w:tc>
          <w:tcPr>
            <w:tcW w:w="6411" w:type="dxa"/>
            <w:noWrap w:val="0"/>
            <w:vAlign w:val="top"/>
          </w:tcPr>
          <w:p w14:paraId="29711771">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本文件规定了数字孪生网络中</w:t>
            </w:r>
            <w:r>
              <w:rPr>
                <w:rFonts w:hint="eastAsia" w:ascii="Times New Roman" w:hAnsi="Times New Roman" w:eastAsia="仿宋_GB2312" w:cs="宋体"/>
                <w:i w:val="0"/>
                <w:iCs w:val="0"/>
                <w:color w:val="000000"/>
                <w:kern w:val="0"/>
                <w:sz w:val="21"/>
                <w:szCs w:val="22"/>
                <w:u w:val="none"/>
                <w:lang w:val="en-US" w:eastAsia="zh-CN" w:bidi="ar"/>
              </w:rPr>
              <w:t>中间系统到中间系统（</w:t>
            </w:r>
            <w:r>
              <w:rPr>
                <w:rFonts w:ascii="Times New Roman" w:hAnsi="Times New Roman" w:eastAsia="仿宋_GB2312"/>
                <w:color w:val="000000"/>
                <w:sz w:val="21"/>
                <w:szCs w:val="21"/>
              </w:rPr>
              <w:t>ISIS</w:t>
            </w:r>
            <w:r>
              <w:rPr>
                <w:rFonts w:hint="eastAsia" w:ascii="Times New Roman" w:hAnsi="Times New Roman" w:eastAsia="仿宋_GB2312" w:cs="宋体"/>
                <w:i w:val="0"/>
                <w:iCs w:val="0"/>
                <w:color w:val="000000"/>
                <w:kern w:val="0"/>
                <w:sz w:val="21"/>
                <w:szCs w:val="22"/>
                <w:u w:val="none"/>
                <w:lang w:val="en-US" w:eastAsia="zh-CN" w:bidi="ar"/>
              </w:rPr>
              <w:t>）</w:t>
            </w:r>
            <w:r>
              <w:rPr>
                <w:rFonts w:ascii="Times New Roman" w:hAnsi="Times New Roman" w:eastAsia="仿宋_GB2312"/>
                <w:color w:val="000000"/>
                <w:sz w:val="21"/>
                <w:szCs w:val="21"/>
              </w:rPr>
              <w:t>孪生体的模拟能力要求，对ISIS孪生体模拟能力进行了功能分割，并对各项模拟能力提出了功能要求</w:t>
            </w:r>
          </w:p>
          <w:p w14:paraId="4178B1E3">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本文件适用于数字孪生网络中</w:t>
            </w:r>
            <w:r>
              <w:rPr>
                <w:rFonts w:ascii="Times New Roman" w:hAnsi="Times New Roman" w:eastAsia="仿宋_GB2312"/>
                <w:color w:val="000000"/>
                <w:sz w:val="21"/>
                <w:szCs w:val="21"/>
              </w:rPr>
              <w:t>ISIS孪生体的模拟能力的设计和描述工作</w:t>
            </w:r>
          </w:p>
        </w:tc>
        <w:tc>
          <w:tcPr>
            <w:tcW w:w="1625" w:type="dxa"/>
            <w:noWrap w:val="0"/>
            <w:vAlign w:val="top"/>
          </w:tcPr>
          <w:p w14:paraId="5CBA40F9">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5588BC17">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112D0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57D36B6">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3C67E2A0">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6100-2024</w:t>
            </w:r>
          </w:p>
        </w:tc>
        <w:tc>
          <w:tcPr>
            <w:tcW w:w="2519" w:type="dxa"/>
            <w:noWrap w:val="0"/>
            <w:vAlign w:val="top"/>
          </w:tcPr>
          <w:p w14:paraId="2A7D441D">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基于多点网络的双向转发检测（BFD）机制的技术要求</w:t>
            </w:r>
          </w:p>
        </w:tc>
        <w:tc>
          <w:tcPr>
            <w:tcW w:w="6411" w:type="dxa"/>
            <w:noWrap w:val="0"/>
            <w:vAlign w:val="top"/>
          </w:tcPr>
          <w:p w14:paraId="1952C4C5">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本文件规定了基于多点网络的双向转发检测机制的技术要求，包括</w:t>
            </w:r>
            <w:r>
              <w:rPr>
                <w:rFonts w:hint="eastAsia" w:ascii="Times New Roman" w:hAnsi="Times New Roman" w:eastAsia="仿宋_GB2312" w:cs="宋体"/>
                <w:i w:val="0"/>
                <w:iCs w:val="0"/>
                <w:color w:val="000000"/>
                <w:kern w:val="0"/>
                <w:sz w:val="21"/>
                <w:szCs w:val="22"/>
                <w:u w:val="none"/>
                <w:lang w:val="en-US" w:eastAsia="zh-CN" w:bidi="ar"/>
              </w:rPr>
              <w:t>基于多点网络的双向转发检测</w:t>
            </w:r>
            <w:r>
              <w:rPr>
                <w:rFonts w:hint="eastAsia" w:ascii="Times New Roman" w:hAnsi="Times New Roman" w:eastAsia="仿宋_GB2312"/>
                <w:color w:val="000000"/>
                <w:sz w:val="21"/>
                <w:szCs w:val="21"/>
                <w:lang w:eastAsia="zh-CN"/>
              </w:rPr>
              <w:t>（</w:t>
            </w:r>
            <w:r>
              <w:rPr>
                <w:rFonts w:ascii="Times New Roman" w:hAnsi="Times New Roman" w:eastAsia="仿宋_GB2312"/>
                <w:color w:val="000000"/>
                <w:sz w:val="21"/>
                <w:szCs w:val="21"/>
              </w:rPr>
              <w:t>BFD</w:t>
            </w:r>
            <w:r>
              <w:rPr>
                <w:rFonts w:hint="eastAsia" w:ascii="Times New Roman" w:hAnsi="Times New Roman" w:eastAsia="仿宋_GB2312"/>
                <w:color w:val="000000"/>
                <w:sz w:val="21"/>
                <w:szCs w:val="21"/>
                <w:lang w:eastAsia="zh-CN"/>
              </w:rPr>
              <w:t>）</w:t>
            </w:r>
            <w:r>
              <w:rPr>
                <w:rFonts w:ascii="Times New Roman" w:hAnsi="Times New Roman" w:eastAsia="仿宋_GB2312"/>
                <w:color w:val="000000"/>
                <w:sz w:val="21"/>
                <w:szCs w:val="21"/>
              </w:rPr>
              <w:t>控制报文格式</w:t>
            </w:r>
            <w:r>
              <w:rPr>
                <w:rFonts w:hint="eastAsia" w:ascii="Times New Roman" w:hAnsi="Times New Roman" w:eastAsia="仿宋_GB2312"/>
                <w:color w:val="000000"/>
                <w:sz w:val="21"/>
                <w:szCs w:val="21"/>
                <w:lang w:eastAsia="zh-CN"/>
              </w:rPr>
              <w:t>、</w:t>
            </w:r>
            <w:r>
              <w:rPr>
                <w:rFonts w:ascii="Times New Roman" w:hAnsi="Times New Roman" w:eastAsia="仿宋_GB2312"/>
                <w:color w:val="000000"/>
                <w:sz w:val="21"/>
                <w:szCs w:val="21"/>
              </w:rPr>
              <w:t>会话模型</w:t>
            </w:r>
            <w:r>
              <w:rPr>
                <w:rFonts w:hint="eastAsia" w:ascii="Times New Roman" w:hAnsi="Times New Roman" w:eastAsia="仿宋_GB2312"/>
                <w:color w:val="000000"/>
                <w:sz w:val="21"/>
                <w:szCs w:val="21"/>
                <w:lang w:eastAsia="zh-CN"/>
              </w:rPr>
              <w:t>、</w:t>
            </w:r>
            <w:r>
              <w:rPr>
                <w:rFonts w:ascii="Times New Roman" w:hAnsi="Times New Roman" w:eastAsia="仿宋_GB2312"/>
                <w:color w:val="000000"/>
                <w:sz w:val="21"/>
                <w:szCs w:val="21"/>
              </w:rPr>
              <w:t>状态变量</w:t>
            </w:r>
            <w:r>
              <w:rPr>
                <w:rFonts w:hint="eastAsia" w:ascii="Times New Roman" w:hAnsi="Times New Roman" w:eastAsia="仿宋_GB2312"/>
                <w:color w:val="000000"/>
                <w:sz w:val="21"/>
                <w:szCs w:val="21"/>
                <w:lang w:eastAsia="zh-CN"/>
              </w:rPr>
              <w:t>、</w:t>
            </w:r>
            <w:r>
              <w:rPr>
                <w:rFonts w:ascii="Times New Roman" w:hAnsi="Times New Roman" w:eastAsia="仿宋_GB2312"/>
                <w:color w:val="000000"/>
                <w:sz w:val="21"/>
                <w:szCs w:val="21"/>
              </w:rPr>
              <w:t>状态机</w:t>
            </w:r>
            <w:r>
              <w:rPr>
                <w:rFonts w:hint="eastAsia" w:ascii="Times New Roman" w:hAnsi="Times New Roman" w:eastAsia="仿宋_GB2312"/>
                <w:color w:val="000000"/>
                <w:sz w:val="21"/>
                <w:szCs w:val="21"/>
                <w:lang w:eastAsia="zh-CN"/>
              </w:rPr>
              <w:t>、</w:t>
            </w:r>
            <w:r>
              <w:rPr>
                <w:rFonts w:ascii="Times New Roman" w:hAnsi="Times New Roman" w:eastAsia="仿宋_GB2312"/>
                <w:color w:val="000000"/>
                <w:sz w:val="21"/>
                <w:szCs w:val="21"/>
              </w:rPr>
              <w:t>BFD控制报文的发送和接收，以及尾节点扩展功能等</w:t>
            </w:r>
          </w:p>
          <w:p w14:paraId="7148CA25">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本文件适用于支持多点网络的双向转发检测机制的网络设备</w:t>
            </w:r>
          </w:p>
        </w:tc>
        <w:tc>
          <w:tcPr>
            <w:tcW w:w="1625" w:type="dxa"/>
            <w:noWrap w:val="0"/>
            <w:vAlign w:val="top"/>
          </w:tcPr>
          <w:p w14:paraId="3327A328">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51C6A6F7">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651E3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8A8FA6B">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6F549AEE">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6101-2024</w:t>
            </w:r>
          </w:p>
        </w:tc>
        <w:tc>
          <w:tcPr>
            <w:tcW w:w="2519" w:type="dxa"/>
            <w:noWrap w:val="0"/>
            <w:vAlign w:val="top"/>
          </w:tcPr>
          <w:p w14:paraId="2372C05A">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深度包检测策略信息库智能管理技术要求</w:t>
            </w:r>
          </w:p>
        </w:tc>
        <w:tc>
          <w:tcPr>
            <w:tcW w:w="6411" w:type="dxa"/>
            <w:noWrap w:val="0"/>
            <w:vAlign w:val="top"/>
          </w:tcPr>
          <w:p w14:paraId="531BC85F">
            <w:pPr>
              <w:pStyle w:val="23"/>
              <w:keepNext w:val="0"/>
              <w:keepLines w:val="0"/>
              <w:pageBreakBefore w:val="0"/>
              <w:widowControl w:val="0"/>
              <w:kinsoku/>
              <w:wordWrap/>
              <w:overflowPunct/>
              <w:topLinePunct w:val="0"/>
              <w:autoSpaceDE/>
              <w:autoSpaceDN/>
              <w:bidi w:val="0"/>
              <w:adjustRightInd/>
              <w:snapToGrid/>
              <w:spacing w:line="360" w:lineRule="exact"/>
              <w:ind w:left="0" w:firstLine="420" w:firstLineChars="200"/>
              <w:jc w:val="both"/>
              <w:textAlignment w:val="auto"/>
              <w:rPr>
                <w:rFonts w:ascii="Times New Roman" w:hAnsi="Times New Roman" w:eastAsia="仿宋_GB2312" w:cs="宋体"/>
                <w:sz w:val="21"/>
              </w:rPr>
            </w:pPr>
            <w:r>
              <w:rPr>
                <w:rFonts w:hint="eastAsia" w:ascii="Times New Roman" w:hAnsi="Times New Roman" w:eastAsia="仿宋_GB2312" w:cs="宋体"/>
                <w:sz w:val="21"/>
              </w:rPr>
              <w:t>本文件规定了深度包检测策略信息库的智能管理技术要求，包括总体要求、应用技术要求、接口技术要求、管控面技术要求等</w:t>
            </w:r>
          </w:p>
          <w:p w14:paraId="4CD4EFCE">
            <w:pPr>
              <w:pStyle w:val="23"/>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s="宋体"/>
                <w:sz w:val="21"/>
              </w:rPr>
              <w:t>本文件适用于深度包检测策略信息库智能管理的设计、实现、测试和验证</w:t>
            </w:r>
          </w:p>
        </w:tc>
        <w:tc>
          <w:tcPr>
            <w:tcW w:w="1625" w:type="dxa"/>
            <w:noWrap w:val="0"/>
            <w:vAlign w:val="top"/>
          </w:tcPr>
          <w:p w14:paraId="2ED21277">
            <w:pPr>
              <w:pStyle w:val="23"/>
              <w:keepNext w:val="0"/>
              <w:keepLines w:val="0"/>
              <w:pageBreakBefore w:val="0"/>
              <w:kinsoku/>
              <w:wordWrap/>
              <w:overflowPunct/>
              <w:topLinePunct w:val="0"/>
              <w:autoSpaceDE/>
              <w:autoSpaceDN/>
              <w:bidi w:val="0"/>
              <w:spacing w:line="360" w:lineRule="exact"/>
              <w:ind w:left="0" w:leftChars="0" w:firstLine="420" w:firstLineChars="200"/>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6EDB5799">
            <w:pPr>
              <w:pStyle w:val="23"/>
              <w:keepNext w:val="0"/>
              <w:keepLines w:val="0"/>
              <w:pageBreakBefore w:val="0"/>
              <w:kinsoku/>
              <w:wordWrap/>
              <w:overflowPunct/>
              <w:topLinePunct w:val="0"/>
              <w:autoSpaceDE/>
              <w:autoSpaceDN/>
              <w:bidi w:val="0"/>
              <w:spacing w:line="360" w:lineRule="exact"/>
              <w:ind w:left="0" w:leftChars="0" w:firstLine="420" w:firstLineChars="200"/>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062EA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D1A2AB7">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1FE5BEC3">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6102-2024</w:t>
            </w:r>
          </w:p>
        </w:tc>
        <w:tc>
          <w:tcPr>
            <w:tcW w:w="2519" w:type="dxa"/>
            <w:noWrap w:val="0"/>
            <w:vAlign w:val="top"/>
          </w:tcPr>
          <w:p w14:paraId="0C6491F4">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IP自智网络 总体技术要求</w:t>
            </w:r>
          </w:p>
        </w:tc>
        <w:tc>
          <w:tcPr>
            <w:tcW w:w="6411" w:type="dxa"/>
            <w:noWrap w:val="0"/>
            <w:vAlign w:val="top"/>
          </w:tcPr>
          <w:p w14:paraId="445ADDF9">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w:t>
            </w:r>
            <w:r>
              <w:rPr>
                <w:rFonts w:ascii="Times New Roman" w:hAnsi="Times New Roman" w:eastAsia="仿宋_GB2312"/>
                <w:color w:val="000000"/>
                <w:sz w:val="21"/>
                <w:szCs w:val="21"/>
              </w:rPr>
              <w:t>IP自智网络的总体架构、功能要求和接口要求，并列举了典型应用场景</w:t>
            </w:r>
          </w:p>
          <w:p w14:paraId="5BE36530">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本文件适用于基于</w:t>
            </w:r>
            <w:r>
              <w:rPr>
                <w:rFonts w:ascii="Times New Roman" w:hAnsi="Times New Roman" w:eastAsia="仿宋_GB2312"/>
                <w:color w:val="000000"/>
                <w:sz w:val="21"/>
                <w:szCs w:val="21"/>
              </w:rPr>
              <w:t>IP技术的自智网络</w:t>
            </w:r>
          </w:p>
        </w:tc>
        <w:tc>
          <w:tcPr>
            <w:tcW w:w="1625" w:type="dxa"/>
            <w:noWrap w:val="0"/>
            <w:vAlign w:val="top"/>
          </w:tcPr>
          <w:p w14:paraId="3A07607C">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3AD95BA7">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r w14:paraId="6BFC7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2ABE043">
            <w:pPr>
              <w:pStyle w:val="23"/>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Times New Roman" w:hAnsi="Times New Roman" w:eastAsia="仿宋_GB2312" w:cs="仿宋_GB2312"/>
                <w:color w:val="auto"/>
                <w:sz w:val="21"/>
                <w:szCs w:val="21"/>
                <w:highlight w:val="none"/>
              </w:rPr>
            </w:pPr>
          </w:p>
        </w:tc>
        <w:tc>
          <w:tcPr>
            <w:tcW w:w="1847" w:type="dxa"/>
            <w:noWrap w:val="0"/>
            <w:vAlign w:val="top"/>
          </w:tcPr>
          <w:p w14:paraId="00285245">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YD/T 6103-2024</w:t>
            </w:r>
          </w:p>
        </w:tc>
        <w:tc>
          <w:tcPr>
            <w:tcW w:w="2519" w:type="dxa"/>
            <w:noWrap w:val="0"/>
            <w:vAlign w:val="top"/>
          </w:tcPr>
          <w:p w14:paraId="50AEED8D">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Times New Roman" w:hAnsi="Times New Roman" w:eastAsia="仿宋_GB2312" w:cs="仿宋_GB2312"/>
                <w:i w:val="0"/>
                <w:iCs w:val="0"/>
                <w:color w:val="auto"/>
                <w:kern w:val="0"/>
                <w:sz w:val="21"/>
                <w:szCs w:val="21"/>
                <w:highlight w:val="none"/>
                <w:u w:val="none"/>
                <w:lang w:val="en-US" w:eastAsia="zh-CN" w:bidi="ar"/>
              </w:rPr>
            </w:pPr>
            <w:r>
              <w:rPr>
                <w:rFonts w:hint="eastAsia" w:ascii="Times New Roman" w:hAnsi="Times New Roman" w:eastAsia="仿宋_GB2312" w:cs="宋体"/>
                <w:i w:val="0"/>
                <w:iCs w:val="0"/>
                <w:color w:val="000000"/>
                <w:kern w:val="0"/>
                <w:sz w:val="21"/>
                <w:szCs w:val="22"/>
                <w:u w:val="none"/>
                <w:lang w:val="en-US" w:eastAsia="zh-CN" w:bidi="ar"/>
              </w:rPr>
              <w:t>IP自智网络 知识面技术要求</w:t>
            </w:r>
          </w:p>
        </w:tc>
        <w:tc>
          <w:tcPr>
            <w:tcW w:w="6411" w:type="dxa"/>
            <w:noWrap w:val="0"/>
            <w:vAlign w:val="top"/>
          </w:tcPr>
          <w:p w14:paraId="7F23D66A">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ascii="Times New Roman" w:hAnsi="Times New Roman" w:eastAsia="仿宋_GB2312"/>
                <w:color w:val="000000"/>
                <w:sz w:val="21"/>
                <w:szCs w:val="21"/>
              </w:rPr>
            </w:pPr>
            <w:r>
              <w:rPr>
                <w:rFonts w:hint="eastAsia" w:ascii="Times New Roman" w:hAnsi="Times New Roman" w:eastAsia="仿宋_GB2312"/>
                <w:color w:val="000000"/>
                <w:sz w:val="21"/>
                <w:szCs w:val="21"/>
              </w:rPr>
              <w:t>本文件规定了</w:t>
            </w:r>
            <w:r>
              <w:rPr>
                <w:rFonts w:ascii="Times New Roman" w:hAnsi="Times New Roman" w:eastAsia="仿宋_GB2312"/>
                <w:color w:val="000000"/>
                <w:sz w:val="21"/>
                <w:szCs w:val="21"/>
              </w:rPr>
              <w:t>IP自智网络的知识面架构、功能模块描述、接口描述和网络能力要求</w:t>
            </w:r>
          </w:p>
          <w:p w14:paraId="4B87D7D9">
            <w:pPr>
              <w:keepNext w:val="0"/>
              <w:keepLines w:val="0"/>
              <w:pageBreakBefore w:val="0"/>
              <w:widowControl w:val="0"/>
              <w:kinsoku/>
              <w:wordWrap/>
              <w:overflowPunct/>
              <w:topLinePunct w:val="0"/>
              <w:autoSpaceDE/>
              <w:autoSpaceDN/>
              <w:bidi w:val="0"/>
              <w:adjustRightInd/>
              <w:snapToGrid/>
              <w:spacing w:line="360" w:lineRule="exact"/>
              <w:ind w:right="-17" w:rightChars="-8" w:firstLine="420" w:firstLineChars="200"/>
              <w:jc w:val="both"/>
              <w:textAlignment w:val="auto"/>
              <w:rPr>
                <w:rFonts w:hint="eastAsia" w:ascii="Times New Roman" w:hAnsi="Times New Roman" w:eastAsia="仿宋_GB2312" w:cs="仿宋_GB2312"/>
                <w:color w:val="000000"/>
                <w:kern w:val="2"/>
                <w:sz w:val="21"/>
                <w:szCs w:val="21"/>
                <w:lang w:val="en-US" w:eastAsia="zh-CN" w:bidi="ar-SA"/>
              </w:rPr>
            </w:pPr>
            <w:r>
              <w:rPr>
                <w:rFonts w:hint="eastAsia" w:ascii="Times New Roman" w:hAnsi="Times New Roman" w:eastAsia="仿宋_GB2312"/>
                <w:color w:val="000000"/>
                <w:sz w:val="21"/>
                <w:szCs w:val="21"/>
              </w:rPr>
              <w:t>本文件适用于基于</w:t>
            </w:r>
            <w:r>
              <w:rPr>
                <w:rFonts w:ascii="Times New Roman" w:hAnsi="Times New Roman" w:eastAsia="仿宋_GB2312"/>
                <w:color w:val="000000"/>
                <w:sz w:val="21"/>
                <w:szCs w:val="21"/>
              </w:rPr>
              <w:t>IP技术的自智网络中的知识面</w:t>
            </w:r>
          </w:p>
        </w:tc>
        <w:tc>
          <w:tcPr>
            <w:tcW w:w="1625" w:type="dxa"/>
            <w:noWrap w:val="0"/>
            <w:vAlign w:val="top"/>
          </w:tcPr>
          <w:p w14:paraId="422E5C14">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宋体"/>
                <w:color w:val="000000"/>
                <w:kern w:val="2"/>
                <w:sz w:val="21"/>
                <w:szCs w:val="21"/>
                <w:lang w:val="en-US" w:eastAsia="zh-CN" w:bidi="ar-SA"/>
              </w:rPr>
            </w:pPr>
          </w:p>
        </w:tc>
        <w:tc>
          <w:tcPr>
            <w:tcW w:w="1649" w:type="dxa"/>
            <w:noWrap w:val="0"/>
            <w:vAlign w:val="top"/>
          </w:tcPr>
          <w:p w14:paraId="5D310DF4">
            <w:pPr>
              <w:keepNext w:val="0"/>
              <w:keepLines w:val="0"/>
              <w:pageBreakBefore w:val="0"/>
              <w:kinsoku/>
              <w:wordWrap/>
              <w:overflowPunct/>
              <w:topLinePunct w:val="0"/>
              <w:autoSpaceDE/>
              <w:autoSpaceDN/>
              <w:bidi w:val="0"/>
              <w:spacing w:line="360" w:lineRule="exact"/>
              <w:jc w:val="both"/>
              <w:rPr>
                <w:rFonts w:hint="eastAsia" w:ascii="Times New Roman" w:hAnsi="Times New Roman" w:eastAsia="仿宋_GB2312" w:cs="Times New Roman"/>
                <w:color w:val="333333"/>
                <w:kern w:val="2"/>
                <w:sz w:val="21"/>
                <w:szCs w:val="21"/>
                <w:shd w:val="clear" w:color="auto" w:fill="FFFFFF"/>
                <w:lang w:val="en-US" w:eastAsia="zh-CN" w:bidi="ar-SA"/>
              </w:rPr>
            </w:pPr>
          </w:p>
        </w:tc>
      </w:tr>
    </w:tbl>
    <w:p w14:paraId="5004CE62">
      <w:pPr>
        <w:spacing w:line="0" w:lineRule="atLeast"/>
        <w:rPr>
          <w:rFonts w:hint="eastAsia" w:ascii="黑体" w:hAnsi="仿宋" w:eastAsia="黑体" w:cs="仿宋_GB2312"/>
          <w:sz w:val="36"/>
          <w:szCs w:val="36"/>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56EDB8-F64E-476B-8A06-081DDEF5A41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 FFFFC B. FFFFC E. FFFFC C. FF">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A22BF3E2-0F66-482B-AA48-977952A4C179}"/>
  </w:font>
  <w:font w:name="仿宋">
    <w:panose1 w:val="02010609060101010101"/>
    <w:charset w:val="86"/>
    <w:family w:val="modern"/>
    <w:pitch w:val="default"/>
    <w:sig w:usb0="800002BF" w:usb1="38CF7CFA" w:usb2="00000016" w:usb3="00000000" w:csb0="00040001" w:csb1="00000000"/>
    <w:embedRegular r:id="rId3" w:fontKey="{AE2B66A9-6293-4966-8652-197C4AA55A73}"/>
  </w:font>
  <w:font w:name="仿宋_GB2312">
    <w:altName w:val="仿宋"/>
    <w:panose1 w:val="02010609030101010101"/>
    <w:charset w:val="86"/>
    <w:family w:val="modern"/>
    <w:pitch w:val="default"/>
    <w:sig w:usb0="00000001" w:usb1="080E0000" w:usb2="00000000" w:usb3="00000000" w:csb0="00040000" w:csb1="00000000"/>
    <w:embedRegular r:id="rId4" w:fontKey="{EF3CC98A-0949-4170-AD9F-9D99C08B55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7D849">
    <w:pPr>
      <w:pStyle w:val="5"/>
      <w:jc w:val="center"/>
    </w:pPr>
    <w:r>
      <w:fldChar w:fldCharType="begin"/>
    </w:r>
    <w:r>
      <w:instrText xml:space="preserve">PAGE   \* MERGEFORMAT</w:instrText>
    </w:r>
    <w:r>
      <w:fldChar w:fldCharType="separate"/>
    </w:r>
    <w:r>
      <w:t>54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9CB74D"/>
    <w:multiLevelType w:val="multilevel"/>
    <w:tmpl w:val="F59CB74D"/>
    <w:lvl w:ilvl="0" w:tentative="0">
      <w:start w:val="1"/>
      <w:numFmt w:val="decimal"/>
      <w:suff w:val="nothing"/>
      <w:lvlText w:val="%1"/>
      <w:lvlJc w:val="left"/>
      <w:pPr>
        <w:ind w:left="0" w:firstLine="0"/>
      </w:pPr>
      <w:rPr>
        <w:rFonts w:hint="default" w:ascii="Times New Roman" w:hAnsi="Times New Roman" w:eastAsia="仿宋_GB2312" w:cs="Times New Roman"/>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5917C3"/>
    <w:multiLevelType w:val="multilevel"/>
    <w:tmpl w:val="2C5917C3"/>
    <w:lvl w:ilvl="0" w:tentative="0">
      <w:start w:val="1"/>
      <w:numFmt w:val="none"/>
      <w:suff w:val="nothing"/>
      <w:lvlText w:val="%1——"/>
      <w:lvlJc w:val="left"/>
      <w:pPr>
        <w:ind w:left="1248" w:hanging="408"/>
      </w:pPr>
      <w:rPr>
        <w:rFonts w:hint="eastAsia"/>
      </w:rPr>
    </w:lvl>
    <w:lvl w:ilvl="1" w:tentative="0">
      <w:start w:val="1"/>
      <w:numFmt w:val="bullet"/>
      <w:lvlText w:val=""/>
      <w:lvlJc w:val="left"/>
      <w:pPr>
        <w:tabs>
          <w:tab w:val="left" w:pos="-243"/>
        </w:tabs>
        <w:ind w:left="261" w:hanging="413"/>
      </w:pPr>
      <w:rPr>
        <w:rFonts w:hint="default" w:ascii="Symbol" w:hAnsi="Symbol"/>
        <w:color w:val="auto"/>
      </w:rPr>
    </w:lvl>
    <w:lvl w:ilvl="2" w:tentative="0">
      <w:start w:val="1"/>
      <w:numFmt w:val="bullet"/>
      <w:pStyle w:val="33"/>
      <w:lvlText w:val=""/>
      <w:lvlJc w:val="left"/>
      <w:pPr>
        <w:tabs>
          <w:tab w:val="left" w:pos="675"/>
        </w:tabs>
        <w:ind w:left="675" w:hanging="414"/>
      </w:pPr>
      <w:rPr>
        <w:rFonts w:hint="default" w:ascii="Symbol" w:hAnsi="Symbol"/>
        <w:color w:val="auto"/>
      </w:rPr>
    </w:lvl>
    <w:lvl w:ilvl="3" w:tentative="0">
      <w:start w:val="1"/>
      <w:numFmt w:val="decimal"/>
      <w:lvlText w:val="%4."/>
      <w:lvlJc w:val="left"/>
      <w:pPr>
        <w:tabs>
          <w:tab w:val="left" w:pos="1068"/>
        </w:tabs>
        <w:ind w:left="881" w:hanging="528"/>
      </w:pPr>
      <w:rPr>
        <w:rFonts w:hint="eastAsia"/>
      </w:rPr>
    </w:lvl>
    <w:lvl w:ilvl="4" w:tentative="0">
      <w:start w:val="1"/>
      <w:numFmt w:val="lowerLetter"/>
      <w:lvlText w:val="%5)"/>
      <w:lvlJc w:val="left"/>
      <w:pPr>
        <w:tabs>
          <w:tab w:val="left" w:pos="1380"/>
        </w:tabs>
        <w:ind w:left="1193" w:hanging="528"/>
      </w:pPr>
      <w:rPr>
        <w:rFonts w:hint="eastAsia"/>
      </w:rPr>
    </w:lvl>
    <w:lvl w:ilvl="5" w:tentative="0">
      <w:start w:val="1"/>
      <w:numFmt w:val="lowerRoman"/>
      <w:lvlText w:val="%6."/>
      <w:lvlJc w:val="right"/>
      <w:pPr>
        <w:tabs>
          <w:tab w:val="left" w:pos="1692"/>
        </w:tabs>
        <w:ind w:left="1505" w:hanging="528"/>
      </w:pPr>
      <w:rPr>
        <w:rFonts w:hint="eastAsia"/>
      </w:rPr>
    </w:lvl>
    <w:lvl w:ilvl="6" w:tentative="0">
      <w:start w:val="1"/>
      <w:numFmt w:val="decimal"/>
      <w:lvlText w:val="%7."/>
      <w:lvlJc w:val="left"/>
      <w:pPr>
        <w:tabs>
          <w:tab w:val="left" w:pos="2004"/>
        </w:tabs>
        <w:ind w:left="1817" w:hanging="528"/>
      </w:pPr>
      <w:rPr>
        <w:rFonts w:hint="eastAsia"/>
      </w:rPr>
    </w:lvl>
    <w:lvl w:ilvl="7" w:tentative="0">
      <w:start w:val="1"/>
      <w:numFmt w:val="lowerLetter"/>
      <w:lvlText w:val="%8)"/>
      <w:lvlJc w:val="left"/>
      <w:pPr>
        <w:tabs>
          <w:tab w:val="left" w:pos="2316"/>
        </w:tabs>
        <w:ind w:left="2129" w:hanging="528"/>
      </w:pPr>
      <w:rPr>
        <w:rFonts w:hint="eastAsia"/>
      </w:rPr>
    </w:lvl>
    <w:lvl w:ilvl="8" w:tentative="0">
      <w:start w:val="1"/>
      <w:numFmt w:val="lowerRoman"/>
      <w:lvlText w:val="%9."/>
      <w:lvlJc w:val="right"/>
      <w:pPr>
        <w:tabs>
          <w:tab w:val="left" w:pos="2628"/>
        </w:tabs>
        <w:ind w:left="2441" w:hanging="528"/>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YTUxMmZkMDFmNTIxNGIwNDQwYjQzMGQ3Nzc5ODMifQ=="/>
  </w:docVars>
  <w:rsids>
    <w:rsidRoot w:val="00172A27"/>
    <w:rsid w:val="00090C43"/>
    <w:rsid w:val="000B2F20"/>
    <w:rsid w:val="000F1926"/>
    <w:rsid w:val="00106EC9"/>
    <w:rsid w:val="001601B4"/>
    <w:rsid w:val="00183FCC"/>
    <w:rsid w:val="00185B37"/>
    <w:rsid w:val="00190083"/>
    <w:rsid w:val="001A75EA"/>
    <w:rsid w:val="002305C7"/>
    <w:rsid w:val="00240555"/>
    <w:rsid w:val="00245B24"/>
    <w:rsid w:val="00252948"/>
    <w:rsid w:val="00256519"/>
    <w:rsid w:val="0026154C"/>
    <w:rsid w:val="00276FCD"/>
    <w:rsid w:val="002878C8"/>
    <w:rsid w:val="002B4885"/>
    <w:rsid w:val="002C7BE9"/>
    <w:rsid w:val="00304109"/>
    <w:rsid w:val="00333AD4"/>
    <w:rsid w:val="00353D64"/>
    <w:rsid w:val="00395FEE"/>
    <w:rsid w:val="003A6D43"/>
    <w:rsid w:val="003B4157"/>
    <w:rsid w:val="003D4FED"/>
    <w:rsid w:val="003E2476"/>
    <w:rsid w:val="003F576D"/>
    <w:rsid w:val="003F5F90"/>
    <w:rsid w:val="003F7EF7"/>
    <w:rsid w:val="00484F83"/>
    <w:rsid w:val="004B4BF3"/>
    <w:rsid w:val="004B5F08"/>
    <w:rsid w:val="004F2710"/>
    <w:rsid w:val="0058538D"/>
    <w:rsid w:val="005C2DCD"/>
    <w:rsid w:val="005D74A7"/>
    <w:rsid w:val="00602EE2"/>
    <w:rsid w:val="00626226"/>
    <w:rsid w:val="006313B1"/>
    <w:rsid w:val="00656AB2"/>
    <w:rsid w:val="00684E7C"/>
    <w:rsid w:val="006B423F"/>
    <w:rsid w:val="006C1CC0"/>
    <w:rsid w:val="006E6E0C"/>
    <w:rsid w:val="007470CC"/>
    <w:rsid w:val="007625D0"/>
    <w:rsid w:val="007D659D"/>
    <w:rsid w:val="007D68AA"/>
    <w:rsid w:val="007E5D77"/>
    <w:rsid w:val="00821E2E"/>
    <w:rsid w:val="0084704E"/>
    <w:rsid w:val="00873B6F"/>
    <w:rsid w:val="008E5DA3"/>
    <w:rsid w:val="008F1FD4"/>
    <w:rsid w:val="008F545F"/>
    <w:rsid w:val="009862D4"/>
    <w:rsid w:val="0099188B"/>
    <w:rsid w:val="009C5357"/>
    <w:rsid w:val="009E1B1D"/>
    <w:rsid w:val="00A131B3"/>
    <w:rsid w:val="00A17D41"/>
    <w:rsid w:val="00A8052A"/>
    <w:rsid w:val="00A96305"/>
    <w:rsid w:val="00B370A4"/>
    <w:rsid w:val="00B85270"/>
    <w:rsid w:val="00B968E5"/>
    <w:rsid w:val="00BE6247"/>
    <w:rsid w:val="00C01F16"/>
    <w:rsid w:val="00C05EC7"/>
    <w:rsid w:val="00C3729F"/>
    <w:rsid w:val="00C52629"/>
    <w:rsid w:val="00C710D5"/>
    <w:rsid w:val="00CE2C5E"/>
    <w:rsid w:val="00D06161"/>
    <w:rsid w:val="00D7136F"/>
    <w:rsid w:val="00DA3E4B"/>
    <w:rsid w:val="00E8708B"/>
    <w:rsid w:val="00EB0010"/>
    <w:rsid w:val="00EE6D96"/>
    <w:rsid w:val="00F02E7E"/>
    <w:rsid w:val="00F2321E"/>
    <w:rsid w:val="00F37B95"/>
    <w:rsid w:val="00F400CF"/>
    <w:rsid w:val="00F62631"/>
    <w:rsid w:val="00F85127"/>
    <w:rsid w:val="01004732"/>
    <w:rsid w:val="01043138"/>
    <w:rsid w:val="01081B3E"/>
    <w:rsid w:val="010B1261"/>
    <w:rsid w:val="01106F4B"/>
    <w:rsid w:val="011A52DC"/>
    <w:rsid w:val="011C65E1"/>
    <w:rsid w:val="011E3CE2"/>
    <w:rsid w:val="01200DBA"/>
    <w:rsid w:val="0123016A"/>
    <w:rsid w:val="0134755F"/>
    <w:rsid w:val="01353907"/>
    <w:rsid w:val="014E4831"/>
    <w:rsid w:val="0153453C"/>
    <w:rsid w:val="01557A3F"/>
    <w:rsid w:val="015B0A65"/>
    <w:rsid w:val="015F254D"/>
    <w:rsid w:val="016234D2"/>
    <w:rsid w:val="01626D55"/>
    <w:rsid w:val="01694AE9"/>
    <w:rsid w:val="016A4161"/>
    <w:rsid w:val="016D676E"/>
    <w:rsid w:val="01757F74"/>
    <w:rsid w:val="017B65FA"/>
    <w:rsid w:val="01883711"/>
    <w:rsid w:val="018E309C"/>
    <w:rsid w:val="019C45B0"/>
    <w:rsid w:val="01C744FB"/>
    <w:rsid w:val="01C858CC"/>
    <w:rsid w:val="01C9417B"/>
    <w:rsid w:val="01CD2B81"/>
    <w:rsid w:val="01D07389"/>
    <w:rsid w:val="01D2288C"/>
    <w:rsid w:val="01D47F8D"/>
    <w:rsid w:val="01D70F12"/>
    <w:rsid w:val="01E34D25"/>
    <w:rsid w:val="01F84CCA"/>
    <w:rsid w:val="01F96EC8"/>
    <w:rsid w:val="01FE3350"/>
    <w:rsid w:val="02081D31"/>
    <w:rsid w:val="02144EDF"/>
    <w:rsid w:val="021E1686"/>
    <w:rsid w:val="02233590"/>
    <w:rsid w:val="022344E5"/>
    <w:rsid w:val="02241011"/>
    <w:rsid w:val="0234382A"/>
    <w:rsid w:val="023C6129"/>
    <w:rsid w:val="02451546"/>
    <w:rsid w:val="0252665D"/>
    <w:rsid w:val="02543D5F"/>
    <w:rsid w:val="025575E2"/>
    <w:rsid w:val="025A3A6A"/>
    <w:rsid w:val="025A5C68"/>
    <w:rsid w:val="025C49EE"/>
    <w:rsid w:val="02641DFB"/>
    <w:rsid w:val="026C7207"/>
    <w:rsid w:val="0279651D"/>
    <w:rsid w:val="028213AB"/>
    <w:rsid w:val="02875833"/>
    <w:rsid w:val="02890D36"/>
    <w:rsid w:val="028F56D1"/>
    <w:rsid w:val="0298354F"/>
    <w:rsid w:val="029B44D3"/>
    <w:rsid w:val="029C1F55"/>
    <w:rsid w:val="02AC21EF"/>
    <w:rsid w:val="02B16677"/>
    <w:rsid w:val="02B93AE5"/>
    <w:rsid w:val="02BB6F86"/>
    <w:rsid w:val="02C31E14"/>
    <w:rsid w:val="02C47896"/>
    <w:rsid w:val="02C8629C"/>
    <w:rsid w:val="02CE3A29"/>
    <w:rsid w:val="02DD6241"/>
    <w:rsid w:val="02DE3CC3"/>
    <w:rsid w:val="02E14C48"/>
    <w:rsid w:val="02EB0DDA"/>
    <w:rsid w:val="02ED42DD"/>
    <w:rsid w:val="02F05262"/>
    <w:rsid w:val="02F45E67"/>
    <w:rsid w:val="0302517C"/>
    <w:rsid w:val="030A1C2A"/>
    <w:rsid w:val="030A5E0C"/>
    <w:rsid w:val="030F2294"/>
    <w:rsid w:val="031C15A9"/>
    <w:rsid w:val="031E7156"/>
    <w:rsid w:val="031F6CAB"/>
    <w:rsid w:val="032121AE"/>
    <w:rsid w:val="032D3A42"/>
    <w:rsid w:val="032E4D47"/>
    <w:rsid w:val="03327ECA"/>
    <w:rsid w:val="03377BD5"/>
    <w:rsid w:val="033A0B59"/>
    <w:rsid w:val="034126A1"/>
    <w:rsid w:val="034F527C"/>
    <w:rsid w:val="03521A83"/>
    <w:rsid w:val="03633F1C"/>
    <w:rsid w:val="036B1328"/>
    <w:rsid w:val="037F384C"/>
    <w:rsid w:val="038866DA"/>
    <w:rsid w:val="039514B2"/>
    <w:rsid w:val="03A84BB4"/>
    <w:rsid w:val="03AA4690"/>
    <w:rsid w:val="03AB4A0D"/>
    <w:rsid w:val="03B0401B"/>
    <w:rsid w:val="03B739A6"/>
    <w:rsid w:val="03D609D8"/>
    <w:rsid w:val="03E04B6A"/>
    <w:rsid w:val="03E60C72"/>
    <w:rsid w:val="03F70F0C"/>
    <w:rsid w:val="03FC649A"/>
    <w:rsid w:val="04036024"/>
    <w:rsid w:val="04074A2A"/>
    <w:rsid w:val="040D6933"/>
    <w:rsid w:val="040E43B5"/>
    <w:rsid w:val="041078B8"/>
    <w:rsid w:val="04170D0B"/>
    <w:rsid w:val="041B14CC"/>
    <w:rsid w:val="04253689"/>
    <w:rsid w:val="04272D60"/>
    <w:rsid w:val="04296264"/>
    <w:rsid w:val="042C64A0"/>
    <w:rsid w:val="04313670"/>
    <w:rsid w:val="043A7E0F"/>
    <w:rsid w:val="04402605"/>
    <w:rsid w:val="04483295"/>
    <w:rsid w:val="04533824"/>
    <w:rsid w:val="04575AAE"/>
    <w:rsid w:val="045E1BB5"/>
    <w:rsid w:val="046077EA"/>
    <w:rsid w:val="04647342"/>
    <w:rsid w:val="04662845"/>
    <w:rsid w:val="04664A43"/>
    <w:rsid w:val="046D7C52"/>
    <w:rsid w:val="0486237A"/>
    <w:rsid w:val="048707FB"/>
    <w:rsid w:val="048A5003"/>
    <w:rsid w:val="04A57DAB"/>
    <w:rsid w:val="04B0613C"/>
    <w:rsid w:val="04B86DCC"/>
    <w:rsid w:val="04C40660"/>
    <w:rsid w:val="04C5285F"/>
    <w:rsid w:val="04CF69F1"/>
    <w:rsid w:val="04EB6322"/>
    <w:rsid w:val="04EF4D28"/>
    <w:rsid w:val="05045CE2"/>
    <w:rsid w:val="050510CA"/>
    <w:rsid w:val="0510745B"/>
    <w:rsid w:val="052109FA"/>
    <w:rsid w:val="05351C19"/>
    <w:rsid w:val="05451EB3"/>
    <w:rsid w:val="05513747"/>
    <w:rsid w:val="05631463"/>
    <w:rsid w:val="056C1D73"/>
    <w:rsid w:val="056E61C5"/>
    <w:rsid w:val="0578136B"/>
    <w:rsid w:val="057D5890"/>
    <w:rsid w:val="057E3312"/>
    <w:rsid w:val="058A1323"/>
    <w:rsid w:val="058C00A9"/>
    <w:rsid w:val="058F472C"/>
    <w:rsid w:val="05914531"/>
    <w:rsid w:val="0599193D"/>
    <w:rsid w:val="059A73BF"/>
    <w:rsid w:val="05AC2B5C"/>
    <w:rsid w:val="05B6346C"/>
    <w:rsid w:val="05CB3411"/>
    <w:rsid w:val="05CD6914"/>
    <w:rsid w:val="05D27519"/>
    <w:rsid w:val="05D77224"/>
    <w:rsid w:val="05DA23A7"/>
    <w:rsid w:val="05DD6BAF"/>
    <w:rsid w:val="05E816BC"/>
    <w:rsid w:val="05FA4E5A"/>
    <w:rsid w:val="05FE3860"/>
    <w:rsid w:val="06040FED"/>
    <w:rsid w:val="0604444D"/>
    <w:rsid w:val="06071F71"/>
    <w:rsid w:val="06095474"/>
    <w:rsid w:val="062D7C32"/>
    <w:rsid w:val="063362B9"/>
    <w:rsid w:val="06403D79"/>
    <w:rsid w:val="06420AD1"/>
    <w:rsid w:val="06443FD4"/>
    <w:rsid w:val="06451A56"/>
    <w:rsid w:val="064A55E5"/>
    <w:rsid w:val="064A5EDE"/>
    <w:rsid w:val="064E48E4"/>
    <w:rsid w:val="067B2C25"/>
    <w:rsid w:val="068837C4"/>
    <w:rsid w:val="069140D4"/>
    <w:rsid w:val="069B1955"/>
    <w:rsid w:val="069B49E3"/>
    <w:rsid w:val="069E344E"/>
    <w:rsid w:val="06A27BF1"/>
    <w:rsid w:val="06A452F3"/>
    <w:rsid w:val="06A74079"/>
    <w:rsid w:val="06B16113"/>
    <w:rsid w:val="06BA1A15"/>
    <w:rsid w:val="06BD621D"/>
    <w:rsid w:val="06BE5E9C"/>
    <w:rsid w:val="06CD6519"/>
    <w:rsid w:val="06E573E1"/>
    <w:rsid w:val="06E92E40"/>
    <w:rsid w:val="06ED47ED"/>
    <w:rsid w:val="070A631C"/>
    <w:rsid w:val="070C181F"/>
    <w:rsid w:val="071952B1"/>
    <w:rsid w:val="07286831"/>
    <w:rsid w:val="073A1069"/>
    <w:rsid w:val="074D5B0C"/>
    <w:rsid w:val="075D0324"/>
    <w:rsid w:val="077730CD"/>
    <w:rsid w:val="07965F00"/>
    <w:rsid w:val="079B7E09"/>
    <w:rsid w:val="07B332B2"/>
    <w:rsid w:val="07BF4B46"/>
    <w:rsid w:val="07C25ACA"/>
    <w:rsid w:val="07CC63DA"/>
    <w:rsid w:val="07CE18DD"/>
    <w:rsid w:val="07D60EE8"/>
    <w:rsid w:val="07DE62F4"/>
    <w:rsid w:val="07DF75F9"/>
    <w:rsid w:val="07EA7B88"/>
    <w:rsid w:val="07F12D96"/>
    <w:rsid w:val="07F7141C"/>
    <w:rsid w:val="07FC3326"/>
    <w:rsid w:val="07FE462A"/>
    <w:rsid w:val="08094583"/>
    <w:rsid w:val="08154250"/>
    <w:rsid w:val="081D5FCD"/>
    <w:rsid w:val="08226DE9"/>
    <w:rsid w:val="08234384"/>
    <w:rsid w:val="082657EF"/>
    <w:rsid w:val="082F067D"/>
    <w:rsid w:val="082F4DFA"/>
    <w:rsid w:val="083C7992"/>
    <w:rsid w:val="0844151C"/>
    <w:rsid w:val="084E78AD"/>
    <w:rsid w:val="085375B8"/>
    <w:rsid w:val="08552ABB"/>
    <w:rsid w:val="08557237"/>
    <w:rsid w:val="085B27AB"/>
    <w:rsid w:val="08662D55"/>
    <w:rsid w:val="086707D7"/>
    <w:rsid w:val="086A71DD"/>
    <w:rsid w:val="08944558"/>
    <w:rsid w:val="08965AA3"/>
    <w:rsid w:val="08AF0BCB"/>
    <w:rsid w:val="08B253D3"/>
    <w:rsid w:val="08BF46E8"/>
    <w:rsid w:val="08C3786B"/>
    <w:rsid w:val="08C452ED"/>
    <w:rsid w:val="08CD39FE"/>
    <w:rsid w:val="08CD70C0"/>
    <w:rsid w:val="08CE78BD"/>
    <w:rsid w:val="08D04983"/>
    <w:rsid w:val="08D26014"/>
    <w:rsid w:val="08D5688C"/>
    <w:rsid w:val="08E1269F"/>
    <w:rsid w:val="08E51FDD"/>
    <w:rsid w:val="08EC42B3"/>
    <w:rsid w:val="08F02CB9"/>
    <w:rsid w:val="08F66DC1"/>
    <w:rsid w:val="09064E5D"/>
    <w:rsid w:val="090667C8"/>
    <w:rsid w:val="091C11FF"/>
    <w:rsid w:val="09205A07"/>
    <w:rsid w:val="09241E8E"/>
    <w:rsid w:val="092732FD"/>
    <w:rsid w:val="09591064"/>
    <w:rsid w:val="095E54EB"/>
    <w:rsid w:val="096E3588"/>
    <w:rsid w:val="09786095"/>
    <w:rsid w:val="09C8299C"/>
    <w:rsid w:val="09C87119"/>
    <w:rsid w:val="09CB009E"/>
    <w:rsid w:val="09CF084F"/>
    <w:rsid w:val="09D232AC"/>
    <w:rsid w:val="09DD383B"/>
    <w:rsid w:val="09E431C6"/>
    <w:rsid w:val="09E61F4C"/>
    <w:rsid w:val="09F15982"/>
    <w:rsid w:val="09F50EE2"/>
    <w:rsid w:val="09F621E7"/>
    <w:rsid w:val="0A072481"/>
    <w:rsid w:val="0A23652E"/>
    <w:rsid w:val="0A2552B4"/>
    <w:rsid w:val="0A293CBB"/>
    <w:rsid w:val="0A295EB9"/>
    <w:rsid w:val="0A3010C7"/>
    <w:rsid w:val="0A351CCC"/>
    <w:rsid w:val="0A413560"/>
    <w:rsid w:val="0A4B76F2"/>
    <w:rsid w:val="0A5237FA"/>
    <w:rsid w:val="0A5E508E"/>
    <w:rsid w:val="0A64281B"/>
    <w:rsid w:val="0A6B21A6"/>
    <w:rsid w:val="0A821080"/>
    <w:rsid w:val="0A864054"/>
    <w:rsid w:val="0A8A2A5A"/>
    <w:rsid w:val="0A8E365F"/>
    <w:rsid w:val="0A937AE7"/>
    <w:rsid w:val="0AA70C4D"/>
    <w:rsid w:val="0AA76787"/>
    <w:rsid w:val="0AB47515"/>
    <w:rsid w:val="0ACB34C4"/>
    <w:rsid w:val="0AD22E4F"/>
    <w:rsid w:val="0AE71648"/>
    <w:rsid w:val="0AEC727C"/>
    <w:rsid w:val="0AF33383"/>
    <w:rsid w:val="0AF40E05"/>
    <w:rsid w:val="0AFB4013"/>
    <w:rsid w:val="0B156DBB"/>
    <w:rsid w:val="0B1B0CC4"/>
    <w:rsid w:val="0B1B11F1"/>
    <w:rsid w:val="0B1C6746"/>
    <w:rsid w:val="0B223ED3"/>
    <w:rsid w:val="0B2360D1"/>
    <w:rsid w:val="0B25205A"/>
    <w:rsid w:val="0B272559"/>
    <w:rsid w:val="0B2F31E8"/>
    <w:rsid w:val="0B510DF8"/>
    <w:rsid w:val="0B5E62B6"/>
    <w:rsid w:val="0B6423BD"/>
    <w:rsid w:val="0B7216D3"/>
    <w:rsid w:val="0B894B7C"/>
    <w:rsid w:val="0B8C227D"/>
    <w:rsid w:val="0B8F3202"/>
    <w:rsid w:val="0B904506"/>
    <w:rsid w:val="0B966410"/>
    <w:rsid w:val="0B987394"/>
    <w:rsid w:val="0B9B0319"/>
    <w:rsid w:val="0BA27CA4"/>
    <w:rsid w:val="0BA50C29"/>
    <w:rsid w:val="0BAA50B0"/>
    <w:rsid w:val="0BB0283D"/>
    <w:rsid w:val="0BB426B2"/>
    <w:rsid w:val="0BBA0BCE"/>
    <w:rsid w:val="0BBE60B8"/>
    <w:rsid w:val="0BC33A5C"/>
    <w:rsid w:val="0BD53976"/>
    <w:rsid w:val="0BDD4606"/>
    <w:rsid w:val="0BE4618F"/>
    <w:rsid w:val="0BF82C31"/>
    <w:rsid w:val="0C1B6205"/>
    <w:rsid w:val="0C1F08F2"/>
    <w:rsid w:val="0C2272F9"/>
    <w:rsid w:val="0C2E7888"/>
    <w:rsid w:val="0C3F7EAA"/>
    <w:rsid w:val="0C483CB5"/>
    <w:rsid w:val="0C493935"/>
    <w:rsid w:val="0C510D41"/>
    <w:rsid w:val="0C5806CC"/>
    <w:rsid w:val="0C610FDC"/>
    <w:rsid w:val="0C686768"/>
    <w:rsid w:val="0C794484"/>
    <w:rsid w:val="0C7B320A"/>
    <w:rsid w:val="0C7E418F"/>
    <w:rsid w:val="0C807692"/>
    <w:rsid w:val="0C815114"/>
    <w:rsid w:val="0C840297"/>
    <w:rsid w:val="0C8B7C21"/>
    <w:rsid w:val="0C9A023C"/>
    <w:rsid w:val="0C9B5CBE"/>
    <w:rsid w:val="0CA04344"/>
    <w:rsid w:val="0CA61AD0"/>
    <w:rsid w:val="0CA92A55"/>
    <w:rsid w:val="0CAB26D5"/>
    <w:rsid w:val="0CB06B5C"/>
    <w:rsid w:val="0CB1205F"/>
    <w:rsid w:val="0CB42FE4"/>
    <w:rsid w:val="0CB92CEF"/>
    <w:rsid w:val="0CBD16F5"/>
    <w:rsid w:val="0CBF16C1"/>
    <w:rsid w:val="0CBF4BF8"/>
    <w:rsid w:val="0CD4131B"/>
    <w:rsid w:val="0CE628BA"/>
    <w:rsid w:val="0CF031C9"/>
    <w:rsid w:val="0D0479A4"/>
    <w:rsid w:val="0D06756B"/>
    <w:rsid w:val="0D0962F1"/>
    <w:rsid w:val="0D223618"/>
    <w:rsid w:val="0D236355"/>
    <w:rsid w:val="0D257E20"/>
    <w:rsid w:val="0D3E2F48"/>
    <w:rsid w:val="0D511F69"/>
    <w:rsid w:val="0D5450EC"/>
    <w:rsid w:val="0D5F347D"/>
    <w:rsid w:val="0D6E5C96"/>
    <w:rsid w:val="0D7F17B3"/>
    <w:rsid w:val="0D8B0840"/>
    <w:rsid w:val="0D99235D"/>
    <w:rsid w:val="0D9C3857"/>
    <w:rsid w:val="0DA53BF1"/>
    <w:rsid w:val="0DAC357C"/>
    <w:rsid w:val="0DB51C8D"/>
    <w:rsid w:val="0DBC1618"/>
    <w:rsid w:val="0DC15AA0"/>
    <w:rsid w:val="0DC71BA8"/>
    <w:rsid w:val="0DE85960"/>
    <w:rsid w:val="0DE933E1"/>
    <w:rsid w:val="0DE97B5E"/>
    <w:rsid w:val="0DEA0E63"/>
    <w:rsid w:val="0DEB3061"/>
    <w:rsid w:val="0DED1DE7"/>
    <w:rsid w:val="0DF41772"/>
    <w:rsid w:val="0DF66E74"/>
    <w:rsid w:val="0DFA70C6"/>
    <w:rsid w:val="0E152FAC"/>
    <w:rsid w:val="0E184557"/>
    <w:rsid w:val="0E2557C4"/>
    <w:rsid w:val="0E2B76CE"/>
    <w:rsid w:val="0E4449F4"/>
    <w:rsid w:val="0E455CF9"/>
    <w:rsid w:val="0E4D7882"/>
    <w:rsid w:val="0E53500F"/>
    <w:rsid w:val="0E611DA6"/>
    <w:rsid w:val="0E7B2950"/>
    <w:rsid w:val="0E84070E"/>
    <w:rsid w:val="0E920377"/>
    <w:rsid w:val="0E98447E"/>
    <w:rsid w:val="0E995783"/>
    <w:rsid w:val="0E9A3205"/>
    <w:rsid w:val="0EA0188B"/>
    <w:rsid w:val="0EB053A8"/>
    <w:rsid w:val="0EC407C6"/>
    <w:rsid w:val="0ED30DE0"/>
    <w:rsid w:val="0EF6009B"/>
    <w:rsid w:val="0EFB4523"/>
    <w:rsid w:val="0F072534"/>
    <w:rsid w:val="0F087FB5"/>
    <w:rsid w:val="0F095A37"/>
    <w:rsid w:val="0F0D7CC0"/>
    <w:rsid w:val="0F2478E6"/>
    <w:rsid w:val="0F2B146F"/>
    <w:rsid w:val="0F2E5C77"/>
    <w:rsid w:val="0F30117A"/>
    <w:rsid w:val="0F3C4F8C"/>
    <w:rsid w:val="0F5500B5"/>
    <w:rsid w:val="0F59233E"/>
    <w:rsid w:val="0F5E2F43"/>
    <w:rsid w:val="0F6251CC"/>
    <w:rsid w:val="0F787370"/>
    <w:rsid w:val="0F8A2B0D"/>
    <w:rsid w:val="0F950E9E"/>
    <w:rsid w:val="0F9F722F"/>
    <w:rsid w:val="0FA12732"/>
    <w:rsid w:val="0FA820BD"/>
    <w:rsid w:val="0FB107CE"/>
    <w:rsid w:val="0FBC0D5E"/>
    <w:rsid w:val="0FBC45E1"/>
    <w:rsid w:val="0FC306E9"/>
    <w:rsid w:val="0FC6166D"/>
    <w:rsid w:val="0FCB4DB7"/>
    <w:rsid w:val="0FCD6A7A"/>
    <w:rsid w:val="0FD26785"/>
    <w:rsid w:val="0FD61908"/>
    <w:rsid w:val="0FD77389"/>
    <w:rsid w:val="0FDE00D3"/>
    <w:rsid w:val="0FE92B27"/>
    <w:rsid w:val="10005FCF"/>
    <w:rsid w:val="101D7AFE"/>
    <w:rsid w:val="10211D87"/>
    <w:rsid w:val="10410FB7"/>
    <w:rsid w:val="104F3B50"/>
    <w:rsid w:val="10514AD4"/>
    <w:rsid w:val="10580BDC"/>
    <w:rsid w:val="10592632"/>
    <w:rsid w:val="10622474"/>
    <w:rsid w:val="1064458A"/>
    <w:rsid w:val="10784B25"/>
    <w:rsid w:val="107B371A"/>
    <w:rsid w:val="107D6C1D"/>
    <w:rsid w:val="108230A5"/>
    <w:rsid w:val="10856228"/>
    <w:rsid w:val="1087752D"/>
    <w:rsid w:val="10A86610"/>
    <w:rsid w:val="10B0047D"/>
    <w:rsid w:val="10B434F4"/>
    <w:rsid w:val="10B7227A"/>
    <w:rsid w:val="10C2280A"/>
    <w:rsid w:val="10C87F96"/>
    <w:rsid w:val="10D64D2E"/>
    <w:rsid w:val="10E44043"/>
    <w:rsid w:val="10F13359"/>
    <w:rsid w:val="110968FB"/>
    <w:rsid w:val="110A6481"/>
    <w:rsid w:val="111A451D"/>
    <w:rsid w:val="111E5122"/>
    <w:rsid w:val="112315AA"/>
    <w:rsid w:val="11234E2D"/>
    <w:rsid w:val="11471B69"/>
    <w:rsid w:val="11524677"/>
    <w:rsid w:val="11555F29"/>
    <w:rsid w:val="11651119"/>
    <w:rsid w:val="117748B7"/>
    <w:rsid w:val="11786AB5"/>
    <w:rsid w:val="118151C6"/>
    <w:rsid w:val="1190415C"/>
    <w:rsid w:val="11915461"/>
    <w:rsid w:val="11A3317D"/>
    <w:rsid w:val="11A4040E"/>
    <w:rsid w:val="11AE2812"/>
    <w:rsid w:val="11AE6F8F"/>
    <w:rsid w:val="11B756A0"/>
    <w:rsid w:val="11C52438"/>
    <w:rsid w:val="11CB4341"/>
    <w:rsid w:val="11D23CCC"/>
    <w:rsid w:val="11E06B48"/>
    <w:rsid w:val="11E132E5"/>
    <w:rsid w:val="11E34049"/>
    <w:rsid w:val="11ED44F6"/>
    <w:rsid w:val="11F8610A"/>
    <w:rsid w:val="11F93B8B"/>
    <w:rsid w:val="11FB708E"/>
    <w:rsid w:val="11FF0C80"/>
    <w:rsid w:val="12003516"/>
    <w:rsid w:val="1203449B"/>
    <w:rsid w:val="122D0B62"/>
    <w:rsid w:val="123A6B73"/>
    <w:rsid w:val="123E2FFB"/>
    <w:rsid w:val="125606A2"/>
    <w:rsid w:val="127534D5"/>
    <w:rsid w:val="127C66E3"/>
    <w:rsid w:val="12825FFE"/>
    <w:rsid w:val="128D65FD"/>
    <w:rsid w:val="12922A85"/>
    <w:rsid w:val="12A407A1"/>
    <w:rsid w:val="12AB5BAD"/>
    <w:rsid w:val="12AD10B0"/>
    <w:rsid w:val="12B1333A"/>
    <w:rsid w:val="12C31056"/>
    <w:rsid w:val="12D2386F"/>
    <w:rsid w:val="12E3738C"/>
    <w:rsid w:val="12F21BA5"/>
    <w:rsid w:val="12F7602D"/>
    <w:rsid w:val="130F36D3"/>
    <w:rsid w:val="130F7E50"/>
    <w:rsid w:val="131577DB"/>
    <w:rsid w:val="13205B6C"/>
    <w:rsid w:val="13251FF4"/>
    <w:rsid w:val="132A1CFF"/>
    <w:rsid w:val="133D2F1E"/>
    <w:rsid w:val="134B5AB7"/>
    <w:rsid w:val="135079C0"/>
    <w:rsid w:val="135F4757"/>
    <w:rsid w:val="13617C5A"/>
    <w:rsid w:val="1363315E"/>
    <w:rsid w:val="136F0406"/>
    <w:rsid w:val="137B0804"/>
    <w:rsid w:val="138D3FA2"/>
    <w:rsid w:val="139A32B7"/>
    <w:rsid w:val="13A36145"/>
    <w:rsid w:val="13A85E50"/>
    <w:rsid w:val="13AA1353"/>
    <w:rsid w:val="13AE44D6"/>
    <w:rsid w:val="13B0545B"/>
    <w:rsid w:val="13B12EDD"/>
    <w:rsid w:val="13B41C63"/>
    <w:rsid w:val="13C55035"/>
    <w:rsid w:val="13C5797F"/>
    <w:rsid w:val="13D61E18"/>
    <w:rsid w:val="13D77899"/>
    <w:rsid w:val="13DD17A2"/>
    <w:rsid w:val="13DF0529"/>
    <w:rsid w:val="13E001A9"/>
    <w:rsid w:val="13E236AC"/>
    <w:rsid w:val="13E93037"/>
    <w:rsid w:val="13F526CC"/>
    <w:rsid w:val="13F56E49"/>
    <w:rsid w:val="13F6027A"/>
    <w:rsid w:val="140164DF"/>
    <w:rsid w:val="14052967"/>
    <w:rsid w:val="14127A7E"/>
    <w:rsid w:val="14131C7C"/>
    <w:rsid w:val="14181987"/>
    <w:rsid w:val="14386639"/>
    <w:rsid w:val="144349CA"/>
    <w:rsid w:val="144A310D"/>
    <w:rsid w:val="145B2071"/>
    <w:rsid w:val="145B2885"/>
    <w:rsid w:val="145D0DF7"/>
    <w:rsid w:val="14601D7C"/>
    <w:rsid w:val="14656203"/>
    <w:rsid w:val="14686D18"/>
    <w:rsid w:val="146E6B13"/>
    <w:rsid w:val="14732F9B"/>
    <w:rsid w:val="14790727"/>
    <w:rsid w:val="147C287A"/>
    <w:rsid w:val="147D712D"/>
    <w:rsid w:val="14962256"/>
    <w:rsid w:val="149D00E3"/>
    <w:rsid w:val="14C3401F"/>
    <w:rsid w:val="14D51468"/>
    <w:rsid w:val="14DF394F"/>
    <w:rsid w:val="14E82970"/>
    <w:rsid w:val="14F36D6C"/>
    <w:rsid w:val="15081290"/>
    <w:rsid w:val="1508348E"/>
    <w:rsid w:val="150F2E19"/>
    <w:rsid w:val="1518152A"/>
    <w:rsid w:val="153B3F0D"/>
    <w:rsid w:val="155B0D1A"/>
    <w:rsid w:val="15614E1F"/>
    <w:rsid w:val="15691286"/>
    <w:rsid w:val="156B7CAF"/>
    <w:rsid w:val="157D344D"/>
    <w:rsid w:val="15830BD9"/>
    <w:rsid w:val="15835356"/>
    <w:rsid w:val="158365D8"/>
    <w:rsid w:val="158B5288"/>
    <w:rsid w:val="15992D7D"/>
    <w:rsid w:val="15A136EB"/>
    <w:rsid w:val="15C27943"/>
    <w:rsid w:val="15C41643"/>
    <w:rsid w:val="15CC22D2"/>
    <w:rsid w:val="15CE57D6"/>
    <w:rsid w:val="15CF79D4"/>
    <w:rsid w:val="15DD7FEE"/>
    <w:rsid w:val="15EF5D0A"/>
    <w:rsid w:val="15FA1B1D"/>
    <w:rsid w:val="160349AB"/>
    <w:rsid w:val="16111742"/>
    <w:rsid w:val="16145D21"/>
    <w:rsid w:val="161B52D7"/>
    <w:rsid w:val="162503E3"/>
    <w:rsid w:val="163C2586"/>
    <w:rsid w:val="163E130D"/>
    <w:rsid w:val="1646419B"/>
    <w:rsid w:val="16502F87"/>
    <w:rsid w:val="16574435"/>
    <w:rsid w:val="16597938"/>
    <w:rsid w:val="165C08BD"/>
    <w:rsid w:val="165D633E"/>
    <w:rsid w:val="167B1172"/>
    <w:rsid w:val="167E42F4"/>
    <w:rsid w:val="168B2F74"/>
    <w:rsid w:val="168D108C"/>
    <w:rsid w:val="1697741D"/>
    <w:rsid w:val="169D1326"/>
    <w:rsid w:val="16AD73C2"/>
    <w:rsid w:val="16B019AF"/>
    <w:rsid w:val="16B25E90"/>
    <w:rsid w:val="16B36D4D"/>
    <w:rsid w:val="16B75753"/>
    <w:rsid w:val="16BE143E"/>
    <w:rsid w:val="16CC2176"/>
    <w:rsid w:val="16D0087B"/>
    <w:rsid w:val="16D23D7F"/>
    <w:rsid w:val="16D62785"/>
    <w:rsid w:val="16D70206"/>
    <w:rsid w:val="16D96F8D"/>
    <w:rsid w:val="16DA118B"/>
    <w:rsid w:val="16DD5993"/>
    <w:rsid w:val="16E52214"/>
    <w:rsid w:val="16E817A5"/>
    <w:rsid w:val="16EE7E2B"/>
    <w:rsid w:val="16F83FBE"/>
    <w:rsid w:val="170A3ED8"/>
    <w:rsid w:val="170D06E0"/>
    <w:rsid w:val="17142269"/>
    <w:rsid w:val="17170FF0"/>
    <w:rsid w:val="171731EE"/>
    <w:rsid w:val="171F05FA"/>
    <w:rsid w:val="17244A82"/>
    <w:rsid w:val="17267F85"/>
    <w:rsid w:val="173F6931"/>
    <w:rsid w:val="174540BD"/>
    <w:rsid w:val="174F6BCB"/>
    <w:rsid w:val="175C3CE3"/>
    <w:rsid w:val="17625BEC"/>
    <w:rsid w:val="17697775"/>
    <w:rsid w:val="178570A5"/>
    <w:rsid w:val="179518BE"/>
    <w:rsid w:val="17A553DC"/>
    <w:rsid w:val="17B133ED"/>
    <w:rsid w:val="17B14E70"/>
    <w:rsid w:val="17BA627B"/>
    <w:rsid w:val="17BE4C81"/>
    <w:rsid w:val="17C73392"/>
    <w:rsid w:val="17CE2D1D"/>
    <w:rsid w:val="17CF299D"/>
    <w:rsid w:val="17D8582B"/>
    <w:rsid w:val="17DD1CB2"/>
    <w:rsid w:val="17E64F49"/>
    <w:rsid w:val="17F06755"/>
    <w:rsid w:val="17F6065E"/>
    <w:rsid w:val="18014470"/>
    <w:rsid w:val="180169EF"/>
    <w:rsid w:val="180608F8"/>
    <w:rsid w:val="18150F13"/>
    <w:rsid w:val="18166994"/>
    <w:rsid w:val="18376EC9"/>
    <w:rsid w:val="186A061D"/>
    <w:rsid w:val="186E7023"/>
    <w:rsid w:val="187A66B9"/>
    <w:rsid w:val="18802573"/>
    <w:rsid w:val="188A6307"/>
    <w:rsid w:val="189701E7"/>
    <w:rsid w:val="189A116C"/>
    <w:rsid w:val="189C466F"/>
    <w:rsid w:val="189C686D"/>
    <w:rsid w:val="189D3B73"/>
    <w:rsid w:val="18CD4E3E"/>
    <w:rsid w:val="18DE63DD"/>
    <w:rsid w:val="18E17362"/>
    <w:rsid w:val="18E461B2"/>
    <w:rsid w:val="18E759E8"/>
    <w:rsid w:val="1905081B"/>
    <w:rsid w:val="19097221"/>
    <w:rsid w:val="190F6BAC"/>
    <w:rsid w:val="19127B31"/>
    <w:rsid w:val="19143034"/>
    <w:rsid w:val="19166537"/>
    <w:rsid w:val="19181A3A"/>
    <w:rsid w:val="191974BC"/>
    <w:rsid w:val="193F76FB"/>
    <w:rsid w:val="1942287E"/>
    <w:rsid w:val="194A350E"/>
    <w:rsid w:val="195902A5"/>
    <w:rsid w:val="19717B4A"/>
    <w:rsid w:val="19756550"/>
    <w:rsid w:val="197874D5"/>
    <w:rsid w:val="197A68B5"/>
    <w:rsid w:val="19885571"/>
    <w:rsid w:val="198B64F6"/>
    <w:rsid w:val="19A44EA1"/>
    <w:rsid w:val="19AE7B25"/>
    <w:rsid w:val="19BC2548"/>
    <w:rsid w:val="19C0314D"/>
    <w:rsid w:val="19C83DDC"/>
    <w:rsid w:val="19CC27E2"/>
    <w:rsid w:val="19CD49E1"/>
    <w:rsid w:val="1A117A54"/>
    <w:rsid w:val="1A153B0E"/>
    <w:rsid w:val="1A1B2776"/>
    <w:rsid w:val="1A2069E9"/>
    <w:rsid w:val="1A252E71"/>
    <w:rsid w:val="1A34568A"/>
    <w:rsid w:val="1A3C2A96"/>
    <w:rsid w:val="1A4F2DB6"/>
    <w:rsid w:val="1A5439C0"/>
    <w:rsid w:val="1A551442"/>
    <w:rsid w:val="1A8C3B1A"/>
    <w:rsid w:val="1A9C3DB4"/>
    <w:rsid w:val="1AB02A55"/>
    <w:rsid w:val="1AB104D7"/>
    <w:rsid w:val="1AC23FF4"/>
    <w:rsid w:val="1AD55213"/>
    <w:rsid w:val="1ADE00A1"/>
    <w:rsid w:val="1ADF5B23"/>
    <w:rsid w:val="1AE709B1"/>
    <w:rsid w:val="1AEC2309"/>
    <w:rsid w:val="1AF225C5"/>
    <w:rsid w:val="1AF406B1"/>
    <w:rsid w:val="1B0E2DEF"/>
    <w:rsid w:val="1B181180"/>
    <w:rsid w:val="1B191E86"/>
    <w:rsid w:val="1B234F55"/>
    <w:rsid w:val="1B365213"/>
    <w:rsid w:val="1B400146"/>
    <w:rsid w:val="1B402EB2"/>
    <w:rsid w:val="1B407355"/>
    <w:rsid w:val="1B446B4C"/>
    <w:rsid w:val="1B4545CD"/>
    <w:rsid w:val="1B46204F"/>
    <w:rsid w:val="1B5003E0"/>
    <w:rsid w:val="1B5744E8"/>
    <w:rsid w:val="1B577D6B"/>
    <w:rsid w:val="1B605B12"/>
    <w:rsid w:val="1B607376"/>
    <w:rsid w:val="1B682203"/>
    <w:rsid w:val="1B733E18"/>
    <w:rsid w:val="1B746016"/>
    <w:rsid w:val="1B7802A0"/>
    <w:rsid w:val="1B8C7325"/>
    <w:rsid w:val="1B9752D1"/>
    <w:rsid w:val="1B9F015F"/>
    <w:rsid w:val="1BAA1D73"/>
    <w:rsid w:val="1BB96B0B"/>
    <w:rsid w:val="1BC007FC"/>
    <w:rsid w:val="1BCA6A25"/>
    <w:rsid w:val="1BD318B3"/>
    <w:rsid w:val="1BD35136"/>
    <w:rsid w:val="1BD73B3C"/>
    <w:rsid w:val="1BE10BC8"/>
    <w:rsid w:val="1BE21ECD"/>
    <w:rsid w:val="1BE55050"/>
    <w:rsid w:val="1BEE3761"/>
    <w:rsid w:val="1C016EFF"/>
    <w:rsid w:val="1C0D0793"/>
    <w:rsid w:val="1C135F20"/>
    <w:rsid w:val="1C1F3F30"/>
    <w:rsid w:val="1C2077B4"/>
    <w:rsid w:val="1C220738"/>
    <w:rsid w:val="1C232937"/>
    <w:rsid w:val="1C2C1048"/>
    <w:rsid w:val="1C407CE8"/>
    <w:rsid w:val="1C442E6B"/>
    <w:rsid w:val="1C4A27F6"/>
    <w:rsid w:val="1C4B6EC1"/>
    <w:rsid w:val="1C523486"/>
    <w:rsid w:val="1C5A0892"/>
    <w:rsid w:val="1C6B65AE"/>
    <w:rsid w:val="1C87045D"/>
    <w:rsid w:val="1C8B1061"/>
    <w:rsid w:val="1C985340"/>
    <w:rsid w:val="1CA26872"/>
    <w:rsid w:val="1CA47A0D"/>
    <w:rsid w:val="1CA5548E"/>
    <w:rsid w:val="1CB2349F"/>
    <w:rsid w:val="1CB42226"/>
    <w:rsid w:val="1CC03ABA"/>
    <w:rsid w:val="1CD26FF0"/>
    <w:rsid w:val="1CDB7EE7"/>
    <w:rsid w:val="1CE529F5"/>
    <w:rsid w:val="1CF04609"/>
    <w:rsid w:val="1D0609AB"/>
    <w:rsid w:val="1D1012BA"/>
    <w:rsid w:val="1D163E02"/>
    <w:rsid w:val="1D1B2ECF"/>
    <w:rsid w:val="1D201555"/>
    <w:rsid w:val="1D5368AC"/>
    <w:rsid w:val="1D5A0435"/>
    <w:rsid w:val="1D7238DD"/>
    <w:rsid w:val="1D7A2EE8"/>
    <w:rsid w:val="1D86477C"/>
    <w:rsid w:val="1D885A81"/>
    <w:rsid w:val="1D9062BE"/>
    <w:rsid w:val="1DA65E17"/>
    <w:rsid w:val="1DB37BCA"/>
    <w:rsid w:val="1DB4564C"/>
    <w:rsid w:val="1DC53368"/>
    <w:rsid w:val="1DC958EF"/>
    <w:rsid w:val="1DCF03F4"/>
    <w:rsid w:val="1DD96785"/>
    <w:rsid w:val="1DE653AC"/>
    <w:rsid w:val="1DE90F9E"/>
    <w:rsid w:val="1DE94821"/>
    <w:rsid w:val="1DED3227"/>
    <w:rsid w:val="1E161E6D"/>
    <w:rsid w:val="1E185370"/>
    <w:rsid w:val="1E206EF9"/>
    <w:rsid w:val="1E2C0951"/>
    <w:rsid w:val="1E3F18F1"/>
    <w:rsid w:val="1E464BBA"/>
    <w:rsid w:val="1E574E55"/>
    <w:rsid w:val="1E6750EF"/>
    <w:rsid w:val="1E79668E"/>
    <w:rsid w:val="1E7B3D90"/>
    <w:rsid w:val="1E7F0598"/>
    <w:rsid w:val="1E800217"/>
    <w:rsid w:val="1E8642D4"/>
    <w:rsid w:val="1E8F2A30"/>
    <w:rsid w:val="1E9021D3"/>
    <w:rsid w:val="1E9623BB"/>
    <w:rsid w:val="1E9B20C6"/>
    <w:rsid w:val="1EA1074C"/>
    <w:rsid w:val="1EA57152"/>
    <w:rsid w:val="1EB21CEB"/>
    <w:rsid w:val="1EB80371"/>
    <w:rsid w:val="1EB83BF5"/>
    <w:rsid w:val="1EBE5AFE"/>
    <w:rsid w:val="1EC7098C"/>
    <w:rsid w:val="1EDB2EB0"/>
    <w:rsid w:val="1EDC0931"/>
    <w:rsid w:val="1EDE3E34"/>
    <w:rsid w:val="1EEB512F"/>
    <w:rsid w:val="1F003FE9"/>
    <w:rsid w:val="1F053CF4"/>
    <w:rsid w:val="1F0F0D80"/>
    <w:rsid w:val="1F217DA1"/>
    <w:rsid w:val="1F264229"/>
    <w:rsid w:val="1F3B41CE"/>
    <w:rsid w:val="1F44705C"/>
    <w:rsid w:val="1F4E796B"/>
    <w:rsid w:val="1F667210"/>
    <w:rsid w:val="1F7D6E36"/>
    <w:rsid w:val="1F81363D"/>
    <w:rsid w:val="1F830D3F"/>
    <w:rsid w:val="1F865547"/>
    <w:rsid w:val="1F8F03D5"/>
    <w:rsid w:val="1F992C34"/>
    <w:rsid w:val="1F9B6D5D"/>
    <w:rsid w:val="1FC353AC"/>
    <w:rsid w:val="1FC475AA"/>
    <w:rsid w:val="1FCE2F6A"/>
    <w:rsid w:val="1FDD5F55"/>
    <w:rsid w:val="1FE93F66"/>
    <w:rsid w:val="2001740F"/>
    <w:rsid w:val="200F41A6"/>
    <w:rsid w:val="2024414B"/>
    <w:rsid w:val="20263DCB"/>
    <w:rsid w:val="2027184D"/>
    <w:rsid w:val="202B0253"/>
    <w:rsid w:val="202D3756"/>
    <w:rsid w:val="203C5F6F"/>
    <w:rsid w:val="204B2D06"/>
    <w:rsid w:val="205C42A5"/>
    <w:rsid w:val="206913FD"/>
    <w:rsid w:val="207A70D9"/>
    <w:rsid w:val="207F7CDD"/>
    <w:rsid w:val="208366E3"/>
    <w:rsid w:val="2085546A"/>
    <w:rsid w:val="209F6013"/>
    <w:rsid w:val="20AB78A8"/>
    <w:rsid w:val="20B15F2E"/>
    <w:rsid w:val="20B758B9"/>
    <w:rsid w:val="20C33DE3"/>
    <w:rsid w:val="20C34F4E"/>
    <w:rsid w:val="20C96E58"/>
    <w:rsid w:val="20D14264"/>
    <w:rsid w:val="20D32FEA"/>
    <w:rsid w:val="20E45483"/>
    <w:rsid w:val="20EB0691"/>
    <w:rsid w:val="20F327E0"/>
    <w:rsid w:val="20FD3E2F"/>
    <w:rsid w:val="20FE602D"/>
    <w:rsid w:val="21012835"/>
    <w:rsid w:val="210202B6"/>
    <w:rsid w:val="21091E3F"/>
    <w:rsid w:val="2111724C"/>
    <w:rsid w:val="211514D5"/>
    <w:rsid w:val="213371CC"/>
    <w:rsid w:val="21452025"/>
    <w:rsid w:val="21532BAD"/>
    <w:rsid w:val="215E734B"/>
    <w:rsid w:val="216D40E2"/>
    <w:rsid w:val="2173186F"/>
    <w:rsid w:val="21756F70"/>
    <w:rsid w:val="217F3103"/>
    <w:rsid w:val="219B71B0"/>
    <w:rsid w:val="219C2D85"/>
    <w:rsid w:val="21A93F47"/>
    <w:rsid w:val="21BD09EA"/>
    <w:rsid w:val="21C24E71"/>
    <w:rsid w:val="21C80F79"/>
    <w:rsid w:val="21C92ECF"/>
    <w:rsid w:val="21DA2518"/>
    <w:rsid w:val="21E01EA3"/>
    <w:rsid w:val="21E26BFD"/>
    <w:rsid w:val="21E874A0"/>
    <w:rsid w:val="21EA4491"/>
    <w:rsid w:val="21FE1453"/>
    <w:rsid w:val="21FE6C56"/>
    <w:rsid w:val="22046BDF"/>
    <w:rsid w:val="220C5A58"/>
    <w:rsid w:val="22197A7E"/>
    <w:rsid w:val="22201082"/>
    <w:rsid w:val="22297D19"/>
    <w:rsid w:val="222B101D"/>
    <w:rsid w:val="222F7A24"/>
    <w:rsid w:val="22364E30"/>
    <w:rsid w:val="2251345B"/>
    <w:rsid w:val="225E4CF0"/>
    <w:rsid w:val="226A1E07"/>
    <w:rsid w:val="2278111D"/>
    <w:rsid w:val="228135BA"/>
    <w:rsid w:val="228161A9"/>
    <w:rsid w:val="22823C2A"/>
    <w:rsid w:val="228700B2"/>
    <w:rsid w:val="228D1FBC"/>
    <w:rsid w:val="2291491A"/>
    <w:rsid w:val="2297614E"/>
    <w:rsid w:val="22985DCE"/>
    <w:rsid w:val="229C47D4"/>
    <w:rsid w:val="229F5759"/>
    <w:rsid w:val="22A513F3"/>
    <w:rsid w:val="22A83E6A"/>
    <w:rsid w:val="22C32496"/>
    <w:rsid w:val="22C66D89"/>
    <w:rsid w:val="22C8691D"/>
    <w:rsid w:val="22D97EBC"/>
    <w:rsid w:val="22E713D0"/>
    <w:rsid w:val="22F42C65"/>
    <w:rsid w:val="230279FC"/>
    <w:rsid w:val="23073E84"/>
    <w:rsid w:val="230C030B"/>
    <w:rsid w:val="23181B9F"/>
    <w:rsid w:val="231879A1"/>
    <w:rsid w:val="231B2B24"/>
    <w:rsid w:val="23256CB7"/>
    <w:rsid w:val="232B0BC0"/>
    <w:rsid w:val="233B46DE"/>
    <w:rsid w:val="234052E2"/>
    <w:rsid w:val="234159ED"/>
    <w:rsid w:val="237F064A"/>
    <w:rsid w:val="238D53E2"/>
    <w:rsid w:val="239911F4"/>
    <w:rsid w:val="23A45007"/>
    <w:rsid w:val="23AB73D8"/>
    <w:rsid w:val="23B32DCA"/>
    <w:rsid w:val="23B50750"/>
    <w:rsid w:val="23D331F3"/>
    <w:rsid w:val="23EB31FD"/>
    <w:rsid w:val="23F07684"/>
    <w:rsid w:val="23F6158E"/>
    <w:rsid w:val="23F80329"/>
    <w:rsid w:val="2408666A"/>
    <w:rsid w:val="24194FC5"/>
    <w:rsid w:val="24215C55"/>
    <w:rsid w:val="24232BFA"/>
    <w:rsid w:val="24240DD8"/>
    <w:rsid w:val="242E16E8"/>
    <w:rsid w:val="24362377"/>
    <w:rsid w:val="24470142"/>
    <w:rsid w:val="244C6719"/>
    <w:rsid w:val="24533EA6"/>
    <w:rsid w:val="24554E2A"/>
    <w:rsid w:val="245C5E03"/>
    <w:rsid w:val="24641BC2"/>
    <w:rsid w:val="247962E4"/>
    <w:rsid w:val="248136F0"/>
    <w:rsid w:val="2491398A"/>
    <w:rsid w:val="24932711"/>
    <w:rsid w:val="24986B99"/>
    <w:rsid w:val="249F0722"/>
    <w:rsid w:val="24A11A27"/>
    <w:rsid w:val="24B21E04"/>
    <w:rsid w:val="24C663E3"/>
    <w:rsid w:val="24D40F7C"/>
    <w:rsid w:val="24E02810"/>
    <w:rsid w:val="24E12F82"/>
    <w:rsid w:val="24ED62A3"/>
    <w:rsid w:val="250826D0"/>
    <w:rsid w:val="251D54F9"/>
    <w:rsid w:val="254060AD"/>
    <w:rsid w:val="25413B2E"/>
    <w:rsid w:val="25575CD2"/>
    <w:rsid w:val="25577ED0"/>
    <w:rsid w:val="255C4358"/>
    <w:rsid w:val="256B10EF"/>
    <w:rsid w:val="256C6B71"/>
    <w:rsid w:val="257D0110"/>
    <w:rsid w:val="25832019"/>
    <w:rsid w:val="25970CBA"/>
    <w:rsid w:val="25D40B1F"/>
    <w:rsid w:val="25D971A5"/>
    <w:rsid w:val="25DC5F2B"/>
    <w:rsid w:val="25DD39AD"/>
    <w:rsid w:val="25E17E34"/>
    <w:rsid w:val="25F35B50"/>
    <w:rsid w:val="2604386C"/>
    <w:rsid w:val="26054B71"/>
    <w:rsid w:val="260D2679"/>
    <w:rsid w:val="26110984"/>
    <w:rsid w:val="261B3491"/>
    <w:rsid w:val="261B6D15"/>
    <w:rsid w:val="262E24B2"/>
    <w:rsid w:val="26377F26"/>
    <w:rsid w:val="264777D9"/>
    <w:rsid w:val="264B1A62"/>
    <w:rsid w:val="264C3C60"/>
    <w:rsid w:val="265E5200"/>
    <w:rsid w:val="26634107"/>
    <w:rsid w:val="26795C3D"/>
    <w:rsid w:val="268279BE"/>
    <w:rsid w:val="268A1547"/>
    <w:rsid w:val="269456DA"/>
    <w:rsid w:val="269840E0"/>
    <w:rsid w:val="269B7263"/>
    <w:rsid w:val="26AA787D"/>
    <w:rsid w:val="26C174A2"/>
    <w:rsid w:val="26C40427"/>
    <w:rsid w:val="26D67448"/>
    <w:rsid w:val="26E63E5F"/>
    <w:rsid w:val="26E87362"/>
    <w:rsid w:val="26EA2865"/>
    <w:rsid w:val="26F975FC"/>
    <w:rsid w:val="26FC3E04"/>
    <w:rsid w:val="2701248A"/>
    <w:rsid w:val="270F5023"/>
    <w:rsid w:val="272A6446"/>
    <w:rsid w:val="272B209A"/>
    <w:rsid w:val="272E2055"/>
    <w:rsid w:val="272F7AD6"/>
    <w:rsid w:val="273D00F1"/>
    <w:rsid w:val="273E5B72"/>
    <w:rsid w:val="274612B7"/>
    <w:rsid w:val="27511310"/>
    <w:rsid w:val="2754799B"/>
    <w:rsid w:val="27547C5E"/>
    <w:rsid w:val="2762702C"/>
    <w:rsid w:val="276B40B8"/>
    <w:rsid w:val="27834FE2"/>
    <w:rsid w:val="279377FB"/>
    <w:rsid w:val="27987506"/>
    <w:rsid w:val="279A7186"/>
    <w:rsid w:val="27A82867"/>
    <w:rsid w:val="27AD03A5"/>
    <w:rsid w:val="27B2482C"/>
    <w:rsid w:val="27BC7C01"/>
    <w:rsid w:val="27C869D0"/>
    <w:rsid w:val="27CD64A0"/>
    <w:rsid w:val="27DD30F2"/>
    <w:rsid w:val="27DD6975"/>
    <w:rsid w:val="27E1537C"/>
    <w:rsid w:val="27E32A7D"/>
    <w:rsid w:val="2808303D"/>
    <w:rsid w:val="280C3C41"/>
    <w:rsid w:val="280F0449"/>
    <w:rsid w:val="281448D1"/>
    <w:rsid w:val="28246491"/>
    <w:rsid w:val="282C2BBB"/>
    <w:rsid w:val="2830372A"/>
    <w:rsid w:val="28362887"/>
    <w:rsid w:val="283A128D"/>
    <w:rsid w:val="283A348C"/>
    <w:rsid w:val="284D79DC"/>
    <w:rsid w:val="285E01C8"/>
    <w:rsid w:val="286036CB"/>
    <w:rsid w:val="28691DDD"/>
    <w:rsid w:val="286C74DE"/>
    <w:rsid w:val="287732F1"/>
    <w:rsid w:val="28780D72"/>
    <w:rsid w:val="287B7B98"/>
    <w:rsid w:val="288B1F91"/>
    <w:rsid w:val="28971627"/>
    <w:rsid w:val="289C222B"/>
    <w:rsid w:val="289E31B0"/>
    <w:rsid w:val="28A044B5"/>
    <w:rsid w:val="28A279B8"/>
    <w:rsid w:val="28CD627E"/>
    <w:rsid w:val="28D252DE"/>
    <w:rsid w:val="28D87E92"/>
    <w:rsid w:val="28E95BAE"/>
    <w:rsid w:val="28EE2D47"/>
    <w:rsid w:val="28F17223"/>
    <w:rsid w:val="28F925C5"/>
    <w:rsid w:val="28FB471E"/>
    <w:rsid w:val="28FC354A"/>
    <w:rsid w:val="28FC6DCD"/>
    <w:rsid w:val="290441D9"/>
    <w:rsid w:val="29051C5B"/>
    <w:rsid w:val="29275693"/>
    <w:rsid w:val="292A6617"/>
    <w:rsid w:val="292F2A9F"/>
    <w:rsid w:val="29303DA4"/>
    <w:rsid w:val="293427AA"/>
    <w:rsid w:val="295142D9"/>
    <w:rsid w:val="2956295F"/>
    <w:rsid w:val="295B1A26"/>
    <w:rsid w:val="295F57ED"/>
    <w:rsid w:val="29637A76"/>
    <w:rsid w:val="29791C1A"/>
    <w:rsid w:val="298634AE"/>
    <w:rsid w:val="298E633C"/>
    <w:rsid w:val="2990183F"/>
    <w:rsid w:val="29986018"/>
    <w:rsid w:val="299910E7"/>
    <w:rsid w:val="299B3453"/>
    <w:rsid w:val="29A30860"/>
    <w:rsid w:val="29A42A5E"/>
    <w:rsid w:val="29A504DF"/>
    <w:rsid w:val="29AC58EC"/>
    <w:rsid w:val="29B77500"/>
    <w:rsid w:val="29BE3608"/>
    <w:rsid w:val="29C516C1"/>
    <w:rsid w:val="29C9741A"/>
    <w:rsid w:val="29D976B5"/>
    <w:rsid w:val="2A092F82"/>
    <w:rsid w:val="2A0A716D"/>
    <w:rsid w:val="2A0C559D"/>
    <w:rsid w:val="2A207E29"/>
    <w:rsid w:val="2A2E4BC0"/>
    <w:rsid w:val="2A2F2642"/>
    <w:rsid w:val="2A3C3ED6"/>
    <w:rsid w:val="2A544876"/>
    <w:rsid w:val="2A591288"/>
    <w:rsid w:val="2A597067"/>
    <w:rsid w:val="2A783D3B"/>
    <w:rsid w:val="2A7F14C7"/>
    <w:rsid w:val="2A8C4388"/>
    <w:rsid w:val="2A932366"/>
    <w:rsid w:val="2A952A67"/>
    <w:rsid w:val="2A9845F0"/>
    <w:rsid w:val="2A984622"/>
    <w:rsid w:val="2A9B2FF6"/>
    <w:rsid w:val="2A9B7773"/>
    <w:rsid w:val="2AA1167C"/>
    <w:rsid w:val="2ABC6246"/>
    <w:rsid w:val="2ACA60C4"/>
    <w:rsid w:val="2AD640D4"/>
    <w:rsid w:val="2AD71B56"/>
    <w:rsid w:val="2ADA2ADB"/>
    <w:rsid w:val="2AE46C6D"/>
    <w:rsid w:val="2AE90244"/>
    <w:rsid w:val="2AF35C03"/>
    <w:rsid w:val="2AF54989"/>
    <w:rsid w:val="2B01079C"/>
    <w:rsid w:val="2B0626A5"/>
    <w:rsid w:val="2B085BA8"/>
    <w:rsid w:val="2B0E422E"/>
    <w:rsid w:val="2B1C4849"/>
    <w:rsid w:val="2B320F6B"/>
    <w:rsid w:val="2B43250A"/>
    <w:rsid w:val="2B555CA8"/>
    <w:rsid w:val="2B5946AE"/>
    <w:rsid w:val="2B5A68AC"/>
    <w:rsid w:val="2B6526BF"/>
    <w:rsid w:val="2B6910C5"/>
    <w:rsid w:val="2B7349B1"/>
    <w:rsid w:val="2B8B28FE"/>
    <w:rsid w:val="2B8D5E01"/>
    <w:rsid w:val="2BA20325"/>
    <w:rsid w:val="2BB43AC3"/>
    <w:rsid w:val="2BD36576"/>
    <w:rsid w:val="2BD43FF7"/>
    <w:rsid w:val="2BD674FA"/>
    <w:rsid w:val="2BDA267D"/>
    <w:rsid w:val="2BEC169E"/>
    <w:rsid w:val="2BF31029"/>
    <w:rsid w:val="2C06004A"/>
    <w:rsid w:val="2C0833AD"/>
    <w:rsid w:val="2C0B44D1"/>
    <w:rsid w:val="2C152862"/>
    <w:rsid w:val="2C164A61"/>
    <w:rsid w:val="2C2938FB"/>
    <w:rsid w:val="2C364F95"/>
    <w:rsid w:val="2C5113C3"/>
    <w:rsid w:val="2C8D59A4"/>
    <w:rsid w:val="2C8E6CA9"/>
    <w:rsid w:val="2C9A2ABC"/>
    <w:rsid w:val="2C9F1142"/>
    <w:rsid w:val="2CA45E23"/>
    <w:rsid w:val="2CA64350"/>
    <w:rsid w:val="2CA6643F"/>
    <w:rsid w:val="2CAB4F54"/>
    <w:rsid w:val="2CB35BE4"/>
    <w:rsid w:val="2CCE420F"/>
    <w:rsid w:val="2CDD482A"/>
    <w:rsid w:val="2CE03230"/>
    <w:rsid w:val="2CEF7FC7"/>
    <w:rsid w:val="2CF07C47"/>
    <w:rsid w:val="2CFA0557"/>
    <w:rsid w:val="2CFD75FB"/>
    <w:rsid w:val="2CFE27E0"/>
    <w:rsid w:val="2CFE6F5D"/>
    <w:rsid w:val="2CFF49DE"/>
    <w:rsid w:val="2D001B1A"/>
    <w:rsid w:val="2D13367F"/>
    <w:rsid w:val="2D144984"/>
    <w:rsid w:val="2D1B57FD"/>
    <w:rsid w:val="2D1E5293"/>
    <w:rsid w:val="2D452F54"/>
    <w:rsid w:val="2D5708F0"/>
    <w:rsid w:val="2D5D27F9"/>
    <w:rsid w:val="2D645A08"/>
    <w:rsid w:val="2D74241F"/>
    <w:rsid w:val="2D7733A3"/>
    <w:rsid w:val="2D776C27"/>
    <w:rsid w:val="2D79212A"/>
    <w:rsid w:val="2D8B7E46"/>
    <w:rsid w:val="2D9C5B61"/>
    <w:rsid w:val="2DA07DEB"/>
    <w:rsid w:val="2DA11FE9"/>
    <w:rsid w:val="2DAE7101"/>
    <w:rsid w:val="2DC77CAA"/>
    <w:rsid w:val="2DD2603B"/>
    <w:rsid w:val="2DD76C40"/>
    <w:rsid w:val="2DDB30C8"/>
    <w:rsid w:val="2DE64CDC"/>
    <w:rsid w:val="2DEE4968"/>
    <w:rsid w:val="2DF829F8"/>
    <w:rsid w:val="2DF95EFB"/>
    <w:rsid w:val="2E055591"/>
    <w:rsid w:val="2E093F97"/>
    <w:rsid w:val="2E105518"/>
    <w:rsid w:val="2E121023"/>
    <w:rsid w:val="2E1348A7"/>
    <w:rsid w:val="2E203BBC"/>
    <w:rsid w:val="2E277CC4"/>
    <w:rsid w:val="2E285745"/>
    <w:rsid w:val="2E2E2ED2"/>
    <w:rsid w:val="2E3118D8"/>
    <w:rsid w:val="2E342FAD"/>
    <w:rsid w:val="2E376B26"/>
    <w:rsid w:val="2E4140F1"/>
    <w:rsid w:val="2E4F0E88"/>
    <w:rsid w:val="2E6049A6"/>
    <w:rsid w:val="2E6A2D37"/>
    <w:rsid w:val="2E6E5EBA"/>
    <w:rsid w:val="2E6F5A1B"/>
    <w:rsid w:val="2E704C40"/>
    <w:rsid w:val="2E766B49"/>
    <w:rsid w:val="2E806660"/>
    <w:rsid w:val="2E824B5A"/>
    <w:rsid w:val="2E851362"/>
    <w:rsid w:val="2E8B79E8"/>
    <w:rsid w:val="2E932876"/>
    <w:rsid w:val="2E9961B8"/>
    <w:rsid w:val="2EA11B8C"/>
    <w:rsid w:val="2EA46394"/>
    <w:rsid w:val="2EB23BE8"/>
    <w:rsid w:val="2EBB5FB9"/>
    <w:rsid w:val="2EC830D0"/>
    <w:rsid w:val="2EC952CF"/>
    <w:rsid w:val="2ECC1AD7"/>
    <w:rsid w:val="2ED15F5E"/>
    <w:rsid w:val="2ED8336B"/>
    <w:rsid w:val="2EE23C7A"/>
    <w:rsid w:val="2EEE1C8B"/>
    <w:rsid w:val="2EF67098"/>
    <w:rsid w:val="2EFF4953"/>
    <w:rsid w:val="2F0518B0"/>
    <w:rsid w:val="2F0C75CD"/>
    <w:rsid w:val="2F2015DE"/>
    <w:rsid w:val="2F3D528D"/>
    <w:rsid w:val="2F44049C"/>
    <w:rsid w:val="2F4A519E"/>
    <w:rsid w:val="2F4B7E26"/>
    <w:rsid w:val="2F4C58A8"/>
    <w:rsid w:val="2F4C67C4"/>
    <w:rsid w:val="2F5042AE"/>
    <w:rsid w:val="2F5219B0"/>
    <w:rsid w:val="2F587508"/>
    <w:rsid w:val="2F5A263F"/>
    <w:rsid w:val="2F5C22BF"/>
    <w:rsid w:val="2F630906"/>
    <w:rsid w:val="2F6760D2"/>
    <w:rsid w:val="2F6D7FDB"/>
    <w:rsid w:val="2F7169E1"/>
    <w:rsid w:val="2F843483"/>
    <w:rsid w:val="2F8F5F3D"/>
    <w:rsid w:val="2F976C21"/>
    <w:rsid w:val="2F9C692C"/>
    <w:rsid w:val="2FAF42C8"/>
    <w:rsid w:val="2FB20AD0"/>
    <w:rsid w:val="2FB84BD7"/>
    <w:rsid w:val="2FBB5B5C"/>
    <w:rsid w:val="2FC254E7"/>
    <w:rsid w:val="2FC94E71"/>
    <w:rsid w:val="2FD00080"/>
    <w:rsid w:val="2FD15B01"/>
    <w:rsid w:val="2FEB66AB"/>
    <w:rsid w:val="300140D2"/>
    <w:rsid w:val="300417D3"/>
    <w:rsid w:val="30062758"/>
    <w:rsid w:val="30095E7D"/>
    <w:rsid w:val="301607F4"/>
    <w:rsid w:val="30176275"/>
    <w:rsid w:val="301B4C7C"/>
    <w:rsid w:val="30276510"/>
    <w:rsid w:val="30291A13"/>
    <w:rsid w:val="3032101E"/>
    <w:rsid w:val="30351FA2"/>
    <w:rsid w:val="303C51B0"/>
    <w:rsid w:val="304F63CF"/>
    <w:rsid w:val="3057125D"/>
    <w:rsid w:val="306040EB"/>
    <w:rsid w:val="306B247C"/>
    <w:rsid w:val="307A5086"/>
    <w:rsid w:val="307D149D"/>
    <w:rsid w:val="30837B23"/>
    <w:rsid w:val="308455A5"/>
    <w:rsid w:val="30850AA8"/>
    <w:rsid w:val="30987AC8"/>
    <w:rsid w:val="30A30058"/>
    <w:rsid w:val="30AB345E"/>
    <w:rsid w:val="30B231DF"/>
    <w:rsid w:val="30B360F4"/>
    <w:rsid w:val="30B404CF"/>
    <w:rsid w:val="30B43B75"/>
    <w:rsid w:val="30B67078"/>
    <w:rsid w:val="30CA159C"/>
    <w:rsid w:val="30E57BC8"/>
    <w:rsid w:val="30F62060"/>
    <w:rsid w:val="30FB64E8"/>
    <w:rsid w:val="310C4204"/>
    <w:rsid w:val="3110648D"/>
    <w:rsid w:val="31231C2B"/>
    <w:rsid w:val="31235140"/>
    <w:rsid w:val="312E3A49"/>
    <w:rsid w:val="313B5C41"/>
    <w:rsid w:val="313F155B"/>
    <w:rsid w:val="314B756C"/>
    <w:rsid w:val="314F645C"/>
    <w:rsid w:val="31642694"/>
    <w:rsid w:val="31645F17"/>
    <w:rsid w:val="316A7E21"/>
    <w:rsid w:val="31734EAD"/>
    <w:rsid w:val="31740730"/>
    <w:rsid w:val="31763C33"/>
    <w:rsid w:val="31832D86"/>
    <w:rsid w:val="31923564"/>
    <w:rsid w:val="31A46D01"/>
    <w:rsid w:val="31AA2E09"/>
    <w:rsid w:val="31B54FA3"/>
    <w:rsid w:val="31C417B4"/>
    <w:rsid w:val="31C439B2"/>
    <w:rsid w:val="31CB333D"/>
    <w:rsid w:val="31CD6840"/>
    <w:rsid w:val="31D729D3"/>
    <w:rsid w:val="31DA5B56"/>
    <w:rsid w:val="31E267E6"/>
    <w:rsid w:val="31E34267"/>
    <w:rsid w:val="31EC70F5"/>
    <w:rsid w:val="31ED4B77"/>
    <w:rsid w:val="31F20FFF"/>
    <w:rsid w:val="31FA6ADC"/>
    <w:rsid w:val="32005D96"/>
    <w:rsid w:val="32067C9F"/>
    <w:rsid w:val="32090C24"/>
    <w:rsid w:val="32110A8D"/>
    <w:rsid w:val="322162CA"/>
    <w:rsid w:val="32262752"/>
    <w:rsid w:val="322936D7"/>
    <w:rsid w:val="32363B12"/>
    <w:rsid w:val="32414601"/>
    <w:rsid w:val="32483F8C"/>
    <w:rsid w:val="3251489B"/>
    <w:rsid w:val="32666DBF"/>
    <w:rsid w:val="3267021E"/>
    <w:rsid w:val="32691F42"/>
    <w:rsid w:val="326C2EC7"/>
    <w:rsid w:val="326E1C4D"/>
    <w:rsid w:val="327A5A60"/>
    <w:rsid w:val="3284056D"/>
    <w:rsid w:val="328B7EF8"/>
    <w:rsid w:val="328C72C2"/>
    <w:rsid w:val="329106CD"/>
    <w:rsid w:val="32932D86"/>
    <w:rsid w:val="32956289"/>
    <w:rsid w:val="329A5F94"/>
    <w:rsid w:val="329F241C"/>
    <w:rsid w:val="32AC3CB0"/>
    <w:rsid w:val="32B310BD"/>
    <w:rsid w:val="32B7716B"/>
    <w:rsid w:val="32B92FC6"/>
    <w:rsid w:val="32BA64CA"/>
    <w:rsid w:val="32BA7437"/>
    <w:rsid w:val="32C835E0"/>
    <w:rsid w:val="32D009ED"/>
    <w:rsid w:val="32D05FC4"/>
    <w:rsid w:val="32D44E75"/>
    <w:rsid w:val="32D7654A"/>
    <w:rsid w:val="32DE1F01"/>
    <w:rsid w:val="32E70612"/>
    <w:rsid w:val="32F62E2B"/>
    <w:rsid w:val="32F9052C"/>
    <w:rsid w:val="33051DC0"/>
    <w:rsid w:val="330C174B"/>
    <w:rsid w:val="330D2A50"/>
    <w:rsid w:val="33126ED8"/>
    <w:rsid w:val="332E7A86"/>
    <w:rsid w:val="3333740C"/>
    <w:rsid w:val="333D4548"/>
    <w:rsid w:val="33401FA5"/>
    <w:rsid w:val="33432F2A"/>
    <w:rsid w:val="334348BA"/>
    <w:rsid w:val="334D3839"/>
    <w:rsid w:val="33512240"/>
    <w:rsid w:val="33537941"/>
    <w:rsid w:val="33571BCB"/>
    <w:rsid w:val="335B05D1"/>
    <w:rsid w:val="335E1555"/>
    <w:rsid w:val="33684063"/>
    <w:rsid w:val="33886C36"/>
    <w:rsid w:val="33A928CE"/>
    <w:rsid w:val="33C0598A"/>
    <w:rsid w:val="33C71E7E"/>
    <w:rsid w:val="33CB0884"/>
    <w:rsid w:val="33CD1809"/>
    <w:rsid w:val="33D1020F"/>
    <w:rsid w:val="33D87B9A"/>
    <w:rsid w:val="33DC1E24"/>
    <w:rsid w:val="33FC015A"/>
    <w:rsid w:val="340223B2"/>
    <w:rsid w:val="340B208C"/>
    <w:rsid w:val="341D068F"/>
    <w:rsid w:val="34257C99"/>
    <w:rsid w:val="34296340"/>
    <w:rsid w:val="3430602A"/>
    <w:rsid w:val="344062C5"/>
    <w:rsid w:val="344949D6"/>
    <w:rsid w:val="345031E8"/>
    <w:rsid w:val="34630E03"/>
    <w:rsid w:val="34666505"/>
    <w:rsid w:val="347011D1"/>
    <w:rsid w:val="34774220"/>
    <w:rsid w:val="34777AA4"/>
    <w:rsid w:val="34792FA7"/>
    <w:rsid w:val="347F162D"/>
    <w:rsid w:val="347F4EB0"/>
    <w:rsid w:val="348A543F"/>
    <w:rsid w:val="34A075E3"/>
    <w:rsid w:val="34AB11F7"/>
    <w:rsid w:val="34B73416"/>
    <w:rsid w:val="34B7500A"/>
    <w:rsid w:val="34BE2416"/>
    <w:rsid w:val="34C346A0"/>
    <w:rsid w:val="34C42121"/>
    <w:rsid w:val="34D73340"/>
    <w:rsid w:val="34F4706D"/>
    <w:rsid w:val="34F6124E"/>
    <w:rsid w:val="34F768D2"/>
    <w:rsid w:val="34F77FF2"/>
    <w:rsid w:val="350F0F1C"/>
    <w:rsid w:val="352630BF"/>
    <w:rsid w:val="35486AF7"/>
    <w:rsid w:val="354C54FD"/>
    <w:rsid w:val="354D2F7F"/>
    <w:rsid w:val="35522AAF"/>
    <w:rsid w:val="355F451E"/>
    <w:rsid w:val="35611C20"/>
    <w:rsid w:val="35635123"/>
    <w:rsid w:val="357331BF"/>
    <w:rsid w:val="358403D4"/>
    <w:rsid w:val="35923A74"/>
    <w:rsid w:val="35946F77"/>
    <w:rsid w:val="35956BF6"/>
    <w:rsid w:val="35A04F88"/>
    <w:rsid w:val="35A5140F"/>
    <w:rsid w:val="35AB6B9C"/>
    <w:rsid w:val="35C054BC"/>
    <w:rsid w:val="35C209BF"/>
    <w:rsid w:val="35CF2253"/>
    <w:rsid w:val="35D466DB"/>
    <w:rsid w:val="35DA3E68"/>
    <w:rsid w:val="35E34777"/>
    <w:rsid w:val="35FE0BA4"/>
    <w:rsid w:val="35FE2DA3"/>
    <w:rsid w:val="360D7B3A"/>
    <w:rsid w:val="362167DA"/>
    <w:rsid w:val="3624775F"/>
    <w:rsid w:val="362F3572"/>
    <w:rsid w:val="3634327D"/>
    <w:rsid w:val="363F160E"/>
    <w:rsid w:val="3665184D"/>
    <w:rsid w:val="36767569"/>
    <w:rsid w:val="36771768"/>
    <w:rsid w:val="36882D07"/>
    <w:rsid w:val="368A2987"/>
    <w:rsid w:val="368B0408"/>
    <w:rsid w:val="3696421B"/>
    <w:rsid w:val="36977A9E"/>
    <w:rsid w:val="36A238B1"/>
    <w:rsid w:val="36A35AAF"/>
    <w:rsid w:val="36BE795E"/>
    <w:rsid w:val="36C52B6C"/>
    <w:rsid w:val="36C54A69"/>
    <w:rsid w:val="36D45384"/>
    <w:rsid w:val="36DC2791"/>
    <w:rsid w:val="36DD0212"/>
    <w:rsid w:val="36E261F9"/>
    <w:rsid w:val="36EA3CA5"/>
    <w:rsid w:val="36EE5F2E"/>
    <w:rsid w:val="37005E48"/>
    <w:rsid w:val="370E09E1"/>
    <w:rsid w:val="37103EE5"/>
    <w:rsid w:val="37111966"/>
    <w:rsid w:val="37115C9B"/>
    <w:rsid w:val="37134E69"/>
    <w:rsid w:val="372A0312"/>
    <w:rsid w:val="37437BB7"/>
    <w:rsid w:val="37466D9A"/>
    <w:rsid w:val="374C2A45"/>
    <w:rsid w:val="37720706"/>
    <w:rsid w:val="378105FB"/>
    <w:rsid w:val="37860176"/>
    <w:rsid w:val="378B382E"/>
    <w:rsid w:val="378F2234"/>
    <w:rsid w:val="37A57C5B"/>
    <w:rsid w:val="37A7315E"/>
    <w:rsid w:val="37B52BB4"/>
    <w:rsid w:val="37B833F9"/>
    <w:rsid w:val="37B95FE7"/>
    <w:rsid w:val="37BA68D2"/>
    <w:rsid w:val="37C02A03"/>
    <w:rsid w:val="37C33988"/>
    <w:rsid w:val="37C60190"/>
    <w:rsid w:val="37CB5B53"/>
    <w:rsid w:val="37CF521C"/>
    <w:rsid w:val="37D23FA3"/>
    <w:rsid w:val="37D529A9"/>
    <w:rsid w:val="37D800AA"/>
    <w:rsid w:val="37D90C3F"/>
    <w:rsid w:val="37EC4B4C"/>
    <w:rsid w:val="37EE5AD1"/>
    <w:rsid w:val="37F66761"/>
    <w:rsid w:val="380769FB"/>
    <w:rsid w:val="380C5081"/>
    <w:rsid w:val="38145D11"/>
    <w:rsid w:val="38232AA8"/>
    <w:rsid w:val="38371749"/>
    <w:rsid w:val="38530312"/>
    <w:rsid w:val="38762532"/>
    <w:rsid w:val="38823871"/>
    <w:rsid w:val="388A434F"/>
    <w:rsid w:val="388E4356"/>
    <w:rsid w:val="38910B5D"/>
    <w:rsid w:val="38922D5C"/>
    <w:rsid w:val="389771E3"/>
    <w:rsid w:val="38A80783"/>
    <w:rsid w:val="38A8160C"/>
    <w:rsid w:val="38B13611"/>
    <w:rsid w:val="38BD7423"/>
    <w:rsid w:val="38C03C2B"/>
    <w:rsid w:val="38DD575A"/>
    <w:rsid w:val="38DE31DB"/>
    <w:rsid w:val="38EA4A6F"/>
    <w:rsid w:val="38F3536C"/>
    <w:rsid w:val="38F60882"/>
    <w:rsid w:val="38FC4989"/>
    <w:rsid w:val="38FE3710"/>
    <w:rsid w:val="3904163C"/>
    <w:rsid w:val="390A7522"/>
    <w:rsid w:val="390B4FA4"/>
    <w:rsid w:val="390E5F29"/>
    <w:rsid w:val="39155CC9"/>
    <w:rsid w:val="392016C6"/>
    <w:rsid w:val="39224BC9"/>
    <w:rsid w:val="392C0D5C"/>
    <w:rsid w:val="392D09DC"/>
    <w:rsid w:val="3936386A"/>
    <w:rsid w:val="39494A89"/>
    <w:rsid w:val="394D6D12"/>
    <w:rsid w:val="395471DD"/>
    <w:rsid w:val="396665B7"/>
    <w:rsid w:val="39741150"/>
    <w:rsid w:val="398508E1"/>
    <w:rsid w:val="398E557D"/>
    <w:rsid w:val="398F777C"/>
    <w:rsid w:val="39923F83"/>
    <w:rsid w:val="399A6E11"/>
    <w:rsid w:val="39A74E22"/>
    <w:rsid w:val="39B479BB"/>
    <w:rsid w:val="39E5018A"/>
    <w:rsid w:val="39F21A1E"/>
    <w:rsid w:val="39F407A5"/>
    <w:rsid w:val="39F913A9"/>
    <w:rsid w:val="3A124EAE"/>
    <w:rsid w:val="3A1E5D66"/>
    <w:rsid w:val="3A2008D5"/>
    <w:rsid w:val="3A223F8F"/>
    <w:rsid w:val="3A2C2AFD"/>
    <w:rsid w:val="3A2E6000"/>
    <w:rsid w:val="3A2F1883"/>
    <w:rsid w:val="3A314D86"/>
    <w:rsid w:val="3A335D0B"/>
    <w:rsid w:val="3A3A5696"/>
    <w:rsid w:val="3A4A5930"/>
    <w:rsid w:val="3A595F4B"/>
    <w:rsid w:val="3A5C364C"/>
    <w:rsid w:val="3A6C716A"/>
    <w:rsid w:val="3A7135F2"/>
    <w:rsid w:val="3A7257F0"/>
    <w:rsid w:val="3A767A79"/>
    <w:rsid w:val="3A7940DD"/>
    <w:rsid w:val="3AAF38F1"/>
    <w:rsid w:val="3AB85F64"/>
    <w:rsid w:val="3AC342F5"/>
    <w:rsid w:val="3ACA3C80"/>
    <w:rsid w:val="3AD32391"/>
    <w:rsid w:val="3ADA6214"/>
    <w:rsid w:val="3AE21327"/>
    <w:rsid w:val="3AE80CB2"/>
    <w:rsid w:val="3AF31810"/>
    <w:rsid w:val="3AFE0342"/>
    <w:rsid w:val="3B060262"/>
    <w:rsid w:val="3B1278F8"/>
    <w:rsid w:val="3B3C073C"/>
    <w:rsid w:val="3B3D61BD"/>
    <w:rsid w:val="3B4B0D56"/>
    <w:rsid w:val="3B4D27A0"/>
    <w:rsid w:val="3B4D6458"/>
    <w:rsid w:val="3B514E5E"/>
    <w:rsid w:val="3B5847E9"/>
    <w:rsid w:val="3B5C31EF"/>
    <w:rsid w:val="3B674D8E"/>
    <w:rsid w:val="3B705713"/>
    <w:rsid w:val="3B782B1F"/>
    <w:rsid w:val="3B7E4A28"/>
    <w:rsid w:val="3B9F29DF"/>
    <w:rsid w:val="3BA313E5"/>
    <w:rsid w:val="3BB02C79"/>
    <w:rsid w:val="3BB9138A"/>
    <w:rsid w:val="3BBF0D15"/>
    <w:rsid w:val="3BCC25A9"/>
    <w:rsid w:val="3BCC6D26"/>
    <w:rsid w:val="3BD34132"/>
    <w:rsid w:val="3BD6093A"/>
    <w:rsid w:val="3BE70BD5"/>
    <w:rsid w:val="3BE74691"/>
    <w:rsid w:val="3BE940D8"/>
    <w:rsid w:val="3BF47EEA"/>
    <w:rsid w:val="3BF97BF5"/>
    <w:rsid w:val="3BFC0B7A"/>
    <w:rsid w:val="3C022A83"/>
    <w:rsid w:val="3C030505"/>
    <w:rsid w:val="3C086B8B"/>
    <w:rsid w:val="3C15041F"/>
    <w:rsid w:val="3C165EA1"/>
    <w:rsid w:val="3C1813A4"/>
    <w:rsid w:val="3C1A48A7"/>
    <w:rsid w:val="3C1E0146"/>
    <w:rsid w:val="3C2351B6"/>
    <w:rsid w:val="3C360203"/>
    <w:rsid w:val="3C3D3B62"/>
    <w:rsid w:val="3C3F4AE6"/>
    <w:rsid w:val="3C425A6B"/>
    <w:rsid w:val="3C4C3631"/>
    <w:rsid w:val="3C587C0F"/>
    <w:rsid w:val="3C60501B"/>
    <w:rsid w:val="3C6514A3"/>
    <w:rsid w:val="3C700C3E"/>
    <w:rsid w:val="3C710B39"/>
    <w:rsid w:val="3C712D37"/>
    <w:rsid w:val="3C807ACE"/>
    <w:rsid w:val="3C841D58"/>
    <w:rsid w:val="3C8D6DE4"/>
    <w:rsid w:val="3C9E2902"/>
    <w:rsid w:val="3CA75790"/>
    <w:rsid w:val="3CB52527"/>
    <w:rsid w:val="3CBB7CB3"/>
    <w:rsid w:val="3CC13DBB"/>
    <w:rsid w:val="3CC44D40"/>
    <w:rsid w:val="3CC56DB1"/>
    <w:rsid w:val="3CC72F54"/>
    <w:rsid w:val="3CCF6954"/>
    <w:rsid w:val="3CD073DF"/>
    <w:rsid w:val="3CDC01E8"/>
    <w:rsid w:val="3CDD014F"/>
    <w:rsid w:val="3CE242F0"/>
    <w:rsid w:val="3CE861F9"/>
    <w:rsid w:val="3CEF24AB"/>
    <w:rsid w:val="3CF01087"/>
    <w:rsid w:val="3CF61FAA"/>
    <w:rsid w:val="3CFB2C9B"/>
    <w:rsid w:val="3D037BF7"/>
    <w:rsid w:val="3D07322A"/>
    <w:rsid w:val="3D1A2F76"/>
    <w:rsid w:val="3D212EDB"/>
    <w:rsid w:val="3D274DE4"/>
    <w:rsid w:val="3D3A6003"/>
    <w:rsid w:val="3D487517"/>
    <w:rsid w:val="3D5001A7"/>
    <w:rsid w:val="3D5358A8"/>
    <w:rsid w:val="3D5855B3"/>
    <w:rsid w:val="3D697C83"/>
    <w:rsid w:val="3D6A0D51"/>
    <w:rsid w:val="3D6D1CD5"/>
    <w:rsid w:val="3D733ED9"/>
    <w:rsid w:val="3D98639D"/>
    <w:rsid w:val="3D993E1E"/>
    <w:rsid w:val="3DA24C53"/>
    <w:rsid w:val="3DA556B2"/>
    <w:rsid w:val="3DAA1B3A"/>
    <w:rsid w:val="3DAB75BC"/>
    <w:rsid w:val="3DB16F47"/>
    <w:rsid w:val="3DC213DF"/>
    <w:rsid w:val="3DC96B6C"/>
    <w:rsid w:val="3DD34EFD"/>
    <w:rsid w:val="3DD96E06"/>
    <w:rsid w:val="3DDB2309"/>
    <w:rsid w:val="3DED132A"/>
    <w:rsid w:val="3DEE6DAB"/>
    <w:rsid w:val="3DF52EB3"/>
    <w:rsid w:val="3E191DEE"/>
    <w:rsid w:val="3E243A02"/>
    <w:rsid w:val="3E243A93"/>
    <w:rsid w:val="3E255C01"/>
    <w:rsid w:val="3E266F05"/>
    <w:rsid w:val="3E282408"/>
    <w:rsid w:val="3E297E8A"/>
    <w:rsid w:val="3E2C0E0F"/>
    <w:rsid w:val="3E33621B"/>
    <w:rsid w:val="3E36391C"/>
    <w:rsid w:val="3E3B7876"/>
    <w:rsid w:val="3E430A34"/>
    <w:rsid w:val="3E5776D4"/>
    <w:rsid w:val="3E79568B"/>
    <w:rsid w:val="3E7A698F"/>
    <w:rsid w:val="3E8310CE"/>
    <w:rsid w:val="3E9B6EC4"/>
    <w:rsid w:val="3EA477D4"/>
    <w:rsid w:val="3EAA16DD"/>
    <w:rsid w:val="3EBB73F9"/>
    <w:rsid w:val="3EC54F15"/>
    <w:rsid w:val="3ED30323"/>
    <w:rsid w:val="3ED847AB"/>
    <w:rsid w:val="3EE5023D"/>
    <w:rsid w:val="3EF065CE"/>
    <w:rsid w:val="3EFE1167"/>
    <w:rsid w:val="3EFF0DE7"/>
    <w:rsid w:val="3F0556AC"/>
    <w:rsid w:val="3F0B047D"/>
    <w:rsid w:val="3F0D20B8"/>
    <w:rsid w:val="3F1F4F1F"/>
    <w:rsid w:val="3F2435A5"/>
    <w:rsid w:val="3F376ABA"/>
    <w:rsid w:val="3F3C4DFA"/>
    <w:rsid w:val="3F4D4769"/>
    <w:rsid w:val="3F4F1E6B"/>
    <w:rsid w:val="3F522DEF"/>
    <w:rsid w:val="3F592CF6"/>
    <w:rsid w:val="3F5E6C02"/>
    <w:rsid w:val="3F63690D"/>
    <w:rsid w:val="3F6756D0"/>
    <w:rsid w:val="3F6D721C"/>
    <w:rsid w:val="3F7755AE"/>
    <w:rsid w:val="3F82393F"/>
    <w:rsid w:val="3F87364A"/>
    <w:rsid w:val="3F9119DB"/>
    <w:rsid w:val="3F916157"/>
    <w:rsid w:val="3FA73B7E"/>
    <w:rsid w:val="3FB45412"/>
    <w:rsid w:val="3FB90253"/>
    <w:rsid w:val="3FBA731C"/>
    <w:rsid w:val="3FC03423"/>
    <w:rsid w:val="3FC456AD"/>
    <w:rsid w:val="3FCE01BB"/>
    <w:rsid w:val="3FCE2739"/>
    <w:rsid w:val="3FD16F41"/>
    <w:rsid w:val="3FDD3829"/>
    <w:rsid w:val="3FEC69FE"/>
    <w:rsid w:val="3FF403FA"/>
    <w:rsid w:val="3FF74C02"/>
    <w:rsid w:val="3FFA5B87"/>
    <w:rsid w:val="3FFB26A8"/>
    <w:rsid w:val="3FFD3288"/>
    <w:rsid w:val="40030A15"/>
    <w:rsid w:val="40164305"/>
    <w:rsid w:val="401818B4"/>
    <w:rsid w:val="401B2838"/>
    <w:rsid w:val="401C3B3D"/>
    <w:rsid w:val="40487E84"/>
    <w:rsid w:val="40564282"/>
    <w:rsid w:val="405C6B25"/>
    <w:rsid w:val="40612FAD"/>
    <w:rsid w:val="40662A84"/>
    <w:rsid w:val="406A5E3B"/>
    <w:rsid w:val="406E4841"/>
    <w:rsid w:val="4075369B"/>
    <w:rsid w:val="40772F52"/>
    <w:rsid w:val="407A60D5"/>
    <w:rsid w:val="407D0727"/>
    <w:rsid w:val="407E035E"/>
    <w:rsid w:val="408908EE"/>
    <w:rsid w:val="408966EF"/>
    <w:rsid w:val="408D50F6"/>
    <w:rsid w:val="40905534"/>
    <w:rsid w:val="409240A7"/>
    <w:rsid w:val="409311FD"/>
    <w:rsid w:val="40942CEC"/>
    <w:rsid w:val="40965A05"/>
    <w:rsid w:val="409741F1"/>
    <w:rsid w:val="40A06315"/>
    <w:rsid w:val="40B745D6"/>
    <w:rsid w:val="40B8723F"/>
    <w:rsid w:val="40BD7E43"/>
    <w:rsid w:val="40C0464B"/>
    <w:rsid w:val="40C142CB"/>
    <w:rsid w:val="40C355D0"/>
    <w:rsid w:val="40EA1C0C"/>
    <w:rsid w:val="40EF6094"/>
    <w:rsid w:val="410305B7"/>
    <w:rsid w:val="411211A0"/>
    <w:rsid w:val="411617D6"/>
    <w:rsid w:val="41305C04"/>
    <w:rsid w:val="41321107"/>
    <w:rsid w:val="4134460A"/>
    <w:rsid w:val="41371D0B"/>
    <w:rsid w:val="413C1A16"/>
    <w:rsid w:val="413D7498"/>
    <w:rsid w:val="413E4F19"/>
    <w:rsid w:val="414D3EAF"/>
    <w:rsid w:val="414F2C35"/>
    <w:rsid w:val="415625C0"/>
    <w:rsid w:val="415A31C5"/>
    <w:rsid w:val="415D3027"/>
    <w:rsid w:val="415D4149"/>
    <w:rsid w:val="41803404"/>
    <w:rsid w:val="41826907"/>
    <w:rsid w:val="41834389"/>
    <w:rsid w:val="41837C0C"/>
    <w:rsid w:val="41860B91"/>
    <w:rsid w:val="41905C1D"/>
    <w:rsid w:val="41955928"/>
    <w:rsid w:val="41973029"/>
    <w:rsid w:val="419B52B3"/>
    <w:rsid w:val="41A63644"/>
    <w:rsid w:val="41AC774B"/>
    <w:rsid w:val="41AF06D0"/>
    <w:rsid w:val="41C218EF"/>
    <w:rsid w:val="41C276F1"/>
    <w:rsid w:val="41D50910"/>
    <w:rsid w:val="41DA4D98"/>
    <w:rsid w:val="41DE379E"/>
    <w:rsid w:val="41F37EC0"/>
    <w:rsid w:val="41F84348"/>
    <w:rsid w:val="420059D1"/>
    <w:rsid w:val="421922FE"/>
    <w:rsid w:val="422B389D"/>
    <w:rsid w:val="42340929"/>
    <w:rsid w:val="424469C5"/>
    <w:rsid w:val="424A014F"/>
    <w:rsid w:val="42536FE0"/>
    <w:rsid w:val="426B4687"/>
    <w:rsid w:val="426C132E"/>
    <w:rsid w:val="4271078E"/>
    <w:rsid w:val="42852CB2"/>
    <w:rsid w:val="429A3B51"/>
    <w:rsid w:val="429A6B0D"/>
    <w:rsid w:val="42A00BE6"/>
    <w:rsid w:val="42AE05F3"/>
    <w:rsid w:val="42B535F4"/>
    <w:rsid w:val="42BF1B92"/>
    <w:rsid w:val="42C27294"/>
    <w:rsid w:val="42CD0EA8"/>
    <w:rsid w:val="42D25330"/>
    <w:rsid w:val="42D2752E"/>
    <w:rsid w:val="42E5654F"/>
    <w:rsid w:val="42E661CE"/>
    <w:rsid w:val="42E874D3"/>
    <w:rsid w:val="42E97153"/>
    <w:rsid w:val="42EA4BD5"/>
    <w:rsid w:val="42EE35DB"/>
    <w:rsid w:val="42EF1005"/>
    <w:rsid w:val="42F609E7"/>
    <w:rsid w:val="42F9196C"/>
    <w:rsid w:val="42FB4E6F"/>
    <w:rsid w:val="42FF12F7"/>
    <w:rsid w:val="4302227B"/>
    <w:rsid w:val="43040912"/>
    <w:rsid w:val="430A2F0B"/>
    <w:rsid w:val="43104E14"/>
    <w:rsid w:val="431D412A"/>
    <w:rsid w:val="432824BB"/>
    <w:rsid w:val="432C7790"/>
    <w:rsid w:val="432F56C9"/>
    <w:rsid w:val="433B49FE"/>
    <w:rsid w:val="43461A6B"/>
    <w:rsid w:val="434A0471"/>
    <w:rsid w:val="43530D81"/>
    <w:rsid w:val="4363359A"/>
    <w:rsid w:val="43661FA0"/>
    <w:rsid w:val="436F06B1"/>
    <w:rsid w:val="43875D58"/>
    <w:rsid w:val="438E0F66"/>
    <w:rsid w:val="43916667"/>
    <w:rsid w:val="43A00E80"/>
    <w:rsid w:val="43A62D89"/>
    <w:rsid w:val="43AB7211"/>
    <w:rsid w:val="43AD5F98"/>
    <w:rsid w:val="43AF5C17"/>
    <w:rsid w:val="43B03699"/>
    <w:rsid w:val="43B3461E"/>
    <w:rsid w:val="43B57290"/>
    <w:rsid w:val="43BD07B0"/>
    <w:rsid w:val="43BF1735"/>
    <w:rsid w:val="43CA4243"/>
    <w:rsid w:val="43CF3F4E"/>
    <w:rsid w:val="43D24ED2"/>
    <w:rsid w:val="43E6398E"/>
    <w:rsid w:val="43F77E0E"/>
    <w:rsid w:val="440A08B0"/>
    <w:rsid w:val="440E14B4"/>
    <w:rsid w:val="44162144"/>
    <w:rsid w:val="441B57C0"/>
    <w:rsid w:val="44204C51"/>
    <w:rsid w:val="44220155"/>
    <w:rsid w:val="44314EEC"/>
    <w:rsid w:val="4432296D"/>
    <w:rsid w:val="44345E70"/>
    <w:rsid w:val="44516AA5"/>
    <w:rsid w:val="44562F2D"/>
    <w:rsid w:val="44572BAD"/>
    <w:rsid w:val="445B582E"/>
    <w:rsid w:val="446D2B52"/>
    <w:rsid w:val="448623F7"/>
    <w:rsid w:val="448736FC"/>
    <w:rsid w:val="448B4301"/>
    <w:rsid w:val="4492750F"/>
    <w:rsid w:val="44996E9A"/>
    <w:rsid w:val="44C531E1"/>
    <w:rsid w:val="44C53801"/>
    <w:rsid w:val="44E71197"/>
    <w:rsid w:val="44FB36BB"/>
    <w:rsid w:val="45004DF1"/>
    <w:rsid w:val="450B1A11"/>
    <w:rsid w:val="451B19F1"/>
    <w:rsid w:val="451F4B74"/>
    <w:rsid w:val="4520780D"/>
    <w:rsid w:val="45356D18"/>
    <w:rsid w:val="45375A9E"/>
    <w:rsid w:val="4542602E"/>
    <w:rsid w:val="45505343"/>
    <w:rsid w:val="455475CD"/>
    <w:rsid w:val="45591EB8"/>
    <w:rsid w:val="455D245B"/>
    <w:rsid w:val="45631DE6"/>
    <w:rsid w:val="4565582E"/>
    <w:rsid w:val="457345FE"/>
    <w:rsid w:val="458967A2"/>
    <w:rsid w:val="45924EB3"/>
    <w:rsid w:val="45BA6F71"/>
    <w:rsid w:val="45CF6F16"/>
    <w:rsid w:val="45EE5EE8"/>
    <w:rsid w:val="45F02CCE"/>
    <w:rsid w:val="45F45E51"/>
    <w:rsid w:val="45F61354"/>
    <w:rsid w:val="45F95B5C"/>
    <w:rsid w:val="45FA35DE"/>
    <w:rsid w:val="460209EA"/>
    <w:rsid w:val="46022BE9"/>
    <w:rsid w:val="46033EED"/>
    <w:rsid w:val="460A7FF5"/>
    <w:rsid w:val="462D3C20"/>
    <w:rsid w:val="46336C3B"/>
    <w:rsid w:val="46585B76"/>
    <w:rsid w:val="4663778A"/>
    <w:rsid w:val="46752F28"/>
    <w:rsid w:val="4677642B"/>
    <w:rsid w:val="46816D3A"/>
    <w:rsid w:val="468808C3"/>
    <w:rsid w:val="46896345"/>
    <w:rsid w:val="468F024E"/>
    <w:rsid w:val="4698695F"/>
    <w:rsid w:val="46A872E8"/>
    <w:rsid w:val="46A9467B"/>
    <w:rsid w:val="46AC5600"/>
    <w:rsid w:val="46B94916"/>
    <w:rsid w:val="46BA0199"/>
    <w:rsid w:val="46E644E0"/>
    <w:rsid w:val="46EB0968"/>
    <w:rsid w:val="46EC05E8"/>
    <w:rsid w:val="46F25D74"/>
    <w:rsid w:val="47012B0C"/>
    <w:rsid w:val="47243FC5"/>
    <w:rsid w:val="472F2356"/>
    <w:rsid w:val="473110DC"/>
    <w:rsid w:val="473345DF"/>
    <w:rsid w:val="47382C65"/>
    <w:rsid w:val="473A3F6A"/>
    <w:rsid w:val="473C746D"/>
    <w:rsid w:val="4740773E"/>
    <w:rsid w:val="47446A78"/>
    <w:rsid w:val="474470F2"/>
    <w:rsid w:val="474E4E09"/>
    <w:rsid w:val="474E7388"/>
    <w:rsid w:val="4750030C"/>
    <w:rsid w:val="47602B25"/>
    <w:rsid w:val="4771702F"/>
    <w:rsid w:val="4776054C"/>
    <w:rsid w:val="47783A4F"/>
    <w:rsid w:val="47881AEB"/>
    <w:rsid w:val="479E3C8F"/>
    <w:rsid w:val="47BB57BD"/>
    <w:rsid w:val="47BC543D"/>
    <w:rsid w:val="47C460CD"/>
    <w:rsid w:val="47C479A8"/>
    <w:rsid w:val="47C65D4C"/>
    <w:rsid w:val="47D56367"/>
    <w:rsid w:val="47D612CC"/>
    <w:rsid w:val="47D7186A"/>
    <w:rsid w:val="47DA0270"/>
    <w:rsid w:val="47DE73B4"/>
    <w:rsid w:val="47F00216"/>
    <w:rsid w:val="48293873"/>
    <w:rsid w:val="48536C35"/>
    <w:rsid w:val="4856343D"/>
    <w:rsid w:val="48655C56"/>
    <w:rsid w:val="486A685A"/>
    <w:rsid w:val="487D376B"/>
    <w:rsid w:val="48862907"/>
    <w:rsid w:val="48906A9A"/>
    <w:rsid w:val="489F12B3"/>
    <w:rsid w:val="48B87C5F"/>
    <w:rsid w:val="48D12D87"/>
    <w:rsid w:val="48DC0D1E"/>
    <w:rsid w:val="49291217"/>
    <w:rsid w:val="492E789D"/>
    <w:rsid w:val="492F531F"/>
    <w:rsid w:val="4937272B"/>
    <w:rsid w:val="493801AD"/>
    <w:rsid w:val="49626DF3"/>
    <w:rsid w:val="4966327A"/>
    <w:rsid w:val="49670CFC"/>
    <w:rsid w:val="497F41A4"/>
    <w:rsid w:val="497F63A3"/>
    <w:rsid w:val="498E69BD"/>
    <w:rsid w:val="49950546"/>
    <w:rsid w:val="49A21DDA"/>
    <w:rsid w:val="49A40B61"/>
    <w:rsid w:val="49A52D5F"/>
    <w:rsid w:val="49AB21BF"/>
    <w:rsid w:val="49C91C9A"/>
    <w:rsid w:val="49CB0A20"/>
    <w:rsid w:val="49D04EA8"/>
    <w:rsid w:val="49D438AE"/>
    <w:rsid w:val="49E43B49"/>
    <w:rsid w:val="49E64E4D"/>
    <w:rsid w:val="49EB12D5"/>
    <w:rsid w:val="49FF7F76"/>
    <w:rsid w:val="4A015677"/>
    <w:rsid w:val="4A05407D"/>
    <w:rsid w:val="4A070355"/>
    <w:rsid w:val="4A146896"/>
    <w:rsid w:val="4A154318"/>
    <w:rsid w:val="4A171C4E"/>
    <w:rsid w:val="4A1A079F"/>
    <w:rsid w:val="4A1E71A6"/>
    <w:rsid w:val="4A1F4C27"/>
    <w:rsid w:val="4A21012A"/>
    <w:rsid w:val="4A2D77C0"/>
    <w:rsid w:val="4A2F4EC1"/>
    <w:rsid w:val="4A34714B"/>
    <w:rsid w:val="4A417CB0"/>
    <w:rsid w:val="4A566406"/>
    <w:rsid w:val="4A586086"/>
    <w:rsid w:val="4A5B700A"/>
    <w:rsid w:val="4A5E7F8F"/>
    <w:rsid w:val="4A626995"/>
    <w:rsid w:val="4A6A6D04"/>
    <w:rsid w:val="4A6B50A6"/>
    <w:rsid w:val="4A706FB0"/>
    <w:rsid w:val="4A7346B1"/>
    <w:rsid w:val="4A7459B6"/>
    <w:rsid w:val="4A7B40E6"/>
    <w:rsid w:val="4A880DD3"/>
    <w:rsid w:val="4A9329E8"/>
    <w:rsid w:val="4A9401EE"/>
    <w:rsid w:val="4A9C5875"/>
    <w:rsid w:val="4A9D32F7"/>
    <w:rsid w:val="4AA43566"/>
    <w:rsid w:val="4ABC5DAA"/>
    <w:rsid w:val="4ABF25B2"/>
    <w:rsid w:val="4ABF6D2F"/>
    <w:rsid w:val="4ACC3E46"/>
    <w:rsid w:val="4AED1DFC"/>
    <w:rsid w:val="4AF14090"/>
    <w:rsid w:val="4B16773E"/>
    <w:rsid w:val="4B2B06AC"/>
    <w:rsid w:val="4B33126C"/>
    <w:rsid w:val="4B3A6678"/>
    <w:rsid w:val="4B3C1B7C"/>
    <w:rsid w:val="4B416003"/>
    <w:rsid w:val="4B4C4394"/>
    <w:rsid w:val="4B5835DB"/>
    <w:rsid w:val="4B6068B8"/>
    <w:rsid w:val="4B61433A"/>
    <w:rsid w:val="4B6A71C8"/>
    <w:rsid w:val="4B6B4C49"/>
    <w:rsid w:val="4B7F38EA"/>
    <w:rsid w:val="4B804BEF"/>
    <w:rsid w:val="4B8B517E"/>
    <w:rsid w:val="4B9151BF"/>
    <w:rsid w:val="4B930103"/>
    <w:rsid w:val="4B94388F"/>
    <w:rsid w:val="4BA7702D"/>
    <w:rsid w:val="4BA9472E"/>
    <w:rsid w:val="4BAF1EBA"/>
    <w:rsid w:val="4BB275BC"/>
    <w:rsid w:val="4BB86F47"/>
    <w:rsid w:val="4BBA2A05"/>
    <w:rsid w:val="4BDB353C"/>
    <w:rsid w:val="4BE95517"/>
    <w:rsid w:val="4BEB5777"/>
    <w:rsid w:val="4BEF7421"/>
    <w:rsid w:val="4BF02924"/>
    <w:rsid w:val="4BF4132A"/>
    <w:rsid w:val="4BF91035"/>
    <w:rsid w:val="4C0D2254"/>
    <w:rsid w:val="4C1F216E"/>
    <w:rsid w:val="4C210EF5"/>
    <w:rsid w:val="4C31118F"/>
    <w:rsid w:val="4C326C11"/>
    <w:rsid w:val="4C405F26"/>
    <w:rsid w:val="4C4B1D39"/>
    <w:rsid w:val="4C4E6541"/>
    <w:rsid w:val="4C773E82"/>
    <w:rsid w:val="4C835716"/>
    <w:rsid w:val="4C836F28"/>
    <w:rsid w:val="4C8E5CA5"/>
    <w:rsid w:val="4C8F3727"/>
    <w:rsid w:val="4C950EB3"/>
    <w:rsid w:val="4CB02CCD"/>
    <w:rsid w:val="4CB95BF0"/>
    <w:rsid w:val="4CD5641A"/>
    <w:rsid w:val="4CE20FB3"/>
    <w:rsid w:val="4CE331B1"/>
    <w:rsid w:val="4CEF6FC4"/>
    <w:rsid w:val="4CF31735"/>
    <w:rsid w:val="4CF40ECD"/>
    <w:rsid w:val="4CF856D5"/>
    <w:rsid w:val="4CF95647"/>
    <w:rsid w:val="4D0C4375"/>
    <w:rsid w:val="4D174A6A"/>
    <w:rsid w:val="4D19148D"/>
    <w:rsid w:val="4D1D7AC3"/>
    <w:rsid w:val="4D2B4C2A"/>
    <w:rsid w:val="4D3032B0"/>
    <w:rsid w:val="4D3764BE"/>
    <w:rsid w:val="4D544769"/>
    <w:rsid w:val="4D601276"/>
    <w:rsid w:val="4D721765"/>
    <w:rsid w:val="4D7405DA"/>
    <w:rsid w:val="4D8158CD"/>
    <w:rsid w:val="4D861AC1"/>
    <w:rsid w:val="4D933355"/>
    <w:rsid w:val="4DB12905"/>
    <w:rsid w:val="4DBA3214"/>
    <w:rsid w:val="4DCA4448"/>
    <w:rsid w:val="4DCA5A2D"/>
    <w:rsid w:val="4DCD4433"/>
    <w:rsid w:val="4DDC11CB"/>
    <w:rsid w:val="4DE26957"/>
    <w:rsid w:val="4DE578DC"/>
    <w:rsid w:val="4DFA077B"/>
    <w:rsid w:val="4E113C23"/>
    <w:rsid w:val="4E152629"/>
    <w:rsid w:val="4E1B3100"/>
    <w:rsid w:val="4E516C0B"/>
    <w:rsid w:val="4E574397"/>
    <w:rsid w:val="4E5B2D9E"/>
    <w:rsid w:val="4E5B5626"/>
    <w:rsid w:val="4E6A1D33"/>
    <w:rsid w:val="4E864C96"/>
    <w:rsid w:val="4E8D0FEE"/>
    <w:rsid w:val="4E942300"/>
    <w:rsid w:val="4E9718FE"/>
    <w:rsid w:val="4E9A2882"/>
    <w:rsid w:val="4EB95335"/>
    <w:rsid w:val="4EC04CC0"/>
    <w:rsid w:val="4EC51148"/>
    <w:rsid w:val="4ECF74D9"/>
    <w:rsid w:val="4ED33CE1"/>
    <w:rsid w:val="4ED928CB"/>
    <w:rsid w:val="4EDB6B6F"/>
    <w:rsid w:val="4EE82601"/>
    <w:rsid w:val="4EF1548F"/>
    <w:rsid w:val="4EF72C1C"/>
    <w:rsid w:val="4F1A6654"/>
    <w:rsid w:val="4F2A2171"/>
    <w:rsid w:val="4F2E52F4"/>
    <w:rsid w:val="4F3A6B88"/>
    <w:rsid w:val="4F3C208C"/>
    <w:rsid w:val="4F3C7E8D"/>
    <w:rsid w:val="4F47041D"/>
    <w:rsid w:val="4F481721"/>
    <w:rsid w:val="4F531CB1"/>
    <w:rsid w:val="4F5B70BD"/>
    <w:rsid w:val="4F660CD1"/>
    <w:rsid w:val="4F676753"/>
    <w:rsid w:val="4F7F3DFA"/>
    <w:rsid w:val="4F89704C"/>
    <w:rsid w:val="4F8F4094"/>
    <w:rsid w:val="4F93631E"/>
    <w:rsid w:val="4FA01DB0"/>
    <w:rsid w:val="4FA57757"/>
    <w:rsid w:val="4FA856C1"/>
    <w:rsid w:val="4FAA5F43"/>
    <w:rsid w:val="4FB27ACC"/>
    <w:rsid w:val="4FBC5E5D"/>
    <w:rsid w:val="4FC27D66"/>
    <w:rsid w:val="4FD221FF"/>
    <w:rsid w:val="4FD25E02"/>
    <w:rsid w:val="4FD87D0C"/>
    <w:rsid w:val="4FE24DEF"/>
    <w:rsid w:val="4FE44E23"/>
    <w:rsid w:val="4FE72524"/>
    <w:rsid w:val="4FE83829"/>
    <w:rsid w:val="4FF053B2"/>
    <w:rsid w:val="4FF83AC3"/>
    <w:rsid w:val="4FF86042"/>
    <w:rsid w:val="4FFB4A48"/>
    <w:rsid w:val="500D4962"/>
    <w:rsid w:val="501E4BFD"/>
    <w:rsid w:val="501F5F01"/>
    <w:rsid w:val="50286D53"/>
    <w:rsid w:val="502B3F12"/>
    <w:rsid w:val="502D2C99"/>
    <w:rsid w:val="50365B27"/>
    <w:rsid w:val="505E1269"/>
    <w:rsid w:val="505F6CEB"/>
    <w:rsid w:val="5060696B"/>
    <w:rsid w:val="506121EE"/>
    <w:rsid w:val="50620822"/>
    <w:rsid w:val="506C277D"/>
    <w:rsid w:val="50A925E2"/>
    <w:rsid w:val="50AF1F6D"/>
    <w:rsid w:val="50B26775"/>
    <w:rsid w:val="50BB5EF9"/>
    <w:rsid w:val="50C2570B"/>
    <w:rsid w:val="50C54111"/>
    <w:rsid w:val="50C92B17"/>
    <w:rsid w:val="50D259A5"/>
    <w:rsid w:val="50D33427"/>
    <w:rsid w:val="50E0273C"/>
    <w:rsid w:val="50E101BE"/>
    <w:rsid w:val="50F54C60"/>
    <w:rsid w:val="511A741E"/>
    <w:rsid w:val="511E38A6"/>
    <w:rsid w:val="51260CB2"/>
    <w:rsid w:val="51276734"/>
    <w:rsid w:val="513037C0"/>
    <w:rsid w:val="513656C9"/>
    <w:rsid w:val="513C75D3"/>
    <w:rsid w:val="513F3DDB"/>
    <w:rsid w:val="514733E5"/>
    <w:rsid w:val="515404FD"/>
    <w:rsid w:val="51594984"/>
    <w:rsid w:val="51615D3E"/>
    <w:rsid w:val="516D3625"/>
    <w:rsid w:val="51792CBB"/>
    <w:rsid w:val="517B61BE"/>
    <w:rsid w:val="51822890"/>
    <w:rsid w:val="518A5153"/>
    <w:rsid w:val="519412E6"/>
    <w:rsid w:val="519F1876"/>
    <w:rsid w:val="51A45CFD"/>
    <w:rsid w:val="51AF1B10"/>
    <w:rsid w:val="51B07591"/>
    <w:rsid w:val="51B12E15"/>
    <w:rsid w:val="51B76F1C"/>
    <w:rsid w:val="51B95CA3"/>
    <w:rsid w:val="51C01DAA"/>
    <w:rsid w:val="51C51DE0"/>
    <w:rsid w:val="51E113E5"/>
    <w:rsid w:val="51E31065"/>
    <w:rsid w:val="51EC51F8"/>
    <w:rsid w:val="51F23179"/>
    <w:rsid w:val="51F8100B"/>
    <w:rsid w:val="51FD1887"/>
    <w:rsid w:val="52013E99"/>
    <w:rsid w:val="5214055E"/>
    <w:rsid w:val="521C7F46"/>
    <w:rsid w:val="521D59C7"/>
    <w:rsid w:val="521F5647"/>
    <w:rsid w:val="52252DD4"/>
    <w:rsid w:val="52257550"/>
    <w:rsid w:val="522A39D8"/>
    <w:rsid w:val="522F36E3"/>
    <w:rsid w:val="524449A1"/>
    <w:rsid w:val="52463308"/>
    <w:rsid w:val="5247460D"/>
    <w:rsid w:val="5251711B"/>
    <w:rsid w:val="52524B9C"/>
    <w:rsid w:val="52597DAA"/>
    <w:rsid w:val="525D19DE"/>
    <w:rsid w:val="52622C38"/>
    <w:rsid w:val="52655DBB"/>
    <w:rsid w:val="52722ED3"/>
    <w:rsid w:val="527C1C93"/>
    <w:rsid w:val="52885076"/>
    <w:rsid w:val="528D5C7B"/>
    <w:rsid w:val="52AD6C04"/>
    <w:rsid w:val="52BE1CCD"/>
    <w:rsid w:val="52C4745A"/>
    <w:rsid w:val="52C6295D"/>
    <w:rsid w:val="52CF57EB"/>
    <w:rsid w:val="52D70679"/>
    <w:rsid w:val="52D902F9"/>
    <w:rsid w:val="52DA15FD"/>
    <w:rsid w:val="52E4668A"/>
    <w:rsid w:val="52E65410"/>
    <w:rsid w:val="52E82B11"/>
    <w:rsid w:val="52ED6F99"/>
    <w:rsid w:val="52EF5D1F"/>
    <w:rsid w:val="52F30EA2"/>
    <w:rsid w:val="52F7312C"/>
    <w:rsid w:val="52F9662F"/>
    <w:rsid w:val="52FD5035"/>
    <w:rsid w:val="53005FBA"/>
    <w:rsid w:val="530E2D51"/>
    <w:rsid w:val="53117559"/>
    <w:rsid w:val="5314426D"/>
    <w:rsid w:val="53331C8C"/>
    <w:rsid w:val="533F6DA3"/>
    <w:rsid w:val="534244A5"/>
    <w:rsid w:val="5347092C"/>
    <w:rsid w:val="534D60B9"/>
    <w:rsid w:val="535534C5"/>
    <w:rsid w:val="535556C4"/>
    <w:rsid w:val="53581ECC"/>
    <w:rsid w:val="535D6353"/>
    <w:rsid w:val="536950CD"/>
    <w:rsid w:val="536B2E30"/>
    <w:rsid w:val="53734875"/>
    <w:rsid w:val="538E4924"/>
    <w:rsid w:val="538F7E27"/>
    <w:rsid w:val="53A461B1"/>
    <w:rsid w:val="53A854CE"/>
    <w:rsid w:val="53AE15D6"/>
    <w:rsid w:val="53C3157B"/>
    <w:rsid w:val="53C62500"/>
    <w:rsid w:val="53C85A03"/>
    <w:rsid w:val="53DC46A3"/>
    <w:rsid w:val="53EE23BF"/>
    <w:rsid w:val="53F577CC"/>
    <w:rsid w:val="54113878"/>
    <w:rsid w:val="541C387E"/>
    <w:rsid w:val="54234E18"/>
    <w:rsid w:val="543B24BE"/>
    <w:rsid w:val="54456651"/>
    <w:rsid w:val="544C01DA"/>
    <w:rsid w:val="544C3A5E"/>
    <w:rsid w:val="544C3F3D"/>
    <w:rsid w:val="545220E4"/>
    <w:rsid w:val="54604C7D"/>
    <w:rsid w:val="546B7A91"/>
    <w:rsid w:val="546C2C8D"/>
    <w:rsid w:val="546C374D"/>
    <w:rsid w:val="546D3F92"/>
    <w:rsid w:val="54722618"/>
    <w:rsid w:val="547A32A8"/>
    <w:rsid w:val="547C5F7A"/>
    <w:rsid w:val="548947BC"/>
    <w:rsid w:val="548A223D"/>
    <w:rsid w:val="548E44C7"/>
    <w:rsid w:val="54A95740"/>
    <w:rsid w:val="54AE49FC"/>
    <w:rsid w:val="54B15980"/>
    <w:rsid w:val="54B30E83"/>
    <w:rsid w:val="54B6568B"/>
    <w:rsid w:val="54BB1B13"/>
    <w:rsid w:val="54BF0519"/>
    <w:rsid w:val="54C36F1F"/>
    <w:rsid w:val="54C449A1"/>
    <w:rsid w:val="54DA32C1"/>
    <w:rsid w:val="54EF3267"/>
    <w:rsid w:val="54FC257C"/>
    <w:rsid w:val="55035273"/>
    <w:rsid w:val="55126C9E"/>
    <w:rsid w:val="551C08B3"/>
    <w:rsid w:val="55276C44"/>
    <w:rsid w:val="552F624E"/>
    <w:rsid w:val="55334C55"/>
    <w:rsid w:val="553539DB"/>
    <w:rsid w:val="55376EDE"/>
    <w:rsid w:val="55413F6A"/>
    <w:rsid w:val="554738F5"/>
    <w:rsid w:val="554E3280"/>
    <w:rsid w:val="55583B90"/>
    <w:rsid w:val="555F6D9E"/>
    <w:rsid w:val="55627D22"/>
    <w:rsid w:val="55826059"/>
    <w:rsid w:val="558E7DB4"/>
    <w:rsid w:val="55945F73"/>
    <w:rsid w:val="559B2D78"/>
    <w:rsid w:val="55A52421"/>
    <w:rsid w:val="55A53C8F"/>
    <w:rsid w:val="55B53F29"/>
    <w:rsid w:val="55D208C1"/>
    <w:rsid w:val="55E16072"/>
    <w:rsid w:val="55E81280"/>
    <w:rsid w:val="55EC1E85"/>
    <w:rsid w:val="55EE12C4"/>
    <w:rsid w:val="55F93719"/>
    <w:rsid w:val="55F95EF5"/>
    <w:rsid w:val="55FA119A"/>
    <w:rsid w:val="561220C4"/>
    <w:rsid w:val="56137B46"/>
    <w:rsid w:val="56154D49"/>
    <w:rsid w:val="561F13DA"/>
    <w:rsid w:val="56260D65"/>
    <w:rsid w:val="562A776B"/>
    <w:rsid w:val="563325F9"/>
    <w:rsid w:val="5666031A"/>
    <w:rsid w:val="567120DE"/>
    <w:rsid w:val="56715961"/>
    <w:rsid w:val="56750AE4"/>
    <w:rsid w:val="567974EA"/>
    <w:rsid w:val="567C3CF2"/>
    <w:rsid w:val="5686428E"/>
    <w:rsid w:val="56885586"/>
    <w:rsid w:val="568F4F11"/>
    <w:rsid w:val="56A95ABB"/>
    <w:rsid w:val="56AB4841"/>
    <w:rsid w:val="56B1674B"/>
    <w:rsid w:val="56B363CB"/>
    <w:rsid w:val="56BA1517"/>
    <w:rsid w:val="56BF1EFA"/>
    <w:rsid w:val="56C553EB"/>
    <w:rsid w:val="56C75AF6"/>
    <w:rsid w:val="56C9056E"/>
    <w:rsid w:val="56E15C15"/>
    <w:rsid w:val="56F271B4"/>
    <w:rsid w:val="56F65BBA"/>
    <w:rsid w:val="56FA45C0"/>
    <w:rsid w:val="570219CD"/>
    <w:rsid w:val="57055557"/>
    <w:rsid w:val="57081358"/>
    <w:rsid w:val="57171972"/>
    <w:rsid w:val="572E1597"/>
    <w:rsid w:val="573434A1"/>
    <w:rsid w:val="573706EF"/>
    <w:rsid w:val="57370BA2"/>
    <w:rsid w:val="57540152"/>
    <w:rsid w:val="575710D7"/>
    <w:rsid w:val="57651472"/>
    <w:rsid w:val="577A3C15"/>
    <w:rsid w:val="57853648"/>
    <w:rsid w:val="57917FB7"/>
    <w:rsid w:val="579831C5"/>
    <w:rsid w:val="57AE5369"/>
    <w:rsid w:val="57AF7567"/>
    <w:rsid w:val="57D83FAF"/>
    <w:rsid w:val="57DA770B"/>
    <w:rsid w:val="57DF393A"/>
    <w:rsid w:val="57E22340"/>
    <w:rsid w:val="57EE6152"/>
    <w:rsid w:val="580F0885"/>
    <w:rsid w:val="5811760C"/>
    <w:rsid w:val="581B7F1B"/>
    <w:rsid w:val="58220BEC"/>
    <w:rsid w:val="582B6A12"/>
    <w:rsid w:val="583B29CE"/>
    <w:rsid w:val="584D19EF"/>
    <w:rsid w:val="585274F6"/>
    <w:rsid w:val="585844FD"/>
    <w:rsid w:val="58591F7E"/>
    <w:rsid w:val="585A3283"/>
    <w:rsid w:val="585C0985"/>
    <w:rsid w:val="585C6786"/>
    <w:rsid w:val="58684797"/>
    <w:rsid w:val="586C319D"/>
    <w:rsid w:val="58776FB0"/>
    <w:rsid w:val="587C3438"/>
    <w:rsid w:val="587F7C40"/>
    <w:rsid w:val="58825341"/>
    <w:rsid w:val="588675CA"/>
    <w:rsid w:val="58882ACE"/>
    <w:rsid w:val="5889054F"/>
    <w:rsid w:val="588F2458"/>
    <w:rsid w:val="58A15BF6"/>
    <w:rsid w:val="58A6207E"/>
    <w:rsid w:val="58B31393"/>
    <w:rsid w:val="58BC7AA4"/>
    <w:rsid w:val="58BE7724"/>
    <w:rsid w:val="58C75E36"/>
    <w:rsid w:val="58D02EC2"/>
    <w:rsid w:val="58D802CE"/>
    <w:rsid w:val="58DB1253"/>
    <w:rsid w:val="58DF34DC"/>
    <w:rsid w:val="58E24461"/>
    <w:rsid w:val="58E7636A"/>
    <w:rsid w:val="58EF7EF3"/>
    <w:rsid w:val="58F011F8"/>
    <w:rsid w:val="58FF06F8"/>
    <w:rsid w:val="59001493"/>
    <w:rsid w:val="591304B3"/>
    <w:rsid w:val="59231B0C"/>
    <w:rsid w:val="59350668"/>
    <w:rsid w:val="593B5DF4"/>
    <w:rsid w:val="59450902"/>
    <w:rsid w:val="594C028D"/>
    <w:rsid w:val="594E15B7"/>
    <w:rsid w:val="5953349B"/>
    <w:rsid w:val="595B08A7"/>
    <w:rsid w:val="596127B1"/>
    <w:rsid w:val="597A115C"/>
    <w:rsid w:val="597E1D61"/>
    <w:rsid w:val="598206B0"/>
    <w:rsid w:val="59841A6C"/>
    <w:rsid w:val="59966454"/>
    <w:rsid w:val="59974E89"/>
    <w:rsid w:val="599E0097"/>
    <w:rsid w:val="59A4671D"/>
    <w:rsid w:val="59AD15AB"/>
    <w:rsid w:val="59B5223B"/>
    <w:rsid w:val="59B92E3F"/>
    <w:rsid w:val="59C42EE9"/>
    <w:rsid w:val="59C90EDB"/>
    <w:rsid w:val="59ED369A"/>
    <w:rsid w:val="59EE5898"/>
    <w:rsid w:val="5A062F3F"/>
    <w:rsid w:val="5A065191"/>
    <w:rsid w:val="5A10384E"/>
    <w:rsid w:val="5A153559"/>
    <w:rsid w:val="5A160FDB"/>
    <w:rsid w:val="5A165757"/>
    <w:rsid w:val="5A1866DC"/>
    <w:rsid w:val="5A19415E"/>
    <w:rsid w:val="5A22286F"/>
    <w:rsid w:val="5A234A6D"/>
    <w:rsid w:val="5A3B5997"/>
    <w:rsid w:val="5A4675AB"/>
    <w:rsid w:val="5A490530"/>
    <w:rsid w:val="5A5020B9"/>
    <w:rsid w:val="5A5233BE"/>
    <w:rsid w:val="5A5B044A"/>
    <w:rsid w:val="5A5E4C52"/>
    <w:rsid w:val="5A650D5A"/>
    <w:rsid w:val="5A6C6166"/>
    <w:rsid w:val="5A6D3BE8"/>
    <w:rsid w:val="5A6F296E"/>
    <w:rsid w:val="5A72006F"/>
    <w:rsid w:val="5A752184"/>
    <w:rsid w:val="5A8C449C"/>
    <w:rsid w:val="5A9B1234"/>
    <w:rsid w:val="5AA31EC3"/>
    <w:rsid w:val="5AAB4D51"/>
    <w:rsid w:val="5AAC6F50"/>
    <w:rsid w:val="5AAF7ED4"/>
    <w:rsid w:val="5AB20E59"/>
    <w:rsid w:val="5AB72D62"/>
    <w:rsid w:val="5AC323F8"/>
    <w:rsid w:val="5ACB3F81"/>
    <w:rsid w:val="5AEB4A16"/>
    <w:rsid w:val="5AF35146"/>
    <w:rsid w:val="5B0E3771"/>
    <w:rsid w:val="5B1146F6"/>
    <w:rsid w:val="5B2348F0"/>
    <w:rsid w:val="5B2F3CA6"/>
    <w:rsid w:val="5B3171A9"/>
    <w:rsid w:val="5B345801"/>
    <w:rsid w:val="5B3E64BE"/>
    <w:rsid w:val="5B4516CD"/>
    <w:rsid w:val="5B6C566B"/>
    <w:rsid w:val="5B723495"/>
    <w:rsid w:val="5B82149A"/>
    <w:rsid w:val="5B890EBC"/>
    <w:rsid w:val="5B8F2DC6"/>
    <w:rsid w:val="5B995C8D"/>
    <w:rsid w:val="5B9A3355"/>
    <w:rsid w:val="5BA9246E"/>
    <w:rsid w:val="5BB209FC"/>
    <w:rsid w:val="5BBC4B8E"/>
    <w:rsid w:val="5BCE032C"/>
    <w:rsid w:val="5BDE05C6"/>
    <w:rsid w:val="5BE76CD7"/>
    <w:rsid w:val="5BE921DB"/>
    <w:rsid w:val="5BEE2DDF"/>
    <w:rsid w:val="5BF175E7"/>
    <w:rsid w:val="5BF736EF"/>
    <w:rsid w:val="5C074A7D"/>
    <w:rsid w:val="5C13301F"/>
    <w:rsid w:val="5C212334"/>
    <w:rsid w:val="5C250D3B"/>
    <w:rsid w:val="5C3E3E63"/>
    <w:rsid w:val="5C4260EC"/>
    <w:rsid w:val="5C4C447D"/>
    <w:rsid w:val="5C522B03"/>
    <w:rsid w:val="5C7020B3"/>
    <w:rsid w:val="5C730ABA"/>
    <w:rsid w:val="5C74653B"/>
    <w:rsid w:val="5C7A6246"/>
    <w:rsid w:val="5C9F2C03"/>
    <w:rsid w:val="5CA16106"/>
    <w:rsid w:val="5CAC7D1A"/>
    <w:rsid w:val="5CB23E22"/>
    <w:rsid w:val="5CB815AE"/>
    <w:rsid w:val="5CC52646"/>
    <w:rsid w:val="5CC608C4"/>
    <w:rsid w:val="5CD765E0"/>
    <w:rsid w:val="5CE91D7D"/>
    <w:rsid w:val="5CEC4BF5"/>
    <w:rsid w:val="5CF24C0B"/>
    <w:rsid w:val="5CFB7A99"/>
    <w:rsid w:val="5D07132D"/>
    <w:rsid w:val="5D0B7D34"/>
    <w:rsid w:val="5D1F69D4"/>
    <w:rsid w:val="5D207CD9"/>
    <w:rsid w:val="5D242E5C"/>
    <w:rsid w:val="5D2C0268"/>
    <w:rsid w:val="5D340EF8"/>
    <w:rsid w:val="5D37407B"/>
    <w:rsid w:val="5D386752"/>
    <w:rsid w:val="5D40278C"/>
    <w:rsid w:val="5D5D42BA"/>
    <w:rsid w:val="5D7551E4"/>
    <w:rsid w:val="5D7E0072"/>
    <w:rsid w:val="5D7F7CF2"/>
    <w:rsid w:val="5D9F6029"/>
    <w:rsid w:val="5DAC403A"/>
    <w:rsid w:val="5DBD55D9"/>
    <w:rsid w:val="5DC529E5"/>
    <w:rsid w:val="5DD56503"/>
    <w:rsid w:val="5DD57388"/>
    <w:rsid w:val="5DEB095A"/>
    <w:rsid w:val="5DFD2460"/>
    <w:rsid w:val="5E0D2DD9"/>
    <w:rsid w:val="5E1501E6"/>
    <w:rsid w:val="5E261785"/>
    <w:rsid w:val="5E35548F"/>
    <w:rsid w:val="5E405BB2"/>
    <w:rsid w:val="5E567D56"/>
    <w:rsid w:val="5E67476D"/>
    <w:rsid w:val="5E7F5697"/>
    <w:rsid w:val="5E880A25"/>
    <w:rsid w:val="5E885FA6"/>
    <w:rsid w:val="5E8F5931"/>
    <w:rsid w:val="5EAD0764"/>
    <w:rsid w:val="5EB36DEA"/>
    <w:rsid w:val="5EBC54FC"/>
    <w:rsid w:val="5EBF19FC"/>
    <w:rsid w:val="5EC50B31"/>
    <w:rsid w:val="5EC94811"/>
    <w:rsid w:val="5ECC1F13"/>
    <w:rsid w:val="5ED13E1C"/>
    <w:rsid w:val="5EE240B6"/>
    <w:rsid w:val="5EEB49C6"/>
    <w:rsid w:val="5EFD4964"/>
    <w:rsid w:val="5F053371"/>
    <w:rsid w:val="5F076875"/>
    <w:rsid w:val="5F1F779F"/>
    <w:rsid w:val="5F222921"/>
    <w:rsid w:val="5F34063D"/>
    <w:rsid w:val="5F384AC5"/>
    <w:rsid w:val="5F4131D6"/>
    <w:rsid w:val="5F456359"/>
    <w:rsid w:val="5F47185C"/>
    <w:rsid w:val="5F4905E3"/>
    <w:rsid w:val="5F5046EA"/>
    <w:rsid w:val="5F5543F5"/>
    <w:rsid w:val="5F5B3D80"/>
    <w:rsid w:val="5F691E20"/>
    <w:rsid w:val="5F69359F"/>
    <w:rsid w:val="5F713D25"/>
    <w:rsid w:val="5F7F0ABD"/>
    <w:rsid w:val="5F802CBB"/>
    <w:rsid w:val="5F9D47EA"/>
    <w:rsid w:val="5FA0576E"/>
    <w:rsid w:val="5FA650F9"/>
    <w:rsid w:val="5FAA191A"/>
    <w:rsid w:val="5FB1348A"/>
    <w:rsid w:val="5FB4440F"/>
    <w:rsid w:val="5FDE0AD6"/>
    <w:rsid w:val="5FE274DC"/>
    <w:rsid w:val="5FE34942"/>
    <w:rsid w:val="5FE46263"/>
    <w:rsid w:val="5FE84E26"/>
    <w:rsid w:val="5FEF0D71"/>
    <w:rsid w:val="5FFE6E0D"/>
    <w:rsid w:val="60006A8C"/>
    <w:rsid w:val="6001450E"/>
    <w:rsid w:val="60076417"/>
    <w:rsid w:val="601A2EBA"/>
    <w:rsid w:val="601D3E3E"/>
    <w:rsid w:val="60297C51"/>
    <w:rsid w:val="6038228F"/>
    <w:rsid w:val="603A11F0"/>
    <w:rsid w:val="603E4373"/>
    <w:rsid w:val="604675D1"/>
    <w:rsid w:val="604E460D"/>
    <w:rsid w:val="605807A0"/>
    <w:rsid w:val="605C32E4"/>
    <w:rsid w:val="60714C42"/>
    <w:rsid w:val="608B4472"/>
    <w:rsid w:val="60951651"/>
    <w:rsid w:val="60991209"/>
    <w:rsid w:val="60AA4D27"/>
    <w:rsid w:val="60AE592B"/>
    <w:rsid w:val="60BE39C7"/>
    <w:rsid w:val="60BF1449"/>
    <w:rsid w:val="60C06ECB"/>
    <w:rsid w:val="60C1494C"/>
    <w:rsid w:val="60CA1007"/>
    <w:rsid w:val="60CB745A"/>
    <w:rsid w:val="60CD295D"/>
    <w:rsid w:val="60D422E8"/>
    <w:rsid w:val="60D84571"/>
    <w:rsid w:val="60DE0679"/>
    <w:rsid w:val="60FE69AF"/>
    <w:rsid w:val="6107183D"/>
    <w:rsid w:val="61107F4E"/>
    <w:rsid w:val="611543D6"/>
    <w:rsid w:val="61164056"/>
    <w:rsid w:val="611A085E"/>
    <w:rsid w:val="6126113D"/>
    <w:rsid w:val="612C3FFB"/>
    <w:rsid w:val="61464BA5"/>
    <w:rsid w:val="614C6AAF"/>
    <w:rsid w:val="614F1C31"/>
    <w:rsid w:val="6170126D"/>
    <w:rsid w:val="617059E9"/>
    <w:rsid w:val="61720EED"/>
    <w:rsid w:val="61821187"/>
    <w:rsid w:val="61836C08"/>
    <w:rsid w:val="6189525A"/>
    <w:rsid w:val="6190756E"/>
    <w:rsid w:val="61A50442"/>
    <w:rsid w:val="61AF2F50"/>
    <w:rsid w:val="61B31956"/>
    <w:rsid w:val="61C144EF"/>
    <w:rsid w:val="61C763F8"/>
    <w:rsid w:val="61D4570E"/>
    <w:rsid w:val="61D66A13"/>
    <w:rsid w:val="61DC2B1A"/>
    <w:rsid w:val="61E843AE"/>
    <w:rsid w:val="61EF3D39"/>
    <w:rsid w:val="61F562F2"/>
    <w:rsid w:val="62001A55"/>
    <w:rsid w:val="62142C74"/>
    <w:rsid w:val="6219406B"/>
    <w:rsid w:val="621B0081"/>
    <w:rsid w:val="62246792"/>
    <w:rsid w:val="6228336A"/>
    <w:rsid w:val="622B611D"/>
    <w:rsid w:val="62310026"/>
    <w:rsid w:val="62367D31"/>
    <w:rsid w:val="62385432"/>
    <w:rsid w:val="623E733C"/>
    <w:rsid w:val="62441245"/>
    <w:rsid w:val="625472E1"/>
    <w:rsid w:val="625D436D"/>
    <w:rsid w:val="626F338E"/>
    <w:rsid w:val="62751A14"/>
    <w:rsid w:val="62A115DE"/>
    <w:rsid w:val="62A40365"/>
    <w:rsid w:val="62CA6F20"/>
    <w:rsid w:val="62D52D32"/>
    <w:rsid w:val="62DC5F40"/>
    <w:rsid w:val="62E04946"/>
    <w:rsid w:val="62E4334D"/>
    <w:rsid w:val="62F12662"/>
    <w:rsid w:val="63076D84"/>
    <w:rsid w:val="630A578B"/>
    <w:rsid w:val="630D4511"/>
    <w:rsid w:val="631A7FA3"/>
    <w:rsid w:val="631D47AB"/>
    <w:rsid w:val="632B5CBF"/>
    <w:rsid w:val="632C3741"/>
    <w:rsid w:val="634001E3"/>
    <w:rsid w:val="634B3FF6"/>
    <w:rsid w:val="6350047D"/>
    <w:rsid w:val="63577E08"/>
    <w:rsid w:val="6358588A"/>
    <w:rsid w:val="636813A7"/>
    <w:rsid w:val="63783BC0"/>
    <w:rsid w:val="63910EE7"/>
    <w:rsid w:val="639D6B48"/>
    <w:rsid w:val="63A34684"/>
    <w:rsid w:val="63AA1E11"/>
    <w:rsid w:val="63B401A2"/>
    <w:rsid w:val="63BC55AE"/>
    <w:rsid w:val="63BC6393"/>
    <w:rsid w:val="63BE0AB1"/>
    <w:rsid w:val="63C11A36"/>
    <w:rsid w:val="63F6668D"/>
    <w:rsid w:val="63F87992"/>
    <w:rsid w:val="63FF6AA5"/>
    <w:rsid w:val="64091E2A"/>
    <w:rsid w:val="640D256B"/>
    <w:rsid w:val="640E45C0"/>
    <w:rsid w:val="64112ABA"/>
    <w:rsid w:val="64114CB8"/>
    <w:rsid w:val="641B55C8"/>
    <w:rsid w:val="64212D54"/>
    <w:rsid w:val="64362CFA"/>
    <w:rsid w:val="6437345D"/>
    <w:rsid w:val="6441108B"/>
    <w:rsid w:val="64480A16"/>
    <w:rsid w:val="644B3B98"/>
    <w:rsid w:val="644D709C"/>
    <w:rsid w:val="646856C7"/>
    <w:rsid w:val="64706357"/>
    <w:rsid w:val="647B46E8"/>
    <w:rsid w:val="647B68E6"/>
    <w:rsid w:val="64892034"/>
    <w:rsid w:val="649B4C1C"/>
    <w:rsid w:val="64A47AAA"/>
    <w:rsid w:val="64A70A2F"/>
    <w:rsid w:val="64C34ADC"/>
    <w:rsid w:val="64C847E7"/>
    <w:rsid w:val="64CA2D32"/>
    <w:rsid w:val="64D245CB"/>
    <w:rsid w:val="64DE0B89"/>
    <w:rsid w:val="64E32E12"/>
    <w:rsid w:val="64E84D1C"/>
    <w:rsid w:val="64EB5CA0"/>
    <w:rsid w:val="64F13D73"/>
    <w:rsid w:val="64FD5FBF"/>
    <w:rsid w:val="65151063"/>
    <w:rsid w:val="651D3FC4"/>
    <w:rsid w:val="65266D7F"/>
    <w:rsid w:val="654266AF"/>
    <w:rsid w:val="65541E4C"/>
    <w:rsid w:val="65636BE4"/>
    <w:rsid w:val="656D4F75"/>
    <w:rsid w:val="656E627A"/>
    <w:rsid w:val="657C1D0C"/>
    <w:rsid w:val="65827499"/>
    <w:rsid w:val="6585041D"/>
    <w:rsid w:val="6591642E"/>
    <w:rsid w:val="65975DB9"/>
    <w:rsid w:val="659D6A37"/>
    <w:rsid w:val="659E554D"/>
    <w:rsid w:val="65A818D7"/>
    <w:rsid w:val="65BC0577"/>
    <w:rsid w:val="65CB530E"/>
    <w:rsid w:val="65CF7598"/>
    <w:rsid w:val="65D43A20"/>
    <w:rsid w:val="65DC302A"/>
    <w:rsid w:val="65F01CCB"/>
    <w:rsid w:val="66063E6E"/>
    <w:rsid w:val="660D37F9"/>
    <w:rsid w:val="66130F86"/>
    <w:rsid w:val="6618760C"/>
    <w:rsid w:val="661A0911"/>
    <w:rsid w:val="661F4D98"/>
    <w:rsid w:val="662B662D"/>
    <w:rsid w:val="663C7C5F"/>
    <w:rsid w:val="664052AE"/>
    <w:rsid w:val="66417024"/>
    <w:rsid w:val="66555272"/>
    <w:rsid w:val="665916FA"/>
    <w:rsid w:val="66595E77"/>
    <w:rsid w:val="6665550D"/>
    <w:rsid w:val="666C4E98"/>
    <w:rsid w:val="666C78BC"/>
    <w:rsid w:val="66705A9C"/>
    <w:rsid w:val="667D7330"/>
    <w:rsid w:val="667E0635"/>
    <w:rsid w:val="66A84CFD"/>
    <w:rsid w:val="66A8727B"/>
    <w:rsid w:val="66B14307"/>
    <w:rsid w:val="66B2300F"/>
    <w:rsid w:val="66D435C2"/>
    <w:rsid w:val="66E17055"/>
    <w:rsid w:val="66E54E15"/>
    <w:rsid w:val="66F97F7F"/>
    <w:rsid w:val="66FC49D5"/>
    <w:rsid w:val="66FD3573"/>
    <w:rsid w:val="67120E27"/>
    <w:rsid w:val="67246844"/>
    <w:rsid w:val="67267B49"/>
    <w:rsid w:val="672B61CF"/>
    <w:rsid w:val="672D3312"/>
    <w:rsid w:val="674800BA"/>
    <w:rsid w:val="674F2F0C"/>
    <w:rsid w:val="675D3F22"/>
    <w:rsid w:val="675D7193"/>
    <w:rsid w:val="675E5725"/>
    <w:rsid w:val="67686034"/>
    <w:rsid w:val="67697339"/>
    <w:rsid w:val="67737C48"/>
    <w:rsid w:val="677862CF"/>
    <w:rsid w:val="678F5EF4"/>
    <w:rsid w:val="67903975"/>
    <w:rsid w:val="67953680"/>
    <w:rsid w:val="67957DFD"/>
    <w:rsid w:val="679A4285"/>
    <w:rsid w:val="67A8101C"/>
    <w:rsid w:val="67A86E1E"/>
    <w:rsid w:val="67B56133"/>
    <w:rsid w:val="67BA25BB"/>
    <w:rsid w:val="67BE0FC1"/>
    <w:rsid w:val="67D66668"/>
    <w:rsid w:val="67E54704"/>
    <w:rsid w:val="67FA33A5"/>
    <w:rsid w:val="67FA55A3"/>
    <w:rsid w:val="67FA56DC"/>
    <w:rsid w:val="67FF1A2B"/>
    <w:rsid w:val="68005370"/>
    <w:rsid w:val="680074AC"/>
    <w:rsid w:val="6808013C"/>
    <w:rsid w:val="680D45C4"/>
    <w:rsid w:val="68336A02"/>
    <w:rsid w:val="683C1890"/>
    <w:rsid w:val="683C5113"/>
    <w:rsid w:val="68415D17"/>
    <w:rsid w:val="68534D38"/>
    <w:rsid w:val="685549B8"/>
    <w:rsid w:val="685811C0"/>
    <w:rsid w:val="686626D4"/>
    <w:rsid w:val="686E3363"/>
    <w:rsid w:val="6887648C"/>
    <w:rsid w:val="688D0395"/>
    <w:rsid w:val="68947D20"/>
    <w:rsid w:val="689C09B0"/>
    <w:rsid w:val="68A70F3F"/>
    <w:rsid w:val="68A82244"/>
    <w:rsid w:val="68A869C0"/>
    <w:rsid w:val="68B63758"/>
    <w:rsid w:val="68B94891"/>
    <w:rsid w:val="68BD30E3"/>
    <w:rsid w:val="68C53D72"/>
    <w:rsid w:val="68D5400D"/>
    <w:rsid w:val="68E0239E"/>
    <w:rsid w:val="68E42FA2"/>
    <w:rsid w:val="68E92CAD"/>
    <w:rsid w:val="68EC3C32"/>
    <w:rsid w:val="68F00703"/>
    <w:rsid w:val="68F335BD"/>
    <w:rsid w:val="690A31E2"/>
    <w:rsid w:val="691D7C84"/>
    <w:rsid w:val="691F72A9"/>
    <w:rsid w:val="692D6C1A"/>
    <w:rsid w:val="694036BC"/>
    <w:rsid w:val="69503956"/>
    <w:rsid w:val="695A260F"/>
    <w:rsid w:val="695C7769"/>
    <w:rsid w:val="695F613F"/>
    <w:rsid w:val="69732C11"/>
    <w:rsid w:val="697435A6"/>
    <w:rsid w:val="69775D94"/>
    <w:rsid w:val="698C24B6"/>
    <w:rsid w:val="69900EBC"/>
    <w:rsid w:val="69CA7D9D"/>
    <w:rsid w:val="69D72936"/>
    <w:rsid w:val="69D803B7"/>
    <w:rsid w:val="69D95E39"/>
    <w:rsid w:val="69DE6A3D"/>
    <w:rsid w:val="69E057C4"/>
    <w:rsid w:val="69F67967"/>
    <w:rsid w:val="69F95069"/>
    <w:rsid w:val="69FC5FED"/>
    <w:rsid w:val="69FD3A6F"/>
    <w:rsid w:val="69FF49F3"/>
    <w:rsid w:val="6A231730"/>
    <w:rsid w:val="6A4341E3"/>
    <w:rsid w:val="6A572E84"/>
    <w:rsid w:val="6A691FA0"/>
    <w:rsid w:val="6A6A40A3"/>
    <w:rsid w:val="6A775937"/>
    <w:rsid w:val="6A894958"/>
    <w:rsid w:val="6A8D335E"/>
    <w:rsid w:val="6A9B2674"/>
    <w:rsid w:val="6AA66486"/>
    <w:rsid w:val="6ABA5127"/>
    <w:rsid w:val="6ABD60AB"/>
    <w:rsid w:val="6AC8443C"/>
    <w:rsid w:val="6AD15BD8"/>
    <w:rsid w:val="6AD53752"/>
    <w:rsid w:val="6ADE65E0"/>
    <w:rsid w:val="6AE74CF1"/>
    <w:rsid w:val="6AF20B04"/>
    <w:rsid w:val="6AFC4C97"/>
    <w:rsid w:val="6AFF248E"/>
    <w:rsid w:val="6B0510F0"/>
    <w:rsid w:val="6B157DBF"/>
    <w:rsid w:val="6B170C23"/>
    <w:rsid w:val="6B2312D3"/>
    <w:rsid w:val="6B3105E9"/>
    <w:rsid w:val="6B356FEF"/>
    <w:rsid w:val="6B3A3476"/>
    <w:rsid w:val="6B3C43FB"/>
    <w:rsid w:val="6B452B0C"/>
    <w:rsid w:val="6B5243A0"/>
    <w:rsid w:val="6B592C76"/>
    <w:rsid w:val="6B5C5774"/>
    <w:rsid w:val="6B66125F"/>
    <w:rsid w:val="6B6668C4"/>
    <w:rsid w:val="6B714C55"/>
    <w:rsid w:val="6B77103C"/>
    <w:rsid w:val="6B7867DE"/>
    <w:rsid w:val="6B792062"/>
    <w:rsid w:val="6B7A7AE3"/>
    <w:rsid w:val="6B7C51E5"/>
    <w:rsid w:val="6B7F6169"/>
    <w:rsid w:val="6B8303F3"/>
    <w:rsid w:val="6B873576"/>
    <w:rsid w:val="6B896A79"/>
    <w:rsid w:val="6B8F03FD"/>
    <w:rsid w:val="6B984B15"/>
    <w:rsid w:val="6BA17D14"/>
    <w:rsid w:val="6BBA7872"/>
    <w:rsid w:val="6BD510F7"/>
    <w:rsid w:val="6BDA0E02"/>
    <w:rsid w:val="6BE01A51"/>
    <w:rsid w:val="6BE35E8E"/>
    <w:rsid w:val="6BE47193"/>
    <w:rsid w:val="6BEC459F"/>
    <w:rsid w:val="6BF36128"/>
    <w:rsid w:val="6BFD6A38"/>
    <w:rsid w:val="6C030941"/>
    <w:rsid w:val="6C09284A"/>
    <w:rsid w:val="6C0F21D5"/>
    <w:rsid w:val="6C14665D"/>
    <w:rsid w:val="6C226F5F"/>
    <w:rsid w:val="6C290B81"/>
    <w:rsid w:val="6C2C1B05"/>
    <w:rsid w:val="6C3A04AE"/>
    <w:rsid w:val="6C3F2D24"/>
    <w:rsid w:val="6C500A40"/>
    <w:rsid w:val="6C5042C3"/>
    <w:rsid w:val="6C542CCA"/>
    <w:rsid w:val="6C5938CE"/>
    <w:rsid w:val="6C5B6DD1"/>
    <w:rsid w:val="6C5C00D6"/>
    <w:rsid w:val="6C670665"/>
    <w:rsid w:val="6C6E606C"/>
    <w:rsid w:val="6C704675"/>
    <w:rsid w:val="6C7B5108"/>
    <w:rsid w:val="6C7C2B89"/>
    <w:rsid w:val="6C837F96"/>
    <w:rsid w:val="6C867EA1"/>
    <w:rsid w:val="6C88441D"/>
    <w:rsid w:val="6CA74CD2"/>
    <w:rsid w:val="6CAE685B"/>
    <w:rsid w:val="6CB638AC"/>
    <w:rsid w:val="6CB7436F"/>
    <w:rsid w:val="6CD46A9B"/>
    <w:rsid w:val="6CDC0624"/>
    <w:rsid w:val="6CE8573C"/>
    <w:rsid w:val="6CEB66C0"/>
    <w:rsid w:val="6CEC4142"/>
    <w:rsid w:val="6CF07A05"/>
    <w:rsid w:val="6CFD7C5F"/>
    <w:rsid w:val="6D0031E1"/>
    <w:rsid w:val="6D0E4172"/>
    <w:rsid w:val="6D0E597B"/>
    <w:rsid w:val="6D100E7E"/>
    <w:rsid w:val="6D164F86"/>
    <w:rsid w:val="6D193D0C"/>
    <w:rsid w:val="6D1B140E"/>
    <w:rsid w:val="6D3C51C6"/>
    <w:rsid w:val="6D3C6814"/>
    <w:rsid w:val="6D4312CD"/>
    <w:rsid w:val="6D462252"/>
    <w:rsid w:val="6D473557"/>
    <w:rsid w:val="6D4F42A6"/>
    <w:rsid w:val="6D534DEB"/>
    <w:rsid w:val="6D5737F1"/>
    <w:rsid w:val="6D7E14B2"/>
    <w:rsid w:val="6D83593A"/>
    <w:rsid w:val="6D9632D6"/>
    <w:rsid w:val="6D970108"/>
    <w:rsid w:val="6D9A775D"/>
    <w:rsid w:val="6D9C3A5A"/>
    <w:rsid w:val="6DAC5479"/>
    <w:rsid w:val="6DC07359"/>
    <w:rsid w:val="6DD05A39"/>
    <w:rsid w:val="6DE852DE"/>
    <w:rsid w:val="6DFD7802"/>
    <w:rsid w:val="6E0D0088"/>
    <w:rsid w:val="6E0D7A9C"/>
    <w:rsid w:val="6E1C4C85"/>
    <w:rsid w:val="6E1F57B8"/>
    <w:rsid w:val="6E257D02"/>
    <w:rsid w:val="6E3531DF"/>
    <w:rsid w:val="6E426C72"/>
    <w:rsid w:val="6E445614"/>
    <w:rsid w:val="6E4459F8"/>
    <w:rsid w:val="6E47697D"/>
    <w:rsid w:val="6E505F87"/>
    <w:rsid w:val="6E557E91"/>
    <w:rsid w:val="6E596897"/>
    <w:rsid w:val="6E5A4318"/>
    <w:rsid w:val="6E5C309F"/>
    <w:rsid w:val="6E5D0B20"/>
    <w:rsid w:val="6E6476D9"/>
    <w:rsid w:val="6E6A45B3"/>
    <w:rsid w:val="6E6C58B8"/>
    <w:rsid w:val="6E737441"/>
    <w:rsid w:val="6E7C5B52"/>
    <w:rsid w:val="6E97417D"/>
    <w:rsid w:val="6E980344"/>
    <w:rsid w:val="6E997680"/>
    <w:rsid w:val="6E9A0985"/>
    <w:rsid w:val="6E9D190A"/>
    <w:rsid w:val="6E9D31C6"/>
    <w:rsid w:val="6EA27F90"/>
    <w:rsid w:val="6EA72EDB"/>
    <w:rsid w:val="6EB2602C"/>
    <w:rsid w:val="6EB97BB5"/>
    <w:rsid w:val="6EC67C3A"/>
    <w:rsid w:val="6EC81378"/>
    <w:rsid w:val="6ECA7E4F"/>
    <w:rsid w:val="6ECD1613"/>
    <w:rsid w:val="6EEE4B8C"/>
    <w:rsid w:val="6EFD5A7B"/>
    <w:rsid w:val="6F146FCA"/>
    <w:rsid w:val="6F1859D0"/>
    <w:rsid w:val="6F1B21D8"/>
    <w:rsid w:val="6F275FEB"/>
    <w:rsid w:val="6F2A116E"/>
    <w:rsid w:val="6F2F55F5"/>
    <w:rsid w:val="6F426814"/>
    <w:rsid w:val="6F437B19"/>
    <w:rsid w:val="6F5013AD"/>
    <w:rsid w:val="6F532332"/>
    <w:rsid w:val="6F5632B7"/>
    <w:rsid w:val="6F59423B"/>
    <w:rsid w:val="6F6438D1"/>
    <w:rsid w:val="6F6B740A"/>
    <w:rsid w:val="6F6D675F"/>
    <w:rsid w:val="6F6E095D"/>
    <w:rsid w:val="6F77126D"/>
    <w:rsid w:val="6F7A7FF3"/>
    <w:rsid w:val="6F83507F"/>
    <w:rsid w:val="6F8C3791"/>
    <w:rsid w:val="6FA66539"/>
    <w:rsid w:val="6FC04EE4"/>
    <w:rsid w:val="6FC12966"/>
    <w:rsid w:val="6FC4136C"/>
    <w:rsid w:val="6FC87D72"/>
    <w:rsid w:val="6FE518A1"/>
    <w:rsid w:val="6FE55124"/>
    <w:rsid w:val="6FED6CAD"/>
    <w:rsid w:val="6FF5382C"/>
    <w:rsid w:val="700D4FE4"/>
    <w:rsid w:val="701B1D7B"/>
    <w:rsid w:val="701C77FC"/>
    <w:rsid w:val="702C5898"/>
    <w:rsid w:val="703B00B1"/>
    <w:rsid w:val="703D7D31"/>
    <w:rsid w:val="70427A3C"/>
    <w:rsid w:val="704856B4"/>
    <w:rsid w:val="70550C5B"/>
    <w:rsid w:val="705553D8"/>
    <w:rsid w:val="706224EF"/>
    <w:rsid w:val="70694078"/>
    <w:rsid w:val="706E4743"/>
    <w:rsid w:val="70703A03"/>
    <w:rsid w:val="70711485"/>
    <w:rsid w:val="70742409"/>
    <w:rsid w:val="707D659C"/>
    <w:rsid w:val="70807521"/>
    <w:rsid w:val="708251BA"/>
    <w:rsid w:val="7092523D"/>
    <w:rsid w:val="70AA28E3"/>
    <w:rsid w:val="70AE4B6D"/>
    <w:rsid w:val="70AE6D6B"/>
    <w:rsid w:val="70AF1A25"/>
    <w:rsid w:val="70AF47ED"/>
    <w:rsid w:val="70B15AF2"/>
    <w:rsid w:val="70B64178"/>
    <w:rsid w:val="70B82EFE"/>
    <w:rsid w:val="70BE1584"/>
    <w:rsid w:val="70C04A87"/>
    <w:rsid w:val="70C94FEF"/>
    <w:rsid w:val="70CB089A"/>
    <w:rsid w:val="70D32653"/>
    <w:rsid w:val="70D77F30"/>
    <w:rsid w:val="70D8212E"/>
    <w:rsid w:val="70DD65B6"/>
    <w:rsid w:val="70DE78BA"/>
    <w:rsid w:val="70EB6BD0"/>
    <w:rsid w:val="70EE7B55"/>
    <w:rsid w:val="70FA3967"/>
    <w:rsid w:val="70FB13E9"/>
    <w:rsid w:val="71165496"/>
    <w:rsid w:val="71205DA5"/>
    <w:rsid w:val="71211F2C"/>
    <w:rsid w:val="71213827"/>
    <w:rsid w:val="71232C01"/>
    <w:rsid w:val="71327344"/>
    <w:rsid w:val="713E0BD9"/>
    <w:rsid w:val="71411B5D"/>
    <w:rsid w:val="714E35F0"/>
    <w:rsid w:val="714E66BA"/>
    <w:rsid w:val="714F26C6"/>
    <w:rsid w:val="71504376"/>
    <w:rsid w:val="715E6F0F"/>
    <w:rsid w:val="71602412"/>
    <w:rsid w:val="71617E94"/>
    <w:rsid w:val="7168781F"/>
    <w:rsid w:val="716F71A9"/>
    <w:rsid w:val="718844D0"/>
    <w:rsid w:val="718B4A7C"/>
    <w:rsid w:val="718E1C5D"/>
    <w:rsid w:val="718E63D9"/>
    <w:rsid w:val="71AD6C8E"/>
    <w:rsid w:val="71B46619"/>
    <w:rsid w:val="71C54335"/>
    <w:rsid w:val="71CE0D3C"/>
    <w:rsid w:val="71CE2A46"/>
    <w:rsid w:val="71DE53C3"/>
    <w:rsid w:val="71E13C65"/>
    <w:rsid w:val="71E23866"/>
    <w:rsid w:val="71E44BEA"/>
    <w:rsid w:val="71E87D6D"/>
    <w:rsid w:val="71F9130C"/>
    <w:rsid w:val="72064D9E"/>
    <w:rsid w:val="72070621"/>
    <w:rsid w:val="72232150"/>
    <w:rsid w:val="722630D5"/>
    <w:rsid w:val="722C0861"/>
    <w:rsid w:val="723536EF"/>
    <w:rsid w:val="723C5278"/>
    <w:rsid w:val="72414F83"/>
    <w:rsid w:val="72450106"/>
    <w:rsid w:val="725B5B2D"/>
    <w:rsid w:val="72652BB9"/>
    <w:rsid w:val="726873C1"/>
    <w:rsid w:val="727453D2"/>
    <w:rsid w:val="72804A68"/>
    <w:rsid w:val="72827F6B"/>
    <w:rsid w:val="728C62FC"/>
    <w:rsid w:val="72954A0D"/>
    <w:rsid w:val="7296248F"/>
    <w:rsid w:val="72AE7B36"/>
    <w:rsid w:val="72BE454D"/>
    <w:rsid w:val="72C61959"/>
    <w:rsid w:val="72D77675"/>
    <w:rsid w:val="72DC7380"/>
    <w:rsid w:val="72EA3C3A"/>
    <w:rsid w:val="72EB4117"/>
    <w:rsid w:val="72EF2B1D"/>
    <w:rsid w:val="72F66919"/>
    <w:rsid w:val="72F759AB"/>
    <w:rsid w:val="72F90EAF"/>
    <w:rsid w:val="72F96CB0"/>
    <w:rsid w:val="72FB7C35"/>
    <w:rsid w:val="72FD78B5"/>
    <w:rsid w:val="730F0E54"/>
    <w:rsid w:val="73154F5B"/>
    <w:rsid w:val="73262C77"/>
    <w:rsid w:val="732D2602"/>
    <w:rsid w:val="73306E0A"/>
    <w:rsid w:val="73365490"/>
    <w:rsid w:val="733E031E"/>
    <w:rsid w:val="733F5DA0"/>
    <w:rsid w:val="73401623"/>
    <w:rsid w:val="734A79B4"/>
    <w:rsid w:val="73555D45"/>
    <w:rsid w:val="7377177D"/>
    <w:rsid w:val="739158AB"/>
    <w:rsid w:val="73962032"/>
    <w:rsid w:val="73AE76D8"/>
    <w:rsid w:val="73AF515A"/>
    <w:rsid w:val="73CA1587"/>
    <w:rsid w:val="73CC6C88"/>
    <w:rsid w:val="73CE5A0F"/>
    <w:rsid w:val="73CF7C0D"/>
    <w:rsid w:val="73DB3A20"/>
    <w:rsid w:val="73EB3CBA"/>
    <w:rsid w:val="73FE075C"/>
    <w:rsid w:val="740E5173"/>
    <w:rsid w:val="741B228B"/>
    <w:rsid w:val="74294E24"/>
    <w:rsid w:val="744318F3"/>
    <w:rsid w:val="744606F3"/>
    <w:rsid w:val="744B2DDA"/>
    <w:rsid w:val="744C2A5A"/>
    <w:rsid w:val="745B7503"/>
    <w:rsid w:val="74630481"/>
    <w:rsid w:val="74697E0C"/>
    <w:rsid w:val="746B330F"/>
    <w:rsid w:val="74707796"/>
    <w:rsid w:val="749331CE"/>
    <w:rsid w:val="74A17F65"/>
    <w:rsid w:val="74B23A83"/>
    <w:rsid w:val="74B56C06"/>
    <w:rsid w:val="74C54CA2"/>
    <w:rsid w:val="74C62534"/>
    <w:rsid w:val="74C66EA0"/>
    <w:rsid w:val="74C838E9"/>
    <w:rsid w:val="74CD20AE"/>
    <w:rsid w:val="74D629BE"/>
    <w:rsid w:val="74DB35C2"/>
    <w:rsid w:val="74DE6FFC"/>
    <w:rsid w:val="74F03568"/>
    <w:rsid w:val="74F32A1F"/>
    <w:rsid w:val="75017085"/>
    <w:rsid w:val="75026D05"/>
    <w:rsid w:val="75124DA1"/>
    <w:rsid w:val="75201B39"/>
    <w:rsid w:val="7538395C"/>
    <w:rsid w:val="753F6B6A"/>
    <w:rsid w:val="75450A73"/>
    <w:rsid w:val="75473F77"/>
    <w:rsid w:val="75590346"/>
    <w:rsid w:val="755D611A"/>
    <w:rsid w:val="756D41B6"/>
    <w:rsid w:val="7571063E"/>
    <w:rsid w:val="757F40D0"/>
    <w:rsid w:val="758E68E9"/>
    <w:rsid w:val="759407F3"/>
    <w:rsid w:val="75A66098"/>
    <w:rsid w:val="75B77AAE"/>
    <w:rsid w:val="75B90A32"/>
    <w:rsid w:val="75C31342"/>
    <w:rsid w:val="75CF6906"/>
    <w:rsid w:val="75DB226C"/>
    <w:rsid w:val="75DD576F"/>
    <w:rsid w:val="75E33DF5"/>
    <w:rsid w:val="75E37678"/>
    <w:rsid w:val="75E450FA"/>
    <w:rsid w:val="75E83B00"/>
    <w:rsid w:val="75F60897"/>
    <w:rsid w:val="75FC27A0"/>
    <w:rsid w:val="76072D30"/>
    <w:rsid w:val="760D04BC"/>
    <w:rsid w:val="76253C0B"/>
    <w:rsid w:val="762E09F1"/>
    <w:rsid w:val="763E6A8D"/>
    <w:rsid w:val="7640418E"/>
    <w:rsid w:val="76430A5D"/>
    <w:rsid w:val="764739D4"/>
    <w:rsid w:val="765D5CBD"/>
    <w:rsid w:val="767720EA"/>
    <w:rsid w:val="767E10F4"/>
    <w:rsid w:val="76864652"/>
    <w:rsid w:val="76903014"/>
    <w:rsid w:val="76A22F2E"/>
    <w:rsid w:val="76A43EB3"/>
    <w:rsid w:val="76A54991"/>
    <w:rsid w:val="76A72C39"/>
    <w:rsid w:val="76C30EE4"/>
    <w:rsid w:val="76C61E69"/>
    <w:rsid w:val="76CA40F3"/>
    <w:rsid w:val="76D10872"/>
    <w:rsid w:val="76D90E8A"/>
    <w:rsid w:val="76E75C21"/>
    <w:rsid w:val="76EE4970"/>
    <w:rsid w:val="77027AD0"/>
    <w:rsid w:val="77047A45"/>
    <w:rsid w:val="771222E8"/>
    <w:rsid w:val="77234781"/>
    <w:rsid w:val="772B2C52"/>
    <w:rsid w:val="774175B4"/>
    <w:rsid w:val="774239E3"/>
    <w:rsid w:val="774614BE"/>
    <w:rsid w:val="776823B8"/>
    <w:rsid w:val="77694EF6"/>
    <w:rsid w:val="776D38FC"/>
    <w:rsid w:val="77777A8E"/>
    <w:rsid w:val="7778770E"/>
    <w:rsid w:val="778A0CAD"/>
    <w:rsid w:val="779415BD"/>
    <w:rsid w:val="77C01188"/>
    <w:rsid w:val="77C718FF"/>
    <w:rsid w:val="77CC4F9A"/>
    <w:rsid w:val="77CD4C1A"/>
    <w:rsid w:val="77D01422"/>
    <w:rsid w:val="77D44B3C"/>
    <w:rsid w:val="77DB3F30"/>
    <w:rsid w:val="77DB77B3"/>
    <w:rsid w:val="77E66C06"/>
    <w:rsid w:val="77EB41CA"/>
    <w:rsid w:val="77F90F61"/>
    <w:rsid w:val="78066079"/>
    <w:rsid w:val="780C7F82"/>
    <w:rsid w:val="78150891"/>
    <w:rsid w:val="78173D95"/>
    <w:rsid w:val="781B279B"/>
    <w:rsid w:val="782765AD"/>
    <w:rsid w:val="782878B2"/>
    <w:rsid w:val="782D5F38"/>
    <w:rsid w:val="783C6553"/>
    <w:rsid w:val="783F74D7"/>
    <w:rsid w:val="78491FE5"/>
    <w:rsid w:val="784E1CF0"/>
    <w:rsid w:val="78540376"/>
    <w:rsid w:val="785B3584"/>
    <w:rsid w:val="785F1F8A"/>
    <w:rsid w:val="78687017"/>
    <w:rsid w:val="787850B3"/>
    <w:rsid w:val="787F24BF"/>
    <w:rsid w:val="788B62D2"/>
    <w:rsid w:val="789336DE"/>
    <w:rsid w:val="78A47B77"/>
    <w:rsid w:val="78A94567"/>
    <w:rsid w:val="78BD4522"/>
    <w:rsid w:val="78C054A7"/>
    <w:rsid w:val="78C5192F"/>
    <w:rsid w:val="78CA163A"/>
    <w:rsid w:val="78D16A46"/>
    <w:rsid w:val="78D244C8"/>
    <w:rsid w:val="78DD2859"/>
    <w:rsid w:val="78DE02DA"/>
    <w:rsid w:val="78E410FC"/>
    <w:rsid w:val="78FF6291"/>
    <w:rsid w:val="79011794"/>
    <w:rsid w:val="79092423"/>
    <w:rsid w:val="793323B0"/>
    <w:rsid w:val="79343267"/>
    <w:rsid w:val="793763EA"/>
    <w:rsid w:val="793B21A8"/>
    <w:rsid w:val="795934A7"/>
    <w:rsid w:val="795C0BA9"/>
    <w:rsid w:val="795F3AD8"/>
    <w:rsid w:val="79602E32"/>
    <w:rsid w:val="79734051"/>
    <w:rsid w:val="797D10DD"/>
    <w:rsid w:val="79A715B3"/>
    <w:rsid w:val="79AE5130"/>
    <w:rsid w:val="79BB4445"/>
    <w:rsid w:val="79BD608F"/>
    <w:rsid w:val="79C008CD"/>
    <w:rsid w:val="79CD59E4"/>
    <w:rsid w:val="79EE0117"/>
    <w:rsid w:val="79F1109C"/>
    <w:rsid w:val="79F53325"/>
    <w:rsid w:val="79FB522F"/>
    <w:rsid w:val="79FE2930"/>
    <w:rsid w:val="7A034839"/>
    <w:rsid w:val="7A0422BB"/>
    <w:rsid w:val="7A186D5D"/>
    <w:rsid w:val="7A232B70"/>
    <w:rsid w:val="7A236968"/>
    <w:rsid w:val="7A2C4E68"/>
    <w:rsid w:val="7A3C5C98"/>
    <w:rsid w:val="7A40469E"/>
    <w:rsid w:val="7A423425"/>
    <w:rsid w:val="7A4A1945"/>
    <w:rsid w:val="7A5A5248"/>
    <w:rsid w:val="7A712C6F"/>
    <w:rsid w:val="7A733BF4"/>
    <w:rsid w:val="7A7725FA"/>
    <w:rsid w:val="7A7C2507"/>
    <w:rsid w:val="7A8C4B1E"/>
    <w:rsid w:val="7A903524"/>
    <w:rsid w:val="7A9C1535"/>
    <w:rsid w:val="7AA26CC1"/>
    <w:rsid w:val="7AB001D5"/>
    <w:rsid w:val="7AB57EE0"/>
    <w:rsid w:val="7ABC786B"/>
    <w:rsid w:val="7ABD74EB"/>
    <w:rsid w:val="7ACB6801"/>
    <w:rsid w:val="7AD70F6E"/>
    <w:rsid w:val="7ADA6E1B"/>
    <w:rsid w:val="7ADB489D"/>
    <w:rsid w:val="7AE36584"/>
    <w:rsid w:val="7AEE5ABC"/>
    <w:rsid w:val="7AFF705B"/>
    <w:rsid w:val="7B041F22"/>
    <w:rsid w:val="7B074467"/>
    <w:rsid w:val="7B081EE9"/>
    <w:rsid w:val="7B180654"/>
    <w:rsid w:val="7B234C91"/>
    <w:rsid w:val="7B240194"/>
    <w:rsid w:val="7B484ED1"/>
    <w:rsid w:val="7B646D7F"/>
    <w:rsid w:val="7B741218"/>
    <w:rsid w:val="7B7B0BA3"/>
    <w:rsid w:val="7B8B33BC"/>
    <w:rsid w:val="7B8F5645"/>
    <w:rsid w:val="7B95754E"/>
    <w:rsid w:val="7B9A1458"/>
    <w:rsid w:val="7B9E7E5E"/>
    <w:rsid w:val="7B9F1762"/>
    <w:rsid w:val="7BA41D67"/>
    <w:rsid w:val="7BA577E9"/>
    <w:rsid w:val="7BAD093A"/>
    <w:rsid w:val="7BC24B9B"/>
    <w:rsid w:val="7BD86D3E"/>
    <w:rsid w:val="7BDE0C48"/>
    <w:rsid w:val="7BDF66C9"/>
    <w:rsid w:val="7BE350CF"/>
    <w:rsid w:val="7BEF30E0"/>
    <w:rsid w:val="7BFE423E"/>
    <w:rsid w:val="7C012101"/>
    <w:rsid w:val="7C1A71B6"/>
    <w:rsid w:val="7C2300B7"/>
    <w:rsid w:val="7C281644"/>
    <w:rsid w:val="7C3F79E7"/>
    <w:rsid w:val="7C432B6A"/>
    <w:rsid w:val="7C4629D2"/>
    <w:rsid w:val="7C4924F5"/>
    <w:rsid w:val="7C4D0EFB"/>
    <w:rsid w:val="7C5E1196"/>
    <w:rsid w:val="7C671AA5"/>
    <w:rsid w:val="7C727ADF"/>
    <w:rsid w:val="7C775644"/>
    <w:rsid w:val="7C87365F"/>
    <w:rsid w:val="7C8B67E2"/>
    <w:rsid w:val="7C8F51E8"/>
    <w:rsid w:val="7C970076"/>
    <w:rsid w:val="7CA95D92"/>
    <w:rsid w:val="7CB16A21"/>
    <w:rsid w:val="7CBF7F35"/>
    <w:rsid w:val="7CC0123A"/>
    <w:rsid w:val="7CC16CBC"/>
    <w:rsid w:val="7CCC724B"/>
    <w:rsid w:val="7CD633DE"/>
    <w:rsid w:val="7CEF6506"/>
    <w:rsid w:val="7CF04DC9"/>
    <w:rsid w:val="7CFC51A0"/>
    <w:rsid w:val="7D08162E"/>
    <w:rsid w:val="7D1022BE"/>
    <w:rsid w:val="7D106A3B"/>
    <w:rsid w:val="7D121F3E"/>
    <w:rsid w:val="7D171C49"/>
    <w:rsid w:val="7D337EF4"/>
    <w:rsid w:val="7D343777"/>
    <w:rsid w:val="7D3F758A"/>
    <w:rsid w:val="7D40500C"/>
    <w:rsid w:val="7D470E9D"/>
    <w:rsid w:val="7D5826B2"/>
    <w:rsid w:val="7D590134"/>
    <w:rsid w:val="7D69294D"/>
    <w:rsid w:val="7D6A3C51"/>
    <w:rsid w:val="7D71105E"/>
    <w:rsid w:val="7D7776E4"/>
    <w:rsid w:val="7D7E706F"/>
    <w:rsid w:val="7D85447B"/>
    <w:rsid w:val="7D861EFD"/>
    <w:rsid w:val="7D8C6BBD"/>
    <w:rsid w:val="7DB70064"/>
    <w:rsid w:val="7DBA6ED4"/>
    <w:rsid w:val="7DC1685E"/>
    <w:rsid w:val="7DC974EE"/>
    <w:rsid w:val="7DCD09EE"/>
    <w:rsid w:val="7DD47A7D"/>
    <w:rsid w:val="7DE34815"/>
    <w:rsid w:val="7DF24E2F"/>
    <w:rsid w:val="7DF612B7"/>
    <w:rsid w:val="7DF65A34"/>
    <w:rsid w:val="7DF80F37"/>
    <w:rsid w:val="7E0A24D6"/>
    <w:rsid w:val="7E1A2617"/>
    <w:rsid w:val="7E207EFD"/>
    <w:rsid w:val="7E312396"/>
    <w:rsid w:val="7E33111C"/>
    <w:rsid w:val="7E404BAE"/>
    <w:rsid w:val="7E413AB9"/>
    <w:rsid w:val="7E4276F2"/>
    <w:rsid w:val="7E4548B9"/>
    <w:rsid w:val="7E4F1946"/>
    <w:rsid w:val="7E502C4A"/>
    <w:rsid w:val="7E5D66DD"/>
    <w:rsid w:val="7E6E21FA"/>
    <w:rsid w:val="7E720C01"/>
    <w:rsid w:val="7E820E9B"/>
    <w:rsid w:val="7E882DA4"/>
    <w:rsid w:val="7E8C502E"/>
    <w:rsid w:val="7EA313D0"/>
    <w:rsid w:val="7EAE0A66"/>
    <w:rsid w:val="7EC00980"/>
    <w:rsid w:val="7EC23759"/>
    <w:rsid w:val="7EC47386"/>
    <w:rsid w:val="7ED06A1C"/>
    <w:rsid w:val="7ED2669C"/>
    <w:rsid w:val="7EE91B44"/>
    <w:rsid w:val="7EF8215F"/>
    <w:rsid w:val="7F0171EB"/>
    <w:rsid w:val="7F097E7A"/>
    <w:rsid w:val="7F117485"/>
    <w:rsid w:val="7F1E0D19"/>
    <w:rsid w:val="7F22771F"/>
    <w:rsid w:val="7F284EAC"/>
    <w:rsid w:val="7F3157BC"/>
    <w:rsid w:val="7F3818C3"/>
    <w:rsid w:val="7F3A0649"/>
    <w:rsid w:val="7F4C3A3B"/>
    <w:rsid w:val="7F724027"/>
    <w:rsid w:val="7F743CA6"/>
    <w:rsid w:val="7F7571AA"/>
    <w:rsid w:val="7F795BB0"/>
    <w:rsid w:val="7F7B6EB5"/>
    <w:rsid w:val="7F8B38CC"/>
    <w:rsid w:val="7F8B4D7A"/>
    <w:rsid w:val="7F8D4850"/>
    <w:rsid w:val="7F8F2078"/>
    <w:rsid w:val="7FA731FC"/>
    <w:rsid w:val="7FAA4181"/>
    <w:rsid w:val="7FB9221D"/>
    <w:rsid w:val="7FCD6C03"/>
    <w:rsid w:val="7FD37543"/>
    <w:rsid w:val="7FD52A46"/>
    <w:rsid w:val="7FD63D4B"/>
    <w:rsid w:val="7FD839CB"/>
    <w:rsid w:val="7FD9144C"/>
    <w:rsid w:val="7FDB4EBB"/>
    <w:rsid w:val="7FDC5C54"/>
    <w:rsid w:val="7FDF0DD7"/>
    <w:rsid w:val="7FE377DD"/>
    <w:rsid w:val="7FE52CE1"/>
    <w:rsid w:val="7FF91981"/>
    <w:rsid w:val="7FF91E78"/>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qFormat/>
    <w:uiPriority w:val="0"/>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Style w:val="7"/>
      <w:tblCellMar>
        <w:top w:w="0" w:type="dxa"/>
        <w:left w:w="108" w:type="dxa"/>
        <w:bottom w:w="0" w:type="dxa"/>
        <w:right w:w="108" w:type="dxa"/>
      </w:tblCellMar>
    </w:tblPr>
  </w:style>
  <w:style w:type="paragraph" w:styleId="2">
    <w:name w:val="Normal Indent"/>
    <w:basedOn w:val="1"/>
    <w:qFormat/>
    <w:uiPriority w:val="0"/>
    <w:rPr>
      <w:rFonts w:ascii="宋体" w:hAnsi="Times New Roman"/>
      <w:szCs w:val="20"/>
    </w:rPr>
  </w:style>
  <w:style w:type="paragraph" w:styleId="3">
    <w:name w:val="annotation text"/>
    <w:basedOn w:val="1"/>
    <w:unhideWhenUsed/>
    <w:qFormat/>
    <w:uiPriority w:val="99"/>
    <w:pPr>
      <w:jc w:val="left"/>
    </w:pPr>
  </w:style>
  <w:style w:type="paragraph" w:styleId="4">
    <w:name w:val="Plain Text"/>
    <w:basedOn w:val="1"/>
    <w:link w:val="11"/>
    <w:unhideWhenUsed/>
    <w:qFormat/>
    <w:uiPriority w:val="99"/>
    <w:pPr>
      <w:jc w:val="left"/>
    </w:pPr>
    <w:rPr>
      <w:rFonts w:hAnsi="Courier New"/>
      <w:szCs w:val="21"/>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nhideWhenUsed/>
    <w:qFormat/>
    <w:uiPriority w:val="99"/>
  </w:style>
  <w:style w:type="character" w:styleId="10">
    <w:name w:val="Hyperlink"/>
    <w:qFormat/>
    <w:uiPriority w:val="0"/>
    <w:rPr>
      <w:color w:val="0000FF"/>
      <w:u w:val="single"/>
    </w:rPr>
  </w:style>
  <w:style w:type="character" w:customStyle="1" w:styleId="11">
    <w:name w:val="纯文本 Char"/>
    <w:link w:val="4"/>
    <w:qFormat/>
    <w:uiPriority w:val="99"/>
    <w:rPr>
      <w:rFonts w:hAnsi="Courier New"/>
      <w:kern w:val="2"/>
      <w:sz w:val="21"/>
      <w:szCs w:val="21"/>
    </w:rPr>
  </w:style>
  <w:style w:type="character" w:customStyle="1" w:styleId="12">
    <w:name w:val="页脚 Char"/>
    <w:link w:val="5"/>
    <w:qFormat/>
    <w:uiPriority w:val="0"/>
    <w:rPr>
      <w:kern w:val="2"/>
      <w:sz w:val="18"/>
      <w:szCs w:val="18"/>
    </w:rPr>
  </w:style>
  <w:style w:type="character" w:customStyle="1" w:styleId="13">
    <w:name w:val="页眉 Char"/>
    <w:link w:val="6"/>
    <w:qFormat/>
    <w:uiPriority w:val="0"/>
    <w:rPr>
      <w:kern w:val="2"/>
      <w:sz w:val="18"/>
      <w:szCs w:val="18"/>
    </w:rPr>
  </w:style>
  <w:style w:type="character" w:customStyle="1" w:styleId="14">
    <w:name w:val="段 Char"/>
    <w:qFormat/>
    <w:uiPriority w:val="0"/>
    <w:rPr>
      <w:rFonts w:ascii="宋体"/>
      <w:sz w:val="21"/>
      <w:lang w:bidi="ar-SA"/>
    </w:rPr>
  </w:style>
  <w:style w:type="character" w:customStyle="1" w:styleId="15">
    <w:name w:val="font41"/>
    <w:basedOn w:val="8"/>
    <w:qFormat/>
    <w:uiPriority w:val="0"/>
    <w:rPr>
      <w:rFonts w:hint="default" w:ascii="Arial" w:hAnsi="Arial" w:cs="Arial"/>
      <w:color w:val="000000"/>
      <w:sz w:val="21"/>
      <w:szCs w:val="21"/>
      <w:u w:val="none"/>
    </w:rPr>
  </w:style>
  <w:style w:type="character" w:customStyle="1" w:styleId="16">
    <w:name w:val="font11"/>
    <w:basedOn w:val="8"/>
    <w:qFormat/>
    <w:uiPriority w:val="0"/>
    <w:rPr>
      <w:rFonts w:hint="eastAsia" w:ascii="宋体" w:hAnsi="宋体" w:eastAsia="宋体" w:cs="宋体"/>
      <w:color w:val="000000"/>
      <w:sz w:val="21"/>
      <w:szCs w:val="21"/>
      <w:u w:val="none"/>
    </w:rPr>
  </w:style>
  <w:style w:type="character" w:customStyle="1" w:styleId="17">
    <w:name w:val="font01"/>
    <w:basedOn w:val="8"/>
    <w:qFormat/>
    <w:uiPriority w:val="0"/>
    <w:rPr>
      <w:rFonts w:hint="eastAsia" w:ascii="宋体" w:hAnsi="宋体" w:eastAsia="宋体" w:cs="宋体"/>
      <w:color w:val="000000"/>
      <w:sz w:val="20"/>
      <w:szCs w:val="20"/>
      <w:u w:val="none"/>
    </w:rPr>
  </w:style>
  <w:style w:type="character" w:customStyle="1" w:styleId="18">
    <w:name w:val="font31"/>
    <w:basedOn w:val="8"/>
    <w:qFormat/>
    <w:uiPriority w:val="0"/>
    <w:rPr>
      <w:rFonts w:hint="eastAsia" w:ascii="宋体" w:hAnsi="宋体" w:eastAsia="宋体" w:cs="宋体"/>
      <w:color w:val="000000"/>
      <w:sz w:val="21"/>
      <w:szCs w:val="21"/>
      <w:u w:val="none"/>
    </w:rPr>
  </w:style>
  <w:style w:type="character" w:customStyle="1" w:styleId="19">
    <w:name w:val="段 Char1"/>
    <w:link w:val="20"/>
    <w:qFormat/>
    <w:uiPriority w:val="0"/>
    <w:rPr>
      <w:rFonts w:ascii="宋体"/>
      <w:sz w:val="21"/>
      <w:lang w:val="en-US" w:eastAsia="zh-CN" w:bidi="ar-SA"/>
    </w:rPr>
  </w:style>
  <w:style w:type="paragraph" w:customStyle="1" w:styleId="20">
    <w:name w:val="段"/>
    <w:link w:val="1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1">
    <w:name w:val="font21"/>
    <w:basedOn w:val="8"/>
    <w:qFormat/>
    <w:uiPriority w:val="0"/>
    <w:rPr>
      <w:rFonts w:hint="default" w:ascii="Times New Roman" w:hAnsi="Times New Roman" w:cs="Times New Roman"/>
      <w:color w:val="000000"/>
      <w:sz w:val="20"/>
      <w:szCs w:val="20"/>
      <w:u w:val="none"/>
    </w:rPr>
  </w:style>
  <w:style w:type="paragraph" w:customStyle="1" w:styleId="22">
    <w:name w:val="文档正文"/>
    <w:basedOn w:val="1"/>
    <w:qFormat/>
    <w:uiPriority w:val="0"/>
    <w:pPr>
      <w:adjustRightInd w:val="0"/>
      <w:spacing w:line="480" w:lineRule="atLeast"/>
      <w:ind w:firstLine="567"/>
      <w:textAlignment w:val="baseline"/>
    </w:pPr>
    <w:rPr>
      <w:rFonts w:ascii="长城仿宋" w:hAnsi="Arial" w:eastAsia="黑体" w:cs="Arial"/>
      <w:snapToGrid w:val="0"/>
      <w:kern w:val="0"/>
      <w:sz w:val="24"/>
      <w:szCs w:val="21"/>
    </w:rPr>
  </w:style>
  <w:style w:type="paragraph" w:styleId="23">
    <w:name w:val="List Paragraph"/>
    <w:basedOn w:val="1"/>
    <w:qFormat/>
    <w:uiPriority w:val="0"/>
    <w:pPr>
      <w:ind w:firstLine="420" w:firstLineChars="200"/>
    </w:pPr>
  </w:style>
  <w:style w:type="paragraph" w:customStyle="1" w:styleId="24">
    <w:name w:val="List Paragraph1"/>
    <w:basedOn w:val="1"/>
    <w:qFormat/>
    <w:uiPriority w:val="0"/>
    <w:pPr>
      <w:ind w:firstLine="420" w:firstLineChars="200"/>
    </w:pPr>
    <w:rPr>
      <w:szCs w:val="21"/>
    </w:rPr>
  </w:style>
  <w:style w:type="paragraph" w:customStyle="1" w:styleId="25">
    <w:name w:val="CM3"/>
    <w:basedOn w:val="1"/>
    <w:next w:val="1"/>
    <w:qFormat/>
    <w:uiPriority w:val="0"/>
    <w:pPr>
      <w:autoSpaceDE w:val="0"/>
      <w:autoSpaceDN w:val="0"/>
      <w:adjustRightInd w:val="0"/>
      <w:spacing w:line="308" w:lineRule="atLeast"/>
      <w:jc w:val="left"/>
    </w:pPr>
    <w:rPr>
      <w:rFonts w:ascii=". FFFFC B. FFFFC E. FFFFC C. FF" w:hAnsi="Times New Roman" w:eastAsia=". FFFFC B. FFFFC E. FFFFC C. FF"/>
      <w:kern w:val="0"/>
      <w:sz w:val="24"/>
      <w:szCs w:val="24"/>
    </w:rPr>
  </w:style>
  <w:style w:type="paragraph" w:customStyle="1" w:styleId="26">
    <w:name w:val="彩色列表 - 着色 11"/>
    <w:basedOn w:val="1"/>
    <w:qFormat/>
    <w:uiPriority w:val="0"/>
    <w:pPr>
      <w:ind w:firstLine="420" w:firstLineChars="200"/>
    </w:pPr>
    <w:rPr>
      <w:szCs w:val="21"/>
    </w:rPr>
  </w:style>
  <w:style w:type="paragraph" w:customStyle="1" w:styleId="27">
    <w:name w:val="QB表内文字"/>
    <w:basedOn w:val="1"/>
    <w:qFormat/>
    <w:uiPriority w:val="0"/>
    <w:pPr>
      <w:autoSpaceDE w:val="0"/>
      <w:autoSpaceDN w:val="0"/>
    </w:pPr>
    <w:rPr>
      <w:kern w:val="0"/>
      <w:szCs w:val="21"/>
    </w:rPr>
  </w:style>
  <w:style w:type="paragraph" w:customStyle="1" w:styleId="28">
    <w:name w:val="样式1"/>
    <w:basedOn w:val="1"/>
    <w:qFormat/>
    <w:uiPriority w:val="0"/>
    <w:pPr>
      <w:spacing w:line="360" w:lineRule="auto"/>
      <w:ind w:firstLine="480"/>
    </w:pPr>
    <w:rPr>
      <w:rFonts w:ascii="Times New Roman" w:hAnsi="Times New Roman"/>
      <w:sz w:val="24"/>
      <w:szCs w:val="24"/>
    </w:rPr>
  </w:style>
  <w:style w:type="paragraph" w:customStyle="1" w:styleId="29">
    <w:name w:val="章标题"/>
    <w:next w:val="20"/>
    <w:qFormat/>
    <w:uiPriority w:val="0"/>
    <w:p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2">
    <w:name w:val="CM7"/>
    <w:basedOn w:val="1"/>
    <w:next w:val="1"/>
    <w:qFormat/>
    <w:uiPriority w:val="0"/>
    <w:pPr>
      <w:autoSpaceDE w:val="0"/>
      <w:autoSpaceDN w:val="0"/>
      <w:adjustRightInd w:val="0"/>
      <w:spacing w:line="313" w:lineRule="atLeast"/>
      <w:jc w:val="left"/>
    </w:pPr>
    <w:rPr>
      <w:rFonts w:ascii="Times New Roman" w:hAnsi="Times New Roman"/>
      <w:kern w:val="0"/>
      <w:sz w:val="24"/>
      <w:szCs w:val="24"/>
    </w:rPr>
  </w:style>
  <w:style w:type="paragraph" w:customStyle="1" w:styleId="33">
    <w:name w:val="列项◆（三级）"/>
    <w:basedOn w:val="1"/>
    <w:qFormat/>
    <w:uiPriority w:val="0"/>
    <w:pPr>
      <w:numPr>
        <w:ilvl w:val="2"/>
        <w:numId w:val="1"/>
      </w:numPr>
    </w:pPr>
    <w:rPr>
      <w:rFonts w:ascii="宋体"/>
      <w:szCs w:val="21"/>
    </w:rPr>
  </w:style>
  <w:style w:type="paragraph" w:customStyle="1" w:styleId="34">
    <w:name w:val="Body Text First Indent"/>
    <w:basedOn w:val="1"/>
    <w:qFormat/>
    <w:uiPriority w:val="0"/>
    <w:pPr>
      <w:autoSpaceDE w:val="0"/>
      <w:autoSpaceDN w:val="0"/>
      <w:adjustRightInd w:val="0"/>
      <w:spacing w:line="360" w:lineRule="auto"/>
      <w:ind w:firstLine="425"/>
    </w:pPr>
  </w:style>
  <w:style w:type="paragraph" w:customStyle="1" w:styleId="35">
    <w:name w:val="封面标准名称"/>
    <w:qFormat/>
    <w:uiPriority w:val="0"/>
    <w:pPr>
      <w:framePr w:w="9639" w:h="6917" w:hRule="exact" w:wrap="around" w:vAnchor="page" w:hAnchor="page" w:xAlign="center" w:y="6409"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6">
    <w:name w:val="样式 正文缩进1 + 首行缩进:  2 字符"/>
    <w:basedOn w:val="1"/>
    <w:qFormat/>
    <w:uiPriority w:val="0"/>
    <w:pPr>
      <w:spacing w:line="360" w:lineRule="auto"/>
      <w:ind w:firstLine="200" w:firstLineChars="200"/>
    </w:pPr>
    <w:rPr>
      <w:rFonts w:cs="宋体"/>
      <w:sz w:val="24"/>
      <w:szCs w:val="20"/>
    </w:rPr>
  </w:style>
  <w:style w:type="paragraph" w:customStyle="1" w:styleId="37">
    <w:name w:val="QB正文"/>
    <w:basedOn w:val="1"/>
    <w:qFormat/>
    <w:uiPriority w:val="0"/>
    <w:pPr>
      <w:widowControl/>
      <w:autoSpaceDE w:val="0"/>
      <w:autoSpaceDN w:val="0"/>
      <w:ind w:firstLine="200" w:firstLineChars="200"/>
    </w:pPr>
    <w:rPr>
      <w:rFonts w:ascii="宋体"/>
      <w:kern w:val="0"/>
      <w:szCs w:val="20"/>
    </w:rPr>
  </w:style>
  <w:style w:type="paragraph" w:customStyle="1" w:styleId="3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9">
    <w:name w:val="font51"/>
    <w:basedOn w:val="8"/>
    <w:qFormat/>
    <w:uiPriority w:val="0"/>
    <w:rPr>
      <w:rFonts w:hint="eastAsia" w:ascii="宋体" w:hAnsi="宋体" w:eastAsia="宋体" w:cs="宋体"/>
      <w:color w:val="FF0000"/>
      <w:sz w:val="21"/>
      <w:szCs w:val="21"/>
      <w:u w:val="none"/>
    </w:rPr>
  </w:style>
  <w:style w:type="character" w:customStyle="1" w:styleId="40">
    <w:name w:val="font61"/>
    <w:basedOn w:val="8"/>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CESI</Company>
  <Pages>34</Pages>
  <Words>9125</Words>
  <Characters>10058</Characters>
  <Lines>160</Lines>
  <Paragraphs>45</Paragraphs>
  <TotalTime>1</TotalTime>
  <ScaleCrop>false</ScaleCrop>
  <LinksUpToDate>false</LinksUpToDate>
  <CharactersWithSpaces>10163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2014-08-04T01:06:00Z</dcterms:created>
  <dc:creator>wuchong</dc:creator>
  <cp:lastModifiedBy>卓天网络</cp:lastModifiedBy>
  <cp:lastPrinted>2012-08-09T12:20:00Z</cp:lastPrinted>
  <dcterms:modified xsi:type="dcterms:W3CDTF">2025-08-27T05:50:52Z</dcterms:modified>
  <dc:title>5项国标、45项行标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F9EDA9E6AE9E474BAAB30822E65634B7_13</vt:lpwstr>
  </property>
</Properties>
</file>