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2024年度乡村文化和旅游带头人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支持项目名额分配表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pacing w:val="-2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4005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  <w:t>地市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  <w:t>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西安市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宝鸡市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  <w:t>咸阳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市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  <w:t>铜川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市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  <w:t>渭南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市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  <w:t>延安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市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  <w:t>榆林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市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  <w:t>汉中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市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  <w:t>安康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市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eastAsia="zh-CN"/>
              </w:rPr>
              <w:t>商洛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市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杨凌示范区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韩城市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rtlGutter w:val="0"/>
          <w:docGrid w:type="lines" w:linePitch="327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D94696B"/>
    <w:rsid w:val="0D946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2024-04-26T03:19:00Z</dcterms:created>
  <dc:creator>泽昊</dc:creator>
  <cp:lastModifiedBy>泽昊</cp:lastModifiedBy>
  <dcterms:modified xsi:type="dcterms:W3CDTF">2024-04-26T03:19:43Z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7E4272CC708C4A368788DA5188B89D28_11</vt:lpwstr>
  </property>
</Properties>
</file>