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F558">
      <w:pPr>
        <w:spacing w:line="600" w:lineRule="exact"/>
        <w:ind w:firstLine="640" w:firstLineChars="200"/>
        <w:rPr>
          <w:rFonts w:eastAsia="仿宋_GB2312"/>
          <w:color w:val="000000"/>
          <w:kern w:val="0"/>
          <w:sz w:val="32"/>
          <w:szCs w:val="32"/>
        </w:rPr>
      </w:pPr>
      <w:bookmarkStart w:id="0" w:name="_GoBack"/>
      <w:bookmarkEnd w:id="0"/>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主营业务收入：指报告年度内企业确认的销售商品、提供劳务等主营业务的收入。根据会计“主营业务收入”科目的期末贷方余额填报。若会计报告和会计报表中未设置该科目，以“营业收入”代替填报。</w:t>
      </w:r>
    </w:p>
    <w:p w14:paraId="73A91A7B">
      <w:pPr>
        <w:spacing w:line="60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研究与试验发展（简称“研发”）经费支出：指报告年度内企业研发活动的经费支出合计，包括企业内部的日常研发经费支出，当年形成用于研发的固定资产支出和委托外单位开展研发的经费支出。</w:t>
      </w:r>
    </w:p>
    <w:p w14:paraId="6E2599C5">
      <w:pPr>
        <w:spacing w:line="60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研究与试验发展人员数：指报告年度内企业内部直接参加研发项目人员，</w:t>
      </w:r>
      <w:r>
        <w:rPr>
          <w:rFonts w:hint="eastAsia" w:eastAsia="仿宋_GB2312"/>
          <w:color w:val="000000"/>
          <w:kern w:val="0"/>
          <w:sz w:val="32"/>
          <w:szCs w:val="32"/>
        </w:rPr>
        <w:t>以及研发活动的管理和直接服务的人员。</w:t>
      </w:r>
      <w:r>
        <w:rPr>
          <w:rFonts w:eastAsia="仿宋_GB2312"/>
          <w:color w:val="000000"/>
          <w:kern w:val="0"/>
          <w:sz w:val="32"/>
          <w:szCs w:val="32"/>
        </w:rPr>
        <w:t>不包括全年累计从事研发活动时间占制度工作时间10%以下的人员。</w:t>
      </w:r>
    </w:p>
    <w:p w14:paraId="3F379E9E">
      <w:pPr>
        <w:spacing w:line="60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企业职工总数：指企业在报告年度内平均拥有的从业人员数，按照统计指标“从业人员平均人数”计算。</w:t>
      </w:r>
    </w:p>
    <w:p w14:paraId="6F734B87">
      <w:pPr>
        <w:spacing w:line="600" w:lineRule="exact"/>
        <w:ind w:firstLine="640" w:firstLineChars="200"/>
        <w:rPr>
          <w:rFonts w:eastAsia="仿宋_GB2312"/>
          <w:b/>
          <w:i/>
          <w:color w:val="FF0000"/>
          <w:kern w:val="0"/>
          <w:sz w:val="32"/>
          <w:szCs w:val="32"/>
        </w:rPr>
      </w:pPr>
      <w:r>
        <w:rPr>
          <w:rFonts w:eastAsia="仿宋_GB2312"/>
          <w:color w:val="000000"/>
          <w:kern w:val="0"/>
          <w:sz w:val="32"/>
          <w:szCs w:val="32"/>
        </w:rPr>
        <w:t>5</w:t>
      </w:r>
      <w:r>
        <w:rPr>
          <w:rFonts w:hint="eastAsia" w:eastAsia="仿宋_GB2312"/>
          <w:color w:val="000000"/>
          <w:kern w:val="0"/>
          <w:sz w:val="32"/>
          <w:szCs w:val="32"/>
        </w:rPr>
        <w:t>.</w:t>
      </w:r>
      <w:r>
        <w:rPr>
          <w:rFonts w:eastAsia="仿宋_GB2312"/>
          <w:color w:val="000000"/>
          <w:kern w:val="0"/>
          <w:sz w:val="32"/>
          <w:szCs w:val="32"/>
        </w:rPr>
        <w:t>技术中心高级专家人数：指全职在技术中心工作、</w:t>
      </w:r>
      <w:r>
        <w:rPr>
          <w:rFonts w:eastAsia="仿宋_GB2312"/>
          <w:color w:val="000000"/>
          <w:sz w:val="32"/>
          <w:szCs w:val="32"/>
        </w:rPr>
        <w:t>获得国家、省、部和计划单列市等政府部门认定的有突出贡献的专家或者享受国家、省、部和计划单列市专项津贴的专家数。</w:t>
      </w:r>
    </w:p>
    <w:p w14:paraId="1D3405C3">
      <w:pPr>
        <w:spacing w:line="60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w:t>
      </w:r>
      <w:r>
        <w:rPr>
          <w:rFonts w:eastAsia="仿宋_GB2312"/>
          <w:color w:val="000000"/>
          <w:kern w:val="0"/>
          <w:sz w:val="32"/>
          <w:szCs w:val="32"/>
        </w:rPr>
        <w:t>技术中心博士人数：指全职在技术中心工作、获得博士学位的人员数。在站博士后可以作为博士进行统计。</w:t>
      </w:r>
    </w:p>
    <w:p w14:paraId="2F57E6B6">
      <w:pPr>
        <w:spacing w:line="600" w:lineRule="exact"/>
        <w:ind w:firstLine="640" w:firstLineChars="200"/>
        <w:rPr>
          <w:rFonts w:eastAsia="仿宋_GB2312"/>
          <w:color w:val="000000"/>
          <w:kern w:val="0"/>
          <w:sz w:val="32"/>
          <w:szCs w:val="32"/>
        </w:rPr>
      </w:pPr>
      <w:r>
        <w:rPr>
          <w:rFonts w:eastAsia="仿宋_GB2312"/>
          <w:color w:val="000000"/>
          <w:kern w:val="0"/>
          <w:sz w:val="32"/>
          <w:szCs w:val="32"/>
        </w:rPr>
        <w:t>7</w:t>
      </w:r>
      <w:r>
        <w:rPr>
          <w:rFonts w:hint="eastAsia" w:eastAsia="仿宋_GB2312"/>
          <w:color w:val="000000"/>
          <w:kern w:val="0"/>
          <w:sz w:val="32"/>
          <w:szCs w:val="32"/>
        </w:rPr>
        <w:t>.</w:t>
      </w:r>
      <w:r>
        <w:rPr>
          <w:rFonts w:eastAsia="仿宋_GB2312"/>
          <w:color w:val="000000"/>
          <w:kern w:val="0"/>
          <w:sz w:val="32"/>
          <w:szCs w:val="32"/>
        </w:rPr>
        <w:t>来技术中心从事研发工作的外部专家人数：指来技术中心从事研究、技术开发工作的具有较高科技开发能力的海内外专家累计人月。最小统计单位为：0.5人月。</w:t>
      </w:r>
    </w:p>
    <w:p w14:paraId="6E07A7CB">
      <w:pPr>
        <w:spacing w:line="600" w:lineRule="exact"/>
        <w:ind w:firstLine="640" w:firstLineChars="200"/>
        <w:rPr>
          <w:rFonts w:eastAsia="仿宋_GB2312"/>
          <w:color w:val="000000"/>
          <w:kern w:val="0"/>
          <w:sz w:val="32"/>
          <w:szCs w:val="32"/>
        </w:rPr>
      </w:pPr>
      <w:r>
        <w:rPr>
          <w:rFonts w:eastAsia="仿宋_GB2312"/>
          <w:color w:val="000000"/>
          <w:kern w:val="0"/>
          <w:sz w:val="32"/>
          <w:szCs w:val="32"/>
        </w:rPr>
        <w:t>8</w:t>
      </w:r>
      <w:r>
        <w:rPr>
          <w:rFonts w:hint="eastAsia" w:eastAsia="仿宋_GB2312"/>
          <w:color w:val="000000"/>
          <w:kern w:val="0"/>
          <w:sz w:val="32"/>
          <w:szCs w:val="32"/>
        </w:rPr>
        <w:t>.</w:t>
      </w:r>
      <w:r>
        <w:rPr>
          <w:rFonts w:eastAsia="仿宋_GB2312"/>
          <w:color w:val="000000"/>
          <w:kern w:val="0"/>
          <w:sz w:val="32"/>
          <w:szCs w:val="32"/>
        </w:rPr>
        <w:t>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14:paraId="6297E16F">
      <w:pPr>
        <w:spacing w:line="600" w:lineRule="exact"/>
        <w:ind w:firstLine="640" w:firstLineChars="200"/>
        <w:rPr>
          <w:rFonts w:eastAsia="仿宋_GB2312"/>
          <w:color w:val="000000"/>
          <w:kern w:val="0"/>
          <w:sz w:val="32"/>
          <w:szCs w:val="32"/>
        </w:rPr>
      </w:pPr>
      <w:r>
        <w:rPr>
          <w:rFonts w:eastAsia="仿宋_GB2312"/>
          <w:color w:val="000000"/>
          <w:kern w:val="0"/>
          <w:sz w:val="32"/>
          <w:szCs w:val="32"/>
        </w:rPr>
        <w:t>9</w:t>
      </w:r>
      <w:r>
        <w:rPr>
          <w:rFonts w:hint="eastAsia" w:eastAsia="仿宋_GB2312"/>
          <w:color w:val="000000"/>
          <w:kern w:val="0"/>
          <w:sz w:val="32"/>
          <w:szCs w:val="32"/>
        </w:rPr>
        <w:t>.</w:t>
      </w:r>
      <w:r>
        <w:rPr>
          <w:rFonts w:eastAsia="仿宋_GB2312"/>
          <w:color w:val="000000"/>
          <w:kern w:val="0"/>
          <w:sz w:val="32"/>
          <w:szCs w:val="32"/>
        </w:rPr>
        <w:t>基础研究和应用研究项目数：指企业全部研发项目中主要以科学原理的探索与发现、技术原理的研究为目标的项目数。</w:t>
      </w:r>
    </w:p>
    <w:p w14:paraId="70115FE4">
      <w:pPr>
        <w:spacing w:line="600" w:lineRule="exact"/>
        <w:ind w:firstLine="640" w:firstLineChars="200"/>
        <w:rPr>
          <w:rFonts w:eastAsia="仿宋_GB2312"/>
          <w:kern w:val="0"/>
          <w:sz w:val="32"/>
          <w:szCs w:val="32"/>
        </w:rPr>
      </w:pPr>
      <w:r>
        <w:rPr>
          <w:rFonts w:eastAsia="仿宋_GB2312"/>
          <w:color w:val="000000"/>
          <w:kern w:val="0"/>
          <w:sz w:val="32"/>
          <w:szCs w:val="32"/>
        </w:rPr>
        <w:t>10</w:t>
      </w:r>
      <w:r>
        <w:rPr>
          <w:rFonts w:hint="eastAsia" w:eastAsia="仿宋_GB2312"/>
          <w:color w:val="000000"/>
          <w:kern w:val="0"/>
          <w:sz w:val="32"/>
          <w:szCs w:val="32"/>
        </w:rPr>
        <w:t>.</w:t>
      </w:r>
      <w:r>
        <w:rPr>
          <w:rFonts w:eastAsia="仿宋_GB2312"/>
          <w:color w:val="000000"/>
          <w:kern w:val="0"/>
          <w:sz w:val="32"/>
          <w:szCs w:val="32"/>
        </w:rPr>
        <w:t>省级及以上研发平台数：指企</w:t>
      </w:r>
      <w:r>
        <w:rPr>
          <w:rFonts w:eastAsia="仿宋_GB2312"/>
          <w:kern w:val="0"/>
          <w:sz w:val="32"/>
          <w:szCs w:val="32"/>
        </w:rPr>
        <w:t>业作为项目法人承担建设、省级以上有关部门归口管理且已获得批复的科技类、研究开发类平台数。</w:t>
      </w:r>
    </w:p>
    <w:p w14:paraId="1AD53B6A">
      <w:pPr>
        <w:spacing w:line="600" w:lineRule="exact"/>
        <w:ind w:firstLine="640" w:firstLineChars="200"/>
        <w:rPr>
          <w:rFonts w:eastAsia="仿宋_GB2312"/>
          <w:kern w:val="0"/>
          <w:sz w:val="32"/>
          <w:szCs w:val="32"/>
        </w:rPr>
      </w:pPr>
      <w:r>
        <w:rPr>
          <w:rFonts w:eastAsia="仿宋_GB2312"/>
          <w:kern w:val="0"/>
          <w:sz w:val="32"/>
          <w:szCs w:val="32"/>
        </w:rPr>
        <w:t>11</w:t>
      </w:r>
      <w:r>
        <w:rPr>
          <w:rFonts w:hint="eastAsia" w:eastAsia="仿宋_GB2312"/>
          <w:kern w:val="0"/>
          <w:sz w:val="32"/>
          <w:szCs w:val="32"/>
        </w:rPr>
        <w:t>.</w:t>
      </w:r>
      <w:r>
        <w:rPr>
          <w:rFonts w:eastAsia="仿宋_GB2312"/>
          <w:kern w:val="0"/>
          <w:sz w:val="32"/>
          <w:szCs w:val="32"/>
        </w:rPr>
        <w:t>通过省级及以上（国际组织）认证的实验室和检测机构数：指通过省级及以上部门和国际组织认证认可的、仍在有效期内的实验室、检验检测机构数。</w:t>
      </w:r>
    </w:p>
    <w:p w14:paraId="4630C29D">
      <w:pPr>
        <w:spacing w:line="600" w:lineRule="exact"/>
        <w:ind w:firstLine="640" w:firstLineChars="200"/>
        <w:rPr>
          <w:rFonts w:eastAsia="仿宋_GB2312"/>
          <w:color w:val="000000"/>
          <w:kern w:val="0"/>
          <w:sz w:val="32"/>
          <w:szCs w:val="32"/>
        </w:rPr>
      </w:pPr>
      <w:r>
        <w:rPr>
          <w:rFonts w:eastAsia="仿宋_GB2312"/>
          <w:color w:val="000000"/>
          <w:kern w:val="0"/>
          <w:sz w:val="32"/>
          <w:szCs w:val="32"/>
        </w:rPr>
        <w:t>12</w:t>
      </w:r>
      <w:r>
        <w:rPr>
          <w:rFonts w:hint="eastAsia" w:eastAsia="仿宋_GB2312"/>
          <w:color w:val="000000"/>
          <w:kern w:val="0"/>
          <w:sz w:val="32"/>
          <w:szCs w:val="32"/>
        </w:rPr>
        <w:t>.</w:t>
      </w:r>
      <w:r>
        <w:rPr>
          <w:rFonts w:eastAsia="仿宋_GB2312"/>
          <w:color w:val="000000"/>
          <w:kern w:val="0"/>
          <w:sz w:val="32"/>
          <w:szCs w:val="32"/>
        </w:rPr>
        <w:t>企业技术开发仪器设备原值：指报告年度末企业用于研发的固定资产中的仪器和设备原价。其中，设备包括用于研发活动的各类机器和设备、试验测量仪器、运输工具、工装工具等。</w:t>
      </w:r>
    </w:p>
    <w:p w14:paraId="4CB8A7B0">
      <w:pPr>
        <w:spacing w:line="600" w:lineRule="exact"/>
        <w:ind w:firstLine="640" w:firstLineChars="200"/>
        <w:rPr>
          <w:rFonts w:eastAsia="仿宋_GB2312"/>
          <w:color w:val="000000"/>
          <w:kern w:val="0"/>
          <w:sz w:val="32"/>
          <w:szCs w:val="32"/>
        </w:rPr>
      </w:pPr>
      <w:r>
        <w:rPr>
          <w:rFonts w:eastAsia="仿宋_GB2312"/>
          <w:color w:val="000000"/>
          <w:kern w:val="0"/>
          <w:sz w:val="32"/>
          <w:szCs w:val="32"/>
        </w:rPr>
        <w:t>13</w:t>
      </w:r>
      <w:r>
        <w:rPr>
          <w:rFonts w:hint="eastAsia" w:eastAsia="仿宋_GB2312"/>
          <w:color w:val="000000"/>
          <w:kern w:val="0"/>
          <w:sz w:val="32"/>
          <w:szCs w:val="32"/>
        </w:rPr>
        <w:t>.</w:t>
      </w:r>
      <w:r>
        <w:rPr>
          <w:rFonts w:eastAsia="仿宋_GB2312"/>
          <w:color w:val="000000"/>
          <w:kern w:val="0"/>
          <w:sz w:val="32"/>
          <w:szCs w:val="32"/>
        </w:rPr>
        <w:t>企业拥有的全部有效发明专利数：指报告年度末企业作为专利权人拥有的、经国内外知识产权行政部门授予且在有效期内的发明专利件数。</w:t>
      </w:r>
    </w:p>
    <w:p w14:paraId="587C303B">
      <w:pPr>
        <w:spacing w:line="600" w:lineRule="exact"/>
        <w:ind w:firstLine="640" w:firstLineChars="200"/>
        <w:rPr>
          <w:rFonts w:eastAsia="仿宋_GB2312"/>
          <w:color w:val="000000"/>
          <w:kern w:val="0"/>
          <w:sz w:val="32"/>
          <w:szCs w:val="32"/>
        </w:rPr>
      </w:pPr>
      <w:r>
        <w:rPr>
          <w:rFonts w:eastAsia="仿宋_GB2312"/>
          <w:color w:val="000000"/>
          <w:kern w:val="0"/>
          <w:sz w:val="32"/>
          <w:szCs w:val="32"/>
        </w:rPr>
        <w:t>14</w:t>
      </w:r>
      <w:r>
        <w:rPr>
          <w:rFonts w:hint="eastAsia" w:eastAsia="仿宋_GB2312"/>
          <w:color w:val="000000"/>
          <w:kern w:val="0"/>
          <w:sz w:val="32"/>
          <w:szCs w:val="32"/>
        </w:rPr>
        <w:t>.</w:t>
      </w:r>
      <w:r>
        <w:rPr>
          <w:rFonts w:eastAsia="仿宋_GB2312"/>
          <w:color w:val="000000"/>
          <w:kern w:val="0"/>
          <w:sz w:val="32"/>
          <w:szCs w:val="32"/>
        </w:rPr>
        <w:t>当年被受理的专利申请数：指报告年度内企业向专利行政部门提出专利申请并被受理的专利件数。</w:t>
      </w:r>
    </w:p>
    <w:p w14:paraId="57E017D5">
      <w:pPr>
        <w:spacing w:line="600" w:lineRule="exact"/>
        <w:ind w:firstLine="640" w:firstLineChars="200"/>
        <w:rPr>
          <w:rFonts w:eastAsia="仿宋_GB2312"/>
          <w:color w:val="000000"/>
          <w:kern w:val="0"/>
          <w:sz w:val="32"/>
          <w:szCs w:val="32"/>
        </w:rPr>
      </w:pPr>
      <w:r>
        <w:rPr>
          <w:rFonts w:eastAsia="仿宋_GB2312"/>
          <w:color w:val="000000"/>
          <w:kern w:val="0"/>
          <w:sz w:val="32"/>
          <w:szCs w:val="32"/>
        </w:rPr>
        <w:t>15</w:t>
      </w:r>
      <w:r>
        <w:rPr>
          <w:rFonts w:hint="eastAsia" w:eastAsia="仿宋_GB2312"/>
          <w:color w:val="000000"/>
          <w:kern w:val="0"/>
          <w:sz w:val="32"/>
          <w:szCs w:val="32"/>
        </w:rPr>
        <w:t>.</w:t>
      </w:r>
      <w:r>
        <w:rPr>
          <w:rFonts w:eastAsia="仿宋_GB2312"/>
          <w:color w:val="000000"/>
          <w:kern w:val="0"/>
          <w:sz w:val="32"/>
          <w:szCs w:val="32"/>
        </w:rPr>
        <w:t>当年被受理的发明专利申请数：指报告年度内企业向专利行政部门提出发明专利申请并被受理的专利件数。</w:t>
      </w:r>
    </w:p>
    <w:p w14:paraId="3F916F80">
      <w:pPr>
        <w:spacing w:line="600" w:lineRule="exact"/>
        <w:ind w:firstLine="640" w:firstLineChars="200"/>
        <w:rPr>
          <w:rFonts w:eastAsia="仿宋_GB2312"/>
          <w:color w:val="000000"/>
          <w:kern w:val="0"/>
          <w:sz w:val="32"/>
          <w:szCs w:val="32"/>
        </w:rPr>
      </w:pPr>
      <w:r>
        <w:rPr>
          <w:rFonts w:eastAsia="仿宋_GB2312"/>
          <w:color w:val="000000"/>
          <w:kern w:val="0"/>
          <w:sz w:val="32"/>
          <w:szCs w:val="32"/>
        </w:rPr>
        <w:t>16</w:t>
      </w:r>
      <w:r>
        <w:rPr>
          <w:rFonts w:hint="eastAsia" w:eastAsia="仿宋_GB2312"/>
          <w:color w:val="000000"/>
          <w:kern w:val="0"/>
          <w:sz w:val="32"/>
          <w:szCs w:val="32"/>
        </w:rPr>
        <w:t>.</w:t>
      </w:r>
      <w:r>
        <w:rPr>
          <w:rFonts w:eastAsia="仿宋_GB2312"/>
          <w:color w:val="000000"/>
          <w:kern w:val="0"/>
          <w:sz w:val="32"/>
          <w:szCs w:val="32"/>
        </w:rPr>
        <w:t>最近三年主持和参加制定的国际、国家和行业标准数：指企业在报告年度、报告年度前一年、报告年度前二年主持或参加制定，目前仍有效执行的国际、国家、行业标准的数量。</w:t>
      </w:r>
    </w:p>
    <w:p w14:paraId="42E4BA40">
      <w:pPr>
        <w:spacing w:line="600" w:lineRule="exact"/>
        <w:ind w:firstLine="640" w:firstLineChars="200"/>
        <w:rPr>
          <w:rFonts w:eastAsia="仿宋_GB2312"/>
          <w:kern w:val="0"/>
          <w:sz w:val="32"/>
          <w:szCs w:val="32"/>
        </w:rPr>
      </w:pPr>
      <w:r>
        <w:rPr>
          <w:rFonts w:eastAsia="仿宋_GB2312"/>
          <w:color w:val="000000"/>
          <w:kern w:val="0"/>
          <w:sz w:val="32"/>
          <w:szCs w:val="32"/>
        </w:rPr>
        <w:t>17</w:t>
      </w:r>
      <w:r>
        <w:rPr>
          <w:rFonts w:hint="eastAsia" w:eastAsia="仿宋_GB2312"/>
          <w:color w:val="000000"/>
          <w:kern w:val="0"/>
          <w:sz w:val="32"/>
          <w:szCs w:val="32"/>
        </w:rPr>
        <w:t>.</w:t>
      </w:r>
      <w:r>
        <w:rPr>
          <w:rFonts w:eastAsia="仿宋_GB2312"/>
          <w:color w:val="000000"/>
          <w:kern w:val="0"/>
          <w:sz w:val="32"/>
          <w:szCs w:val="32"/>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w:t>
      </w:r>
      <w:r>
        <w:rPr>
          <w:rFonts w:eastAsia="仿宋_GB2312"/>
          <w:kern w:val="0"/>
          <w:sz w:val="32"/>
          <w:szCs w:val="32"/>
        </w:rPr>
        <w:t>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14:paraId="2FE85B1D">
      <w:pPr>
        <w:spacing w:line="600" w:lineRule="exact"/>
        <w:ind w:firstLine="640" w:firstLineChars="200"/>
        <w:rPr>
          <w:rFonts w:eastAsia="仿宋_GB2312"/>
          <w:color w:val="000000"/>
          <w:kern w:val="0"/>
          <w:sz w:val="32"/>
          <w:szCs w:val="32"/>
        </w:rPr>
      </w:pPr>
      <w:r>
        <w:rPr>
          <w:rFonts w:eastAsia="仿宋_GB2312"/>
          <w:color w:val="000000"/>
          <w:kern w:val="0"/>
          <w:sz w:val="32"/>
          <w:szCs w:val="32"/>
        </w:rPr>
        <w:t>18</w:t>
      </w:r>
      <w:r>
        <w:rPr>
          <w:rFonts w:hint="eastAsia" w:eastAsia="仿宋_GB2312"/>
          <w:color w:val="000000"/>
          <w:kern w:val="0"/>
          <w:sz w:val="32"/>
          <w:szCs w:val="32"/>
        </w:rPr>
        <w:t>.</w:t>
      </w:r>
      <w:r>
        <w:rPr>
          <w:rFonts w:eastAsia="仿宋_GB2312"/>
          <w:color w:val="000000"/>
          <w:kern w:val="0"/>
          <w:sz w:val="32"/>
          <w:szCs w:val="32"/>
        </w:rPr>
        <w:t>新产品销售利润：指报告年度内企业通过销售新产品实现的销售（营业）利润。</w:t>
      </w:r>
    </w:p>
    <w:p w14:paraId="40912E1E">
      <w:pPr>
        <w:spacing w:line="600" w:lineRule="exact"/>
        <w:ind w:firstLine="640" w:firstLineChars="200"/>
        <w:rPr>
          <w:rFonts w:eastAsia="仿宋_GB2312"/>
          <w:color w:val="000000"/>
          <w:kern w:val="0"/>
          <w:sz w:val="32"/>
          <w:szCs w:val="32"/>
        </w:rPr>
      </w:pPr>
      <w:r>
        <w:rPr>
          <w:rFonts w:eastAsia="仿宋_GB2312"/>
          <w:color w:val="000000"/>
          <w:kern w:val="0"/>
          <w:sz w:val="32"/>
          <w:szCs w:val="32"/>
        </w:rPr>
        <w:t>19</w:t>
      </w:r>
      <w:r>
        <w:rPr>
          <w:rFonts w:hint="eastAsia" w:eastAsia="仿宋_GB2312"/>
          <w:color w:val="000000"/>
          <w:kern w:val="0"/>
          <w:sz w:val="32"/>
          <w:szCs w:val="32"/>
        </w:rPr>
        <w:t>.</w:t>
      </w:r>
      <w:r>
        <w:rPr>
          <w:rFonts w:eastAsia="仿宋_GB2312"/>
          <w:color w:val="000000"/>
          <w:kern w:val="0"/>
          <w:sz w:val="32"/>
          <w:szCs w:val="32"/>
        </w:rPr>
        <w:t>利润总额：指报告年度企业生产经营过程中各种收入扣除各种耗费后的盈余，反映企业在报告期内实现的盈亏总额。</w:t>
      </w:r>
    </w:p>
    <w:p w14:paraId="2D3D6CD4">
      <w:pPr>
        <w:spacing w:line="600" w:lineRule="exact"/>
        <w:ind w:firstLine="640" w:firstLineChars="200"/>
        <w:rPr>
          <w:rFonts w:eastAsia="仿宋_GB2312"/>
          <w:kern w:val="0"/>
          <w:sz w:val="32"/>
          <w:szCs w:val="32"/>
        </w:rPr>
      </w:pPr>
      <w:r>
        <w:rPr>
          <w:rFonts w:eastAsia="仿宋_GB2312"/>
          <w:kern w:val="0"/>
          <w:sz w:val="32"/>
          <w:szCs w:val="32"/>
        </w:rPr>
        <w:t>20</w:t>
      </w:r>
      <w:r>
        <w:rPr>
          <w:rFonts w:hint="eastAsia" w:eastAsia="仿宋_GB2312"/>
          <w:kern w:val="0"/>
          <w:sz w:val="32"/>
          <w:szCs w:val="32"/>
        </w:rPr>
        <w:t>.最近三年</w:t>
      </w:r>
      <w:r>
        <w:rPr>
          <w:rFonts w:eastAsia="仿宋_GB2312"/>
          <w:kern w:val="0"/>
          <w:sz w:val="32"/>
          <w:szCs w:val="32"/>
        </w:rPr>
        <w:t>获省级及以上自然科学、技术发明、科技进步奖项目数：指企业在报告年度、报告年度前一年</w:t>
      </w:r>
      <w:r>
        <w:rPr>
          <w:rFonts w:hint="eastAsia" w:eastAsia="仿宋_GB2312"/>
          <w:kern w:val="0"/>
          <w:sz w:val="32"/>
          <w:szCs w:val="32"/>
        </w:rPr>
        <w:t>、报告年度前二年</w:t>
      </w:r>
      <w:r>
        <w:rPr>
          <w:rFonts w:eastAsia="仿宋_GB2312"/>
          <w:kern w:val="0"/>
          <w:sz w:val="32"/>
          <w:szCs w:val="32"/>
        </w:rPr>
        <w:t>获得的由省政府及以上政府部门设立并颁发的“自然科学奖”、“技术发明奖”和“科学技术进步奖”的项目总数</w:t>
      </w:r>
      <w:r>
        <w:rPr>
          <w:rFonts w:hint="eastAsia" w:eastAsia="仿宋_GB2312"/>
          <w:kern w:val="0"/>
          <w:sz w:val="32"/>
          <w:szCs w:val="32"/>
        </w:rPr>
        <w:t xml:space="preserve">。 </w:t>
      </w:r>
    </w:p>
    <w:p w14:paraId="0B052678">
      <w:pPr>
        <w:spacing w:line="360" w:lineRule="auto"/>
        <w:ind w:firstLine="640" w:firstLineChars="200"/>
        <w:rPr>
          <w:rFonts w:eastAsia="仿宋_GB2312"/>
          <w:kern w:val="0"/>
          <w:sz w:val="32"/>
          <w:szCs w:val="32"/>
        </w:rPr>
      </w:pPr>
      <w:r>
        <w:rPr>
          <w:rFonts w:hint="eastAsia" w:eastAsia="仿宋_GB2312"/>
          <w:kern w:val="0"/>
          <w:sz w:val="32"/>
          <w:szCs w:val="32"/>
        </w:rPr>
        <w:t>21.最近三年获得省级及以上工法数：指建筑企业在报告年度、</w:t>
      </w:r>
      <w:r>
        <w:rPr>
          <w:rFonts w:eastAsia="仿宋_GB2312"/>
          <w:kern w:val="0"/>
          <w:sz w:val="32"/>
          <w:szCs w:val="32"/>
        </w:rPr>
        <w:t>报告年度前一年</w:t>
      </w:r>
      <w:r>
        <w:rPr>
          <w:rFonts w:hint="eastAsia" w:eastAsia="仿宋_GB2312"/>
          <w:kern w:val="0"/>
          <w:sz w:val="32"/>
          <w:szCs w:val="32"/>
        </w:rPr>
        <w:t>、报告年度前二年被评定为国家级、省级工法的数量。</w:t>
      </w:r>
    </w:p>
    <w:p w14:paraId="6143C6CA">
      <w:pPr>
        <w:spacing w:line="360" w:lineRule="auto"/>
        <w:ind w:firstLine="640" w:firstLineChars="200"/>
        <w:rPr>
          <w:rFonts w:ascii="黑体" w:eastAsia="黑体"/>
          <w:color w:val="000000"/>
          <w:kern w:val="0"/>
          <w:sz w:val="32"/>
          <w:szCs w:val="32"/>
        </w:rPr>
      </w:pPr>
      <w:r>
        <w:rPr>
          <w:rFonts w:hint="eastAsia" w:eastAsia="仿宋_GB2312"/>
          <w:kern w:val="0"/>
          <w:sz w:val="32"/>
          <w:szCs w:val="32"/>
        </w:rPr>
        <w:t>22. 最近三年获得的鲁班奖、詹天佑奖及长安杯奖数：指建筑企业在报告年度、</w:t>
      </w:r>
      <w:r>
        <w:rPr>
          <w:rFonts w:eastAsia="仿宋_GB2312"/>
          <w:kern w:val="0"/>
          <w:sz w:val="32"/>
          <w:szCs w:val="32"/>
        </w:rPr>
        <w:t>报告年度前一年</w:t>
      </w:r>
      <w:r>
        <w:rPr>
          <w:rFonts w:hint="eastAsia" w:eastAsia="仿宋_GB2312"/>
          <w:kern w:val="0"/>
          <w:sz w:val="32"/>
          <w:szCs w:val="32"/>
        </w:rPr>
        <w:t>、报告年度前二年获得的鲁班奖、詹天佑奖、长安杯奖数量。</w:t>
      </w:r>
    </w:p>
    <w:p w14:paraId="4D62E59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2E149E4"/>
    <w:rsid w:val="6BFBA9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1773</Words>
  <Characters>1812</Characters>
  <Lines>0</Lines>
  <Paragraphs>0</Paragraphs>
  <TotalTime>0</TotalTime>
  <ScaleCrop>false</ScaleCrop>
  <LinksUpToDate>false</LinksUpToDate>
  <CharactersWithSpaces>1814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卓天网络</cp:lastModifiedBy>
  <dcterms:modified xsi:type="dcterms:W3CDTF">2025-08-20T12:00:44Z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5FC7194CCC004FD2AC7C14098DBB9AFB_13</vt:lpwstr>
  </property>
</Properties>
</file>