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firstLine="0" w:firstLineChars="0"/>
        <w:jc w:val="left"/>
        <w:rPr>
          <w:rFonts w:ascii="黑体" w:hAnsi="黑体" w:eastAsia="黑体"/>
          <w:b w:val="0"/>
          <w:bCs/>
          <w:sz w:val="32"/>
          <w:szCs w:val="32"/>
        </w:rPr>
      </w:pPr>
      <w:r>
        <w:rPr>
          <w:rFonts w:hint="eastAsia" w:ascii="黑体" w:hAnsi="黑体" w:eastAsia="黑体"/>
          <w:b w:val="0"/>
          <w:bCs/>
          <w:sz w:val="32"/>
          <w:szCs w:val="32"/>
        </w:rPr>
        <w:t>附件</w:t>
      </w:r>
    </w:p>
    <w:p>
      <w:pPr>
        <w:pStyle w:val="3"/>
        <w:ind w:firstLine="0" w:firstLineChars="0"/>
        <w:jc w:val="left"/>
        <w:rPr>
          <w:b w:val="0"/>
          <w:bCs/>
        </w:rPr>
      </w:pPr>
    </w:p>
    <w:p>
      <w:pPr>
        <w:autoSpaceDE w:val="0"/>
        <w:spacing w:line="580" w:lineRule="exact"/>
        <w:ind w:firstLine="2200" w:firstLineChars="500"/>
        <w:rPr>
          <w:rFonts w:ascii="方正小标宋简体" w:hAnsi="方正小标宋简体" w:eastAsia="方正小标宋简体"/>
          <w:b w:val="0"/>
          <w:bCs/>
          <w:sz w:val="44"/>
          <w:szCs w:val="44"/>
        </w:rPr>
      </w:pPr>
      <w:r>
        <w:rPr>
          <w:rFonts w:hint="eastAsia" w:ascii="方正小标宋简体" w:hAnsi="方正小标宋简体" w:eastAsia="方正小标宋简体"/>
          <w:b w:val="0"/>
          <w:bCs/>
          <w:sz w:val="44"/>
          <w:szCs w:val="44"/>
        </w:rPr>
        <w:t>创建乡村生态振兴示范</w:t>
      </w:r>
      <w:bookmarkStart w:id="0" w:name="_GoBack"/>
      <w:bookmarkEnd w:id="0"/>
    </w:p>
    <w:p>
      <w:pPr>
        <w:autoSpaceDE w:val="0"/>
        <w:spacing w:line="580" w:lineRule="exact"/>
        <w:jc w:val="center"/>
        <w:rPr>
          <w:b w:val="0"/>
          <w:bCs/>
          <w:szCs w:val="21"/>
        </w:rPr>
      </w:pPr>
      <w:r>
        <w:rPr>
          <w:rFonts w:hint="eastAsia" w:ascii="方正小标宋简体" w:hAnsi="方正小标宋简体" w:eastAsia="方正小标宋简体"/>
          <w:b w:val="0"/>
          <w:bCs/>
          <w:sz w:val="44"/>
          <w:szCs w:val="44"/>
        </w:rPr>
        <w:t>县（市、区）相关标准要求</w:t>
      </w:r>
    </w:p>
    <w:p>
      <w:pPr>
        <w:autoSpaceDE w:val="0"/>
        <w:adjustRightInd w:val="0"/>
        <w:snapToGrid w:val="0"/>
        <w:spacing w:line="580" w:lineRule="exact"/>
        <w:ind w:firstLine="640" w:firstLineChars="200"/>
        <w:rPr>
          <w:rStyle w:val="10"/>
          <w:rFonts w:hint="eastAsia" w:ascii="方正黑体_GBK" w:hAnsi="方正黑体_GBK"/>
          <w:b w:val="0"/>
          <w:bCs/>
          <w:color w:val="000000"/>
          <w:sz w:val="32"/>
          <w:szCs w:val="32"/>
          <w:shd w:val="clear" w:color="auto" w:fill="FFFFFF"/>
        </w:rPr>
      </w:pPr>
      <w:r>
        <w:rPr>
          <w:rStyle w:val="10"/>
          <w:rFonts w:ascii="方正黑体_GBK" w:hAnsi="方正黑体_GBK"/>
          <w:b w:val="0"/>
          <w:bCs/>
          <w:color w:val="000000"/>
          <w:sz w:val="32"/>
          <w:szCs w:val="32"/>
          <w:shd w:val="clear" w:color="auto" w:fill="FFFFFF"/>
        </w:rPr>
        <w:t xml:space="preserve"> </w:t>
      </w:r>
    </w:p>
    <w:p>
      <w:pPr>
        <w:autoSpaceDE w:val="0"/>
        <w:adjustRightInd w:val="0"/>
        <w:snapToGrid w:val="0"/>
        <w:spacing w:line="580" w:lineRule="exact"/>
        <w:ind w:firstLine="640" w:firstLineChars="200"/>
        <w:rPr>
          <w:rStyle w:val="10"/>
          <w:rFonts w:ascii="黑体" w:hAnsi="黑体" w:eastAsia="黑体"/>
          <w:b w:val="0"/>
          <w:bCs/>
          <w:color w:val="000000"/>
          <w:sz w:val="32"/>
          <w:szCs w:val="32"/>
          <w:shd w:val="clear" w:color="auto" w:fill="FFFFFF"/>
        </w:rPr>
      </w:pPr>
      <w:r>
        <w:rPr>
          <w:rStyle w:val="10"/>
          <w:rFonts w:ascii="黑体" w:hAnsi="黑体" w:eastAsia="黑体"/>
          <w:b w:val="0"/>
          <w:bCs/>
          <w:color w:val="000000"/>
          <w:sz w:val="32"/>
          <w:szCs w:val="32"/>
          <w:shd w:val="clear" w:color="auto" w:fill="FFFFFF"/>
        </w:rPr>
        <w:t>一、农村生活污水治理相关要求</w:t>
      </w:r>
    </w:p>
    <w:p>
      <w:pPr>
        <w:autoSpaceDE w:val="0"/>
        <w:spacing w:line="580" w:lineRule="exact"/>
        <w:ind w:firstLine="640" w:firstLineChars="200"/>
        <w:rPr>
          <w:rFonts w:ascii="仿宋_GB2312" w:eastAsia="仿宋_GB2312"/>
          <w:b w:val="0"/>
          <w:bCs/>
        </w:rPr>
      </w:pPr>
      <w:r>
        <w:rPr>
          <w:rFonts w:hint="eastAsia" w:ascii="楷体_GB2312" w:hAnsi="楷体" w:eastAsia="楷体_GB2312"/>
          <w:b w:val="0"/>
          <w:bCs/>
          <w:sz w:val="32"/>
          <w:szCs w:val="32"/>
        </w:rPr>
        <w:t>（一）因地制宜选取处理模式。</w:t>
      </w:r>
      <w:r>
        <w:rPr>
          <w:rFonts w:hint="eastAsia" w:ascii="仿宋_GB2312" w:eastAsia="仿宋_GB2312"/>
          <w:b w:val="0"/>
          <w:bCs/>
          <w:sz w:val="32"/>
          <w:szCs w:val="32"/>
        </w:rPr>
        <w:t>通过纳入城镇污水管网、建设集中或分散式污水处理设施、就地就近资源化利用等，将污水进行有效治理，对周边环境没有造成明显污染。</w:t>
      </w:r>
    </w:p>
    <w:p>
      <w:pPr>
        <w:autoSpaceDE w:val="0"/>
        <w:spacing w:line="580" w:lineRule="exact"/>
        <w:ind w:firstLine="640" w:firstLineChars="200"/>
        <w:rPr>
          <w:rFonts w:ascii="仿宋_GB2312" w:eastAsia="仿宋_GB2312"/>
          <w:b w:val="0"/>
          <w:bCs/>
          <w:sz w:val="32"/>
          <w:szCs w:val="32"/>
        </w:rPr>
      </w:pPr>
      <w:r>
        <w:rPr>
          <w:rFonts w:hint="eastAsia" w:ascii="楷体_GB2312" w:hAnsi="楷体" w:eastAsia="楷体_GB2312"/>
          <w:b w:val="0"/>
          <w:bCs/>
          <w:sz w:val="32"/>
          <w:szCs w:val="32"/>
        </w:rPr>
        <w:t>（二）科学合理选择工艺路线。</w:t>
      </w:r>
      <w:r>
        <w:rPr>
          <w:rFonts w:hint="eastAsia" w:ascii="仿宋_GB2312" w:eastAsia="仿宋_GB2312"/>
          <w:b w:val="0"/>
          <w:bCs/>
          <w:sz w:val="32"/>
          <w:szCs w:val="32"/>
        </w:rPr>
        <w:t>推广低成本、低能耗、好维护、高效率的污水处理技术，分类实施农村生活污水治理。按照国家和地方标准规范要求，对农村生活污水进行收集处理或就地就近资源化利用，实现污水应治尽治，无厕所粪污直排、污水乱排乱放现象。</w:t>
      </w:r>
    </w:p>
    <w:p>
      <w:pPr>
        <w:autoSpaceDE w:val="0"/>
        <w:spacing w:line="580" w:lineRule="exact"/>
        <w:ind w:firstLine="640" w:firstLineChars="200"/>
        <w:rPr>
          <w:b w:val="0"/>
          <w:bCs/>
          <w:sz w:val="32"/>
          <w:szCs w:val="32"/>
        </w:rPr>
      </w:pPr>
      <w:r>
        <w:rPr>
          <w:rFonts w:hint="eastAsia" w:ascii="楷体_GB2312" w:hAnsi="楷体" w:eastAsia="楷体_GB2312"/>
          <w:b w:val="0"/>
          <w:bCs/>
          <w:sz w:val="32"/>
          <w:szCs w:val="32"/>
        </w:rPr>
        <w:t>（三）加强设施运行监管。</w:t>
      </w:r>
      <w:r>
        <w:rPr>
          <w:rFonts w:hint="eastAsia" w:ascii="仿宋_GB2312" w:eastAsia="仿宋_GB2312"/>
          <w:b w:val="0"/>
          <w:bCs/>
          <w:sz w:val="32"/>
          <w:szCs w:val="32"/>
        </w:rPr>
        <w:t>对日处理20吨及以上的污水处理设施出水进行定期监测，出水水质达到《农村生活污水处理设施水污染物排放标准》（DB61/1227-2018）。原则上，每个自然村内60%以上的农户，且每个行政村内60%以上的自然村完成生活污水处理或资源化利用，基本消除污水乱排乱放现象，不引起环境质量显著下降，全面消除农村黑臭水体。</w:t>
      </w:r>
    </w:p>
    <w:p>
      <w:pPr>
        <w:autoSpaceDE w:val="0"/>
        <w:adjustRightInd w:val="0"/>
        <w:snapToGrid w:val="0"/>
        <w:spacing w:line="580" w:lineRule="exact"/>
        <w:ind w:firstLine="640" w:firstLineChars="200"/>
        <w:rPr>
          <w:rStyle w:val="10"/>
          <w:rFonts w:ascii="黑体" w:hAnsi="黑体" w:eastAsia="黑体"/>
          <w:b w:val="0"/>
          <w:bCs/>
          <w:color w:val="000000"/>
          <w:shd w:val="clear" w:color="auto" w:fill="FFFFFF"/>
        </w:rPr>
      </w:pPr>
      <w:r>
        <w:rPr>
          <w:rStyle w:val="10"/>
          <w:rFonts w:ascii="方正黑体_GBK" w:hAnsi="方正黑体_GBK"/>
          <w:b w:val="0"/>
          <w:bCs/>
          <w:color w:val="000000"/>
          <w:sz w:val="32"/>
          <w:szCs w:val="32"/>
          <w:shd w:val="clear" w:color="auto" w:fill="FFFFFF"/>
        </w:rPr>
        <w:t xml:space="preserve"> </w:t>
      </w:r>
      <w:r>
        <w:rPr>
          <w:rStyle w:val="10"/>
          <w:rFonts w:ascii="黑体" w:hAnsi="黑体" w:eastAsia="黑体"/>
          <w:b w:val="0"/>
          <w:bCs/>
          <w:color w:val="000000"/>
          <w:sz w:val="32"/>
          <w:szCs w:val="32"/>
          <w:shd w:val="clear" w:color="auto" w:fill="FFFFFF"/>
        </w:rPr>
        <w:t>二、农村生活垃圾治理相关标准</w:t>
      </w:r>
    </w:p>
    <w:p>
      <w:pPr>
        <w:autoSpaceDE w:val="0"/>
        <w:adjustRightInd w:val="0"/>
        <w:snapToGrid w:val="0"/>
        <w:spacing w:line="580" w:lineRule="exact"/>
        <w:ind w:firstLine="640" w:firstLineChars="200"/>
        <w:rPr>
          <w:rFonts w:ascii="仿宋_GB2312" w:eastAsia="仿宋_GB2312"/>
          <w:b w:val="0"/>
          <w:bCs/>
        </w:rPr>
      </w:pPr>
      <w:r>
        <w:rPr>
          <w:rFonts w:hint="eastAsia" w:ascii="楷体_GB2312" w:hAnsi="楷体" w:eastAsia="楷体_GB2312"/>
          <w:b w:val="0"/>
          <w:bCs/>
          <w:sz w:val="32"/>
          <w:szCs w:val="32"/>
        </w:rPr>
        <w:t>（一）有完备的设施设备。</w:t>
      </w:r>
      <w:r>
        <w:rPr>
          <w:rFonts w:hint="eastAsia" w:ascii="仿宋_GB2312" w:eastAsia="仿宋_GB2312"/>
          <w:b w:val="0"/>
          <w:bCs/>
          <w:sz w:val="32"/>
          <w:szCs w:val="32"/>
        </w:rPr>
        <w:t>建设生活垃圾终端无害化处理设施，建设垃圾转运站、垃圾收集站、垃圾收集点，配备各类型垃圾运输车辆，配备镇区、村委会、自然村钩臂箱、公用垃圾桶等，再生资源、有害有毒垃圾的收集体系建设等规模、数量基本符合要求，运行基本正常，90%的行政村生活垃圾得到有效收集、转运和处理。</w:t>
      </w:r>
    </w:p>
    <w:p>
      <w:pPr>
        <w:autoSpaceDE w:val="0"/>
        <w:adjustRightInd w:val="0"/>
        <w:snapToGrid w:val="0"/>
        <w:spacing w:line="580" w:lineRule="exact"/>
        <w:ind w:firstLine="640" w:firstLineChars="200"/>
        <w:rPr>
          <w:rFonts w:ascii="仿宋_GB2312" w:eastAsia="仿宋_GB2312"/>
          <w:b w:val="0"/>
          <w:bCs/>
          <w:sz w:val="32"/>
          <w:szCs w:val="32"/>
        </w:rPr>
      </w:pPr>
      <w:r>
        <w:rPr>
          <w:rFonts w:hint="eastAsia" w:ascii="楷体_GB2312" w:hAnsi="楷体" w:eastAsia="楷体_GB2312"/>
          <w:b w:val="0"/>
          <w:bCs/>
          <w:sz w:val="32"/>
          <w:szCs w:val="32"/>
        </w:rPr>
        <w:t>（二）有成熟的治理技术。</w:t>
      </w:r>
      <w:r>
        <w:rPr>
          <w:rFonts w:hint="eastAsia" w:ascii="仿宋_GB2312" w:eastAsia="仿宋_GB2312"/>
          <w:b w:val="0"/>
          <w:bCs/>
          <w:sz w:val="32"/>
          <w:szCs w:val="32"/>
        </w:rPr>
        <w:t>建立符合农村实际的收集、转运和处理技术模式，垃圾就地分类减量和资源回收后，外运处理类垃圾基本进入终端无害化处理设施处理。处理工艺不存在严重的二次污染，基本消除露天焚烧和无防渗措施的堆埋。</w:t>
      </w:r>
    </w:p>
    <w:p>
      <w:pPr>
        <w:autoSpaceDE w:val="0"/>
        <w:adjustRightInd w:val="0"/>
        <w:snapToGrid w:val="0"/>
        <w:spacing w:line="580" w:lineRule="exact"/>
        <w:ind w:firstLine="640" w:firstLineChars="200"/>
        <w:rPr>
          <w:rFonts w:ascii="仿宋_GB2312" w:eastAsia="仿宋_GB2312"/>
          <w:b w:val="0"/>
          <w:bCs/>
          <w:sz w:val="32"/>
          <w:szCs w:val="32"/>
        </w:rPr>
      </w:pPr>
      <w:r>
        <w:rPr>
          <w:rFonts w:hint="eastAsia" w:ascii="楷体_GB2312" w:hAnsi="楷体" w:eastAsia="楷体_GB2312"/>
          <w:b w:val="0"/>
          <w:bCs/>
          <w:sz w:val="32"/>
          <w:szCs w:val="32"/>
        </w:rPr>
        <w:t>（三）有稳定的保洁队伍。</w:t>
      </w:r>
      <w:r>
        <w:rPr>
          <w:rFonts w:hint="eastAsia" w:ascii="仿宋_GB2312" w:eastAsia="仿宋_GB2312"/>
          <w:b w:val="0"/>
          <w:bCs/>
          <w:sz w:val="32"/>
          <w:szCs w:val="32"/>
        </w:rPr>
        <w:t>普遍建立村庄保洁制度，制定群众接受的“村规民约”。因地制宜选择采取聘用村级保洁员，或向社会统一购买服务，或由村民轮值保洁，或由村民承包等多种方式做好村庄生活垃圾收集、公共区域卫生保洁、村庄垃圾清扫保洁设施设备维护保管等工作，村庄保洁人员数量基本满足要求，队伍较为稳定。</w:t>
      </w:r>
    </w:p>
    <w:p>
      <w:pPr>
        <w:autoSpaceDE w:val="0"/>
        <w:adjustRightInd w:val="0"/>
        <w:snapToGrid w:val="0"/>
        <w:spacing w:line="580" w:lineRule="exact"/>
        <w:ind w:firstLine="640" w:firstLineChars="200"/>
        <w:rPr>
          <w:rFonts w:ascii="仿宋_GB2312" w:eastAsia="仿宋_GB2312"/>
          <w:b w:val="0"/>
          <w:bCs/>
          <w:sz w:val="32"/>
          <w:szCs w:val="32"/>
        </w:rPr>
      </w:pPr>
      <w:r>
        <w:rPr>
          <w:rFonts w:hint="eastAsia" w:ascii="楷体_GB2312" w:hAnsi="楷体" w:eastAsia="楷体_GB2312"/>
          <w:b w:val="0"/>
          <w:bCs/>
          <w:sz w:val="32"/>
          <w:szCs w:val="32"/>
        </w:rPr>
        <w:t>（四）有完善的监管制度。</w:t>
      </w:r>
      <w:r>
        <w:rPr>
          <w:rFonts w:hint="eastAsia" w:ascii="仿宋_GB2312" w:eastAsia="仿宋_GB2312"/>
          <w:b w:val="0"/>
          <w:bCs/>
          <w:sz w:val="32"/>
          <w:szCs w:val="32"/>
        </w:rPr>
        <w:t>市、县（区）、乡镇建立领导亲自抓、多部门参与、目标明确、责任清晰的组织领导体系和考核机制；市、县（区）政府或相关部门制定相关规划或实施方案，建立微信、信息或广播电视等多种形式的监督制度并有相应的奖惩措施；农民群众对农村生活垃圾治理的满意率达90%以上。</w:t>
      </w:r>
    </w:p>
    <w:p>
      <w:pPr>
        <w:autoSpaceDE w:val="0"/>
        <w:adjustRightInd w:val="0"/>
        <w:snapToGrid w:val="0"/>
        <w:spacing w:line="580" w:lineRule="exact"/>
        <w:ind w:firstLine="640" w:firstLineChars="200"/>
        <w:rPr>
          <w:rFonts w:ascii="仿宋_GB2312" w:eastAsia="仿宋_GB2312"/>
          <w:b w:val="0"/>
          <w:bCs/>
          <w:sz w:val="32"/>
          <w:szCs w:val="32"/>
        </w:rPr>
      </w:pPr>
      <w:r>
        <w:rPr>
          <w:rFonts w:hint="eastAsia" w:ascii="楷体_GB2312" w:hAnsi="楷体" w:eastAsia="楷体_GB2312"/>
          <w:b w:val="0"/>
          <w:bCs/>
          <w:sz w:val="32"/>
          <w:szCs w:val="32"/>
        </w:rPr>
        <w:t>（五）有长效的资金保障。</w:t>
      </w:r>
      <w:r>
        <w:rPr>
          <w:rFonts w:hint="eastAsia" w:ascii="仿宋_GB2312" w:eastAsia="仿宋_GB2312"/>
          <w:b w:val="0"/>
          <w:bCs/>
          <w:sz w:val="32"/>
          <w:szCs w:val="32"/>
        </w:rPr>
        <w:t>建立市、县（区）级农村生活垃圾治理经费保障机构。因地制宜通过财政补助、社会帮扶、村镇自筹、村民适当缴费等方式筹集运行维护资金。市、县（区）人民政府安排经费支出，确保长效运行维护。</w:t>
      </w:r>
    </w:p>
    <w:p>
      <w:pPr>
        <w:autoSpaceDE w:val="0"/>
        <w:adjustRightInd w:val="0"/>
        <w:snapToGrid w:val="0"/>
        <w:spacing w:line="580" w:lineRule="exact"/>
        <w:ind w:firstLine="640" w:firstLineChars="200"/>
        <w:rPr>
          <w:rStyle w:val="10"/>
          <w:rFonts w:ascii="黑体" w:hAnsi="黑体" w:eastAsia="黑体"/>
          <w:b w:val="0"/>
          <w:bCs/>
          <w:color w:val="000000"/>
          <w:shd w:val="clear" w:color="auto" w:fill="FFFFFF"/>
        </w:rPr>
      </w:pPr>
      <w:r>
        <w:rPr>
          <w:rStyle w:val="10"/>
          <w:rFonts w:ascii="黑体" w:hAnsi="黑体" w:eastAsia="黑体"/>
          <w:b w:val="0"/>
          <w:bCs/>
          <w:color w:val="000000"/>
          <w:sz w:val="32"/>
          <w:szCs w:val="32"/>
          <w:shd w:val="clear" w:color="auto" w:fill="FFFFFF"/>
        </w:rPr>
        <w:t>三、农业面源污染治理相关要求</w:t>
      </w:r>
    </w:p>
    <w:p>
      <w:pPr>
        <w:autoSpaceDE w:val="0"/>
        <w:spacing w:line="580" w:lineRule="exact"/>
        <w:ind w:firstLine="640" w:firstLineChars="200"/>
        <w:rPr>
          <w:rFonts w:ascii="仿宋_GB2312" w:eastAsia="仿宋_GB2312"/>
          <w:b w:val="0"/>
          <w:bCs/>
          <w:sz w:val="32"/>
          <w:szCs w:val="32"/>
        </w:rPr>
      </w:pPr>
      <w:r>
        <w:rPr>
          <w:rFonts w:hint="eastAsia" w:ascii="楷体_GB2312" w:hAnsi="楷体" w:eastAsia="楷体_GB2312"/>
          <w:b w:val="0"/>
          <w:bCs/>
          <w:sz w:val="32"/>
          <w:szCs w:val="32"/>
        </w:rPr>
        <w:t>（一）加大废旧农膜回收利用。</w:t>
      </w:r>
      <w:r>
        <w:rPr>
          <w:rFonts w:hint="eastAsia" w:ascii="仿宋_GB2312" w:eastAsia="仿宋_GB2312"/>
          <w:b w:val="0"/>
          <w:bCs/>
          <w:sz w:val="32"/>
          <w:szCs w:val="32"/>
        </w:rPr>
        <w:t>按照政府扶持、多方参与的原则，采取措施鼓励、支持单位和个人回收农用薄膜，政府要按照农膜产生分布情况，分类设立固定和临时农膜回收点，回收利用率达到83%。农用薄膜使用者应当在使用期限到期前捡拾田间的非全生物降解农用薄膜废弃物，交至回收网点或回收工作者，不得随意弃置、掩埋或者焚烧。农用薄膜生产者、销售者、回收网点、废旧农用薄膜回收再利用企业或其他组织等应当开展合作，采取多种方式，建立健全农用薄膜回收利用体系，探索回收利用机制，推动废旧农用薄膜回收、处理和再利用。农用薄膜回收网点和回收再利用企业应当依法建立回收台账，如实记录废旧农用薄膜的重量、体积、杂质、缴膜人名称及其联系方式、回收时间等内容，回收台账应当至少保存两年。</w:t>
      </w:r>
    </w:p>
    <w:p>
      <w:pPr>
        <w:autoSpaceDE w:val="0"/>
        <w:spacing w:line="580" w:lineRule="exact"/>
        <w:ind w:firstLine="640" w:firstLineChars="200"/>
        <w:rPr>
          <w:rFonts w:ascii="仿宋_GB2312" w:eastAsia="仿宋_GB2312"/>
          <w:b w:val="0"/>
          <w:bCs/>
        </w:rPr>
      </w:pPr>
      <w:r>
        <w:rPr>
          <w:rFonts w:hint="eastAsia" w:ascii="楷体_GB2312" w:hAnsi="楷体" w:eastAsia="楷体_GB2312"/>
          <w:b w:val="0"/>
          <w:bCs/>
          <w:sz w:val="32"/>
          <w:szCs w:val="32"/>
        </w:rPr>
        <w:t>（二）全面提升秸秆综合利用水平。</w:t>
      </w:r>
      <w:r>
        <w:rPr>
          <w:rFonts w:hint="eastAsia" w:ascii="仿宋_GB2312" w:eastAsia="仿宋_GB2312"/>
          <w:b w:val="0"/>
          <w:bCs/>
          <w:sz w:val="32"/>
          <w:szCs w:val="32"/>
        </w:rPr>
        <w:t>以秸秆“肥料化、饲料化”利用为主攻方向，推广秸秆机械化粉碎还田、腐熟还田、生物反应堆、秸秆有机肥生产等秸秆肥料化利用技术，以及秸秆青贮、氨化、微贮、颗粒饲料制造及玉米秸秆捡拾打捆储存等秸秆饲料化利用技术，秸秆综合利用率达到90%以上。健全秸秆收储供应体系，提高秸秆商品化收储和供应能力，提升产业化利用水平。因地制宜、农用优先、政府引导、市场运作，不断完善秸秆资源台账制度，推进秸秆利用运行长效化机制，提高秸秆综合利用水平。</w:t>
      </w:r>
    </w:p>
    <w:p>
      <w:pPr>
        <w:autoSpaceDE w:val="0"/>
        <w:spacing w:line="580" w:lineRule="exact"/>
        <w:ind w:firstLine="640" w:firstLineChars="200"/>
        <w:rPr>
          <w:rFonts w:ascii="仿宋_GB2312" w:eastAsia="仿宋_GB2312"/>
          <w:b w:val="0"/>
          <w:bCs/>
          <w:sz w:val="32"/>
          <w:szCs w:val="32"/>
        </w:rPr>
      </w:pPr>
      <w:r>
        <w:rPr>
          <w:rFonts w:hint="eastAsia" w:ascii="楷体_GB2312" w:hAnsi="楷体" w:eastAsia="楷体_GB2312"/>
          <w:b w:val="0"/>
          <w:bCs/>
          <w:sz w:val="32"/>
          <w:szCs w:val="32"/>
        </w:rPr>
        <w:t>（三）提高畜禽粪污资源化利用程度。</w:t>
      </w:r>
      <w:r>
        <w:rPr>
          <w:rFonts w:hint="eastAsia" w:ascii="仿宋_GB2312" w:eastAsia="仿宋_GB2312"/>
          <w:b w:val="0"/>
          <w:bCs/>
          <w:sz w:val="32"/>
          <w:szCs w:val="32"/>
        </w:rPr>
        <w:t>坚持生态绿色发展，优化产业布局，引导养殖业向潜力区转移，加快构建农牧结合、种养循环发展方式。认真实施畜禽粪污资源化利用重点项目，提高规模养殖场粪污处理设施装备水平，支持畜禽散养密集区内规模以下养殖户补齐工艺、设施短板。配套建设粪肥田间贮存池、沼液输送管网、沼液施用设施等，打通粪肥还田通道，促进种养结合、农牧循环、就地就近消纳利用。鼓励畜禽粪肥施用社会化服务组织发展，实现畜禽粪污资源化利用多渠道、多形式、多途径发展，资源化利用率达到95%以上。</w:t>
      </w:r>
    </w:p>
    <w:p>
      <w:pPr>
        <w:autoSpaceDE w:val="0"/>
        <w:adjustRightInd w:val="0"/>
        <w:snapToGrid w:val="0"/>
        <w:spacing w:line="580" w:lineRule="exact"/>
        <w:ind w:firstLine="640" w:firstLineChars="200"/>
        <w:rPr>
          <w:rStyle w:val="10"/>
          <w:rFonts w:ascii="黑体" w:hAnsi="黑体" w:eastAsia="黑体"/>
          <w:b w:val="0"/>
          <w:bCs/>
          <w:color w:val="000000"/>
          <w:shd w:val="clear" w:color="auto" w:fill="FFFFFF"/>
        </w:rPr>
      </w:pPr>
      <w:r>
        <w:rPr>
          <w:rStyle w:val="10"/>
          <w:rFonts w:ascii="黑体" w:hAnsi="黑体" w:eastAsia="黑体"/>
          <w:b w:val="0"/>
          <w:bCs/>
          <w:color w:val="000000"/>
          <w:sz w:val="32"/>
          <w:szCs w:val="32"/>
          <w:shd w:val="clear" w:color="auto" w:fill="FFFFFF"/>
        </w:rPr>
        <w:t>四、农村无害化户厕建设相关标准</w:t>
      </w:r>
    </w:p>
    <w:p>
      <w:pPr>
        <w:autoSpaceDE w:val="0"/>
        <w:adjustRightInd w:val="0"/>
        <w:snapToGrid w:val="0"/>
        <w:spacing w:line="580" w:lineRule="exact"/>
        <w:ind w:firstLine="640" w:firstLineChars="200"/>
        <w:rPr>
          <w:rFonts w:ascii="楷体_GB2312" w:hAnsi="楷体" w:eastAsia="楷体_GB2312"/>
          <w:b w:val="0"/>
          <w:bCs/>
          <w:sz w:val="32"/>
          <w:szCs w:val="32"/>
        </w:rPr>
      </w:pPr>
      <w:r>
        <w:rPr>
          <w:rFonts w:hint="eastAsia" w:ascii="楷体_GB2312" w:hAnsi="楷体" w:eastAsia="楷体_GB2312"/>
          <w:b w:val="0"/>
          <w:bCs/>
          <w:sz w:val="32"/>
          <w:szCs w:val="32"/>
        </w:rPr>
        <w:t>（一）建造无害化户厕的要求</w:t>
      </w:r>
    </w:p>
    <w:p>
      <w:pPr>
        <w:autoSpaceDE w:val="0"/>
        <w:spacing w:line="580" w:lineRule="exact"/>
        <w:ind w:firstLine="640" w:firstLineChars="200"/>
        <w:rPr>
          <w:rFonts w:ascii="仿宋_GB2312" w:eastAsia="仿宋_GB2312"/>
          <w:b w:val="0"/>
          <w:bCs/>
          <w:sz w:val="32"/>
          <w:szCs w:val="32"/>
        </w:rPr>
      </w:pPr>
      <w:r>
        <w:rPr>
          <w:rFonts w:hint="eastAsia" w:ascii="仿宋_GB2312" w:eastAsia="仿宋_GB2312"/>
          <w:b w:val="0"/>
          <w:bCs/>
          <w:sz w:val="32"/>
          <w:szCs w:val="32"/>
        </w:rPr>
        <w:t>厕屋应尽可能离居室较近，做到厕所进院入室，以便管理和使用；根据当地常年主导风向，户厕宜建在居室、厨房下风向；</w:t>
      </w:r>
    </w:p>
    <w:p>
      <w:pPr>
        <w:autoSpaceDE w:val="0"/>
        <w:spacing w:line="580" w:lineRule="exact"/>
        <w:rPr>
          <w:rFonts w:ascii="仿宋_GB2312" w:eastAsia="仿宋_GB2312"/>
          <w:b w:val="0"/>
          <w:bCs/>
          <w:sz w:val="32"/>
          <w:szCs w:val="32"/>
        </w:rPr>
      </w:pPr>
      <w:r>
        <w:rPr>
          <w:rFonts w:hint="eastAsia" w:ascii="仿宋_GB2312" w:eastAsia="仿宋_GB2312"/>
          <w:b w:val="0"/>
          <w:bCs/>
          <w:sz w:val="32"/>
          <w:szCs w:val="32"/>
        </w:rPr>
        <w:t>厕所应尽量远离水井和其他地下取水构筑物；厕屋建设可利用房屋、围墙等原有墙体，降低造价；厕所地下部分应建在房屋或围墙外，以便于出粪清渣和管理维护；户厕建造应合理布局，符合村庄整体规划，不宜建于主要道路两侧。</w:t>
      </w:r>
    </w:p>
    <w:p>
      <w:pPr>
        <w:autoSpaceDE w:val="0"/>
        <w:adjustRightInd w:val="0"/>
        <w:snapToGrid w:val="0"/>
        <w:spacing w:line="580" w:lineRule="exact"/>
        <w:ind w:firstLine="640" w:firstLineChars="200"/>
        <w:rPr>
          <w:rFonts w:ascii="楷体_GB2312" w:hAnsi="楷体" w:eastAsia="楷体_GB2312"/>
          <w:b w:val="0"/>
          <w:bCs/>
          <w:sz w:val="32"/>
          <w:szCs w:val="32"/>
        </w:rPr>
      </w:pPr>
      <w:r>
        <w:rPr>
          <w:rFonts w:hint="eastAsia" w:ascii="楷体_GB2312" w:hAnsi="楷体" w:eastAsia="楷体_GB2312"/>
          <w:b w:val="0"/>
          <w:bCs/>
          <w:sz w:val="32"/>
          <w:szCs w:val="32"/>
        </w:rPr>
        <w:t>（二）无害化户厕类型</w:t>
      </w:r>
    </w:p>
    <w:p>
      <w:pPr>
        <w:autoSpaceDE w:val="0"/>
        <w:adjustRightInd w:val="0"/>
        <w:snapToGrid w:val="0"/>
        <w:spacing w:line="580" w:lineRule="exact"/>
        <w:ind w:firstLine="640" w:firstLineChars="200"/>
        <w:rPr>
          <w:rFonts w:ascii="仿宋_GB2312" w:eastAsia="仿宋_GB2312"/>
          <w:b w:val="0"/>
          <w:bCs/>
          <w:sz w:val="32"/>
          <w:szCs w:val="32"/>
        </w:rPr>
      </w:pPr>
      <w:r>
        <w:rPr>
          <w:rFonts w:hint="eastAsia" w:ascii="仿宋_GB2312" w:eastAsia="仿宋_GB2312"/>
          <w:b w:val="0"/>
          <w:bCs/>
          <w:sz w:val="32"/>
          <w:szCs w:val="32"/>
        </w:rPr>
        <w:t>农村无害化户改厕推荐类型：三格化粪池式、双翁漏斗式、</w:t>
      </w:r>
      <w:r>
        <w:rPr>
          <w:rFonts w:hint="eastAsia" w:ascii="仿宋_GB2312" w:eastAsia="仿宋_GB2312"/>
          <w:b w:val="0"/>
          <w:bCs/>
          <w:spacing w:val="-6"/>
          <w:sz w:val="32"/>
          <w:szCs w:val="32"/>
        </w:rPr>
        <w:t>完整上下水道水冲式等类型，便器可采用蹲便器或节水防冻坐便器。</w:t>
      </w:r>
    </w:p>
    <w:p>
      <w:pPr>
        <w:autoSpaceDE w:val="0"/>
        <w:adjustRightInd w:val="0"/>
        <w:snapToGrid w:val="0"/>
        <w:spacing w:line="580" w:lineRule="exact"/>
        <w:ind w:firstLine="640" w:firstLineChars="200"/>
        <w:rPr>
          <w:rFonts w:ascii="楷体_GB2312" w:hAnsi="楷体" w:eastAsia="楷体_GB2312"/>
          <w:b w:val="0"/>
          <w:bCs/>
          <w:sz w:val="32"/>
          <w:szCs w:val="32"/>
        </w:rPr>
      </w:pPr>
      <w:r>
        <w:rPr>
          <w:rFonts w:hint="eastAsia" w:ascii="楷体_GB2312" w:hAnsi="楷体" w:eastAsia="楷体_GB2312"/>
          <w:b w:val="0"/>
          <w:bCs/>
          <w:sz w:val="32"/>
          <w:szCs w:val="32"/>
        </w:rPr>
        <w:t>（三）无害化户厕厕具标准</w:t>
      </w:r>
    </w:p>
    <w:p>
      <w:pPr>
        <w:autoSpaceDE w:val="0"/>
        <w:spacing w:line="580" w:lineRule="exact"/>
        <w:ind w:firstLine="640" w:firstLineChars="200"/>
        <w:rPr>
          <w:rFonts w:ascii="仿宋_GB2312" w:eastAsia="仿宋_GB2312"/>
          <w:b w:val="0"/>
          <w:bCs/>
          <w:sz w:val="32"/>
          <w:szCs w:val="32"/>
        </w:rPr>
      </w:pPr>
      <w:r>
        <w:rPr>
          <w:rFonts w:hint="eastAsia" w:ascii="仿宋_GB2312" w:hAnsi="楷体" w:eastAsia="仿宋_GB2312"/>
          <w:b w:val="0"/>
          <w:bCs/>
          <w:sz w:val="32"/>
          <w:szCs w:val="32"/>
        </w:rPr>
        <w:t>1.三格化粪池式。</w:t>
      </w:r>
      <w:r>
        <w:rPr>
          <w:rFonts w:hint="eastAsia" w:ascii="仿宋_GB2312" w:eastAsia="仿宋_GB2312"/>
          <w:b w:val="0"/>
          <w:bCs/>
          <w:sz w:val="32"/>
          <w:szCs w:val="32"/>
        </w:rPr>
        <w:t>三格化粪池由相联的三个池子组成，容积必须&gt;2.0m</w:t>
      </w:r>
      <w:r>
        <w:rPr>
          <w:rFonts w:hint="eastAsia" w:ascii="仿宋_GB2312" w:eastAsia="仿宋_GB2312"/>
          <w:b w:val="0"/>
          <w:bCs/>
          <w:sz w:val="32"/>
          <w:szCs w:val="32"/>
          <w:vertAlign w:val="superscript"/>
        </w:rPr>
        <w:t>3</w:t>
      </w:r>
      <w:r>
        <w:rPr>
          <w:rFonts w:hint="eastAsia" w:ascii="仿宋_GB2312" w:eastAsia="仿宋_GB2312"/>
          <w:b w:val="0"/>
          <w:bCs/>
          <w:sz w:val="32"/>
          <w:szCs w:val="32"/>
        </w:rPr>
        <w:t>，中间由过粪管联通。橡塑或其他材料预制的成套三格容器的容积必须≥1.5m</w:t>
      </w:r>
      <w:r>
        <w:rPr>
          <w:rFonts w:hint="eastAsia" w:ascii="仿宋_GB2312" w:eastAsia="仿宋_GB2312"/>
          <w:b w:val="0"/>
          <w:bCs/>
          <w:sz w:val="32"/>
          <w:szCs w:val="32"/>
          <w:vertAlign w:val="superscript"/>
        </w:rPr>
        <w:t>3</w:t>
      </w:r>
      <w:r>
        <w:rPr>
          <w:rFonts w:hint="eastAsia" w:ascii="仿宋_GB2312" w:eastAsia="仿宋_GB2312"/>
          <w:b w:val="0"/>
          <w:bCs/>
          <w:sz w:val="32"/>
          <w:szCs w:val="32"/>
        </w:rPr>
        <w:t>。新池建成后，需养护两周并确认无渗漏后方可正式启用。正式使用前应在第一池(瓮)内加水，水位应高出过粪管下沿口；化粪池(三瓮)盖板应结构牢固、密封，防止发生意外；生活污水、手纸等废杂物不得进入贮粪池；因化粪池容积有限，冲刷便器时应控制水量(每人每天2-3 升左右)，并保持清洁卫生；粪渣和粪液应进行妥善处理，不得直排水体。</w:t>
      </w:r>
    </w:p>
    <w:p>
      <w:pPr>
        <w:autoSpaceDE w:val="0"/>
        <w:spacing w:line="580" w:lineRule="exact"/>
        <w:ind w:firstLine="640" w:firstLineChars="200"/>
        <w:rPr>
          <w:rFonts w:ascii="仿宋_GB2312" w:eastAsia="仿宋_GB2312"/>
          <w:b w:val="0"/>
          <w:bCs/>
          <w:sz w:val="32"/>
          <w:szCs w:val="32"/>
        </w:rPr>
      </w:pPr>
      <w:r>
        <w:rPr>
          <w:rFonts w:hint="eastAsia" w:ascii="仿宋_GB2312" w:hAnsi="楷体" w:eastAsia="仿宋_GB2312"/>
          <w:b w:val="0"/>
          <w:bCs/>
          <w:sz w:val="32"/>
          <w:szCs w:val="32"/>
        </w:rPr>
        <w:t>2.双瓮漏斗式。</w:t>
      </w:r>
      <w:r>
        <w:rPr>
          <w:rFonts w:hint="eastAsia" w:ascii="仿宋_GB2312" w:eastAsia="仿宋_GB2312"/>
          <w:b w:val="0"/>
          <w:bCs/>
          <w:sz w:val="32"/>
          <w:szCs w:val="32"/>
        </w:rPr>
        <w:t>双瓮漏斗式由前后四个单独瓮体组成，构件有便器、过粪管、排臭管。两瓮通过粪管连接。安装方式分为直通式和穿墙式。使用前应在前瓮内加水，水位应高出过粪管下沿口；使用期间严禁污水、纸质、杂物进入便器，并及时清洗便器，</w:t>
      </w:r>
    </w:p>
    <w:p>
      <w:pPr>
        <w:autoSpaceDE w:val="0"/>
        <w:adjustRightInd w:val="0"/>
        <w:snapToGrid w:val="0"/>
        <w:spacing w:line="580" w:lineRule="exact"/>
        <w:rPr>
          <w:rFonts w:ascii="仿宋_GB2312" w:eastAsia="仿宋_GB2312"/>
          <w:b w:val="0"/>
          <w:bCs/>
          <w:sz w:val="32"/>
          <w:szCs w:val="32"/>
        </w:rPr>
      </w:pPr>
      <w:r>
        <w:rPr>
          <w:rFonts w:hint="eastAsia" w:ascii="仿宋_GB2312" w:eastAsia="仿宋_GB2312"/>
          <w:b w:val="0"/>
          <w:bCs/>
          <w:sz w:val="32"/>
          <w:szCs w:val="32"/>
        </w:rPr>
        <w:t>控制冲洗水量；根据使用情况查看抽用后瓮粪夜并清除前瓮粪渣；配置水桶、毛刷、纸篓，保持清洁卫生。</w:t>
      </w:r>
    </w:p>
    <w:p>
      <w:pPr>
        <w:autoSpaceDE w:val="0"/>
        <w:adjustRightInd w:val="0"/>
        <w:snapToGrid w:val="0"/>
        <w:spacing w:line="580" w:lineRule="exact"/>
        <w:ind w:firstLine="640" w:firstLineChars="200"/>
        <w:rPr>
          <w:rFonts w:ascii="仿宋_GB2312" w:eastAsia="仿宋_GB2312"/>
          <w:b w:val="0"/>
          <w:bCs/>
          <w:sz w:val="32"/>
          <w:szCs w:val="32"/>
        </w:rPr>
      </w:pPr>
      <w:r>
        <w:rPr>
          <w:rFonts w:hint="eastAsia" w:ascii="仿宋_GB2312" w:hAnsi="楷体" w:eastAsia="仿宋_GB2312"/>
          <w:b w:val="0"/>
          <w:bCs/>
          <w:sz w:val="32"/>
          <w:szCs w:val="32"/>
        </w:rPr>
        <w:t>3.完整上下水道水冲式。</w:t>
      </w:r>
      <w:r>
        <w:rPr>
          <w:rFonts w:hint="eastAsia" w:ascii="仿宋_GB2312" w:eastAsia="仿宋_GB2312"/>
          <w:b w:val="0"/>
          <w:bCs/>
          <w:sz w:val="32"/>
          <w:szCs w:val="32"/>
        </w:rPr>
        <w:t>完整上下水道水冲式：即经三格化粪池式无害化处理后的粪液进入城市排污管网处理或通过植物渗滤、微动力设备处理。排放、安装技术规范和使用管理参照三格化粪池式卫生厕所执行，不用粪肥地区不得将第三池粪液直排河道、渠道。</w:t>
      </w:r>
    </w:p>
    <w:p>
      <w:pPr>
        <w:autoSpaceDE w:val="0"/>
        <w:adjustRightInd w:val="0"/>
        <w:snapToGrid w:val="0"/>
        <w:spacing w:line="580" w:lineRule="exact"/>
        <w:ind w:firstLine="640" w:firstLineChars="200"/>
        <w:rPr>
          <w:rFonts w:ascii="楷体_GB2312" w:hAnsi="楷体" w:eastAsia="楷体_GB2312"/>
          <w:b w:val="0"/>
          <w:bCs/>
          <w:sz w:val="32"/>
          <w:szCs w:val="32"/>
        </w:rPr>
      </w:pPr>
      <w:r>
        <w:rPr>
          <w:rFonts w:hint="eastAsia" w:ascii="楷体_GB2312" w:hAnsi="楷体" w:eastAsia="楷体_GB2312"/>
          <w:b w:val="0"/>
          <w:bCs/>
          <w:sz w:val="32"/>
          <w:szCs w:val="32"/>
        </w:rPr>
        <w:t>（四）无害化户厕厕屋标准</w:t>
      </w:r>
    </w:p>
    <w:p>
      <w:pPr>
        <w:autoSpaceDE w:val="0"/>
        <w:spacing w:line="580" w:lineRule="exact"/>
        <w:ind w:firstLine="640" w:firstLineChars="200"/>
        <w:rPr>
          <w:rFonts w:ascii="仿宋_GB2312" w:eastAsia="仿宋_GB2312"/>
          <w:b w:val="0"/>
          <w:bCs/>
          <w:sz w:val="32"/>
          <w:szCs w:val="32"/>
        </w:rPr>
      </w:pPr>
      <w:r>
        <w:rPr>
          <w:rFonts w:hint="eastAsia" w:ascii="仿宋_GB2312" w:eastAsia="仿宋_GB2312"/>
          <w:b w:val="0"/>
          <w:bCs/>
          <w:sz w:val="32"/>
          <w:szCs w:val="32"/>
        </w:rPr>
        <w:t>有门、有窗（纱）、有顶、有照明、能通风，墙体应采用24cm砖墙或保温阻燃净化复合板双面内03外04，有效高度不低于2 m，面积大于2.5m</w:t>
      </w:r>
      <w:r>
        <w:rPr>
          <w:rFonts w:hint="eastAsia" w:ascii="仿宋_GB2312" w:eastAsia="仿宋_GB2312"/>
          <w:b w:val="0"/>
          <w:bCs/>
          <w:sz w:val="32"/>
          <w:szCs w:val="32"/>
          <w:vertAlign w:val="superscript"/>
        </w:rPr>
        <w:t>2</w:t>
      </w:r>
      <w:r>
        <w:rPr>
          <w:rFonts w:hint="eastAsia" w:ascii="仿宋_GB2312" w:eastAsia="仿宋_GB2312"/>
          <w:b w:val="0"/>
          <w:bCs/>
          <w:sz w:val="32"/>
          <w:szCs w:val="32"/>
        </w:rPr>
        <w:t>(1.5 m x 1.7 m )，地基高出地15cm。</w:t>
      </w:r>
    </w:p>
    <w:p>
      <w:pPr>
        <w:autoSpaceDE w:val="0"/>
        <w:adjustRightInd w:val="0"/>
        <w:snapToGrid w:val="0"/>
        <w:spacing w:line="580" w:lineRule="exact"/>
        <w:ind w:firstLine="640" w:firstLineChars="200"/>
        <w:rPr>
          <w:rStyle w:val="10"/>
          <w:rFonts w:ascii="黑体" w:hAnsi="黑体" w:eastAsia="黑体"/>
          <w:b w:val="0"/>
          <w:bCs/>
          <w:color w:val="000000"/>
          <w:shd w:val="clear" w:color="auto" w:fill="FFFFFF"/>
        </w:rPr>
      </w:pPr>
      <w:r>
        <w:rPr>
          <w:rStyle w:val="10"/>
          <w:rFonts w:ascii="黑体" w:hAnsi="黑体" w:eastAsia="黑体"/>
          <w:b w:val="0"/>
          <w:bCs/>
          <w:color w:val="000000"/>
          <w:sz w:val="32"/>
          <w:szCs w:val="32"/>
          <w:shd w:val="clear" w:color="auto" w:fill="FFFFFF"/>
        </w:rPr>
        <w:t>五、村容村貌提升相关要求</w:t>
      </w:r>
    </w:p>
    <w:p>
      <w:pPr>
        <w:pStyle w:val="4"/>
        <w:autoSpaceDE w:val="0"/>
        <w:spacing w:after="0" w:line="580" w:lineRule="exact"/>
        <w:ind w:firstLine="640" w:firstLineChars="200"/>
        <w:rPr>
          <w:rFonts w:ascii="仿宋_GB2312" w:eastAsia="仿宋_GB2312"/>
          <w:b w:val="0"/>
          <w:bCs/>
        </w:rPr>
      </w:pPr>
      <w:r>
        <w:rPr>
          <w:rFonts w:hint="eastAsia" w:ascii="楷体_GB2312" w:hAnsi="楷体" w:eastAsia="楷体_GB2312"/>
          <w:b w:val="0"/>
          <w:bCs/>
          <w:sz w:val="32"/>
          <w:szCs w:val="32"/>
        </w:rPr>
        <w:t>（一）改善提升村庄公共环境。</w:t>
      </w:r>
      <w:r>
        <w:rPr>
          <w:rFonts w:hint="eastAsia" w:ascii="仿宋_GB2312" w:eastAsia="仿宋_GB2312"/>
          <w:b w:val="0"/>
          <w:bCs/>
          <w:sz w:val="32"/>
          <w:szCs w:val="32"/>
        </w:rPr>
        <w:t>全面清理私搭乱建、乱堆、乱放，整治残垣断壁，通过集约利用村庄内部闲置土地等方式扩 大村庄公共空间。整治农村户外广告，规范发布内容和设置行为。 持续推进乡村绿化美化行动，引导村民积极开展庭院绿化，围绕 农村水旁、路旁、村旁、宅旁植树推进村庄绿化，利用荒地、废 弃地、边角地等建设村庄小微公园和公共绿地。保护乡村山体田 园、河湖湿地、原生植被、古树名木等，开展荒山荒地荒滩绿化。支持条件适宜地区开展森林乡村建设，实施水系连通及水美乡村  建设试点。</w:t>
      </w:r>
    </w:p>
    <w:p>
      <w:pPr>
        <w:pStyle w:val="4"/>
        <w:autoSpaceDE w:val="0"/>
        <w:spacing w:after="0" w:line="580" w:lineRule="exact"/>
        <w:ind w:firstLine="640" w:firstLineChars="200"/>
        <w:rPr>
          <w:rFonts w:ascii="仿宋_GB2312" w:eastAsia="仿宋_GB2312"/>
          <w:b w:val="0"/>
          <w:bCs/>
          <w:sz w:val="32"/>
          <w:szCs w:val="32"/>
        </w:rPr>
      </w:pPr>
      <w:r>
        <w:rPr>
          <w:rFonts w:hint="eastAsia" w:ascii="楷体_GB2312" w:hAnsi="楷体" w:eastAsia="楷体_GB2312"/>
          <w:b w:val="0"/>
          <w:bCs/>
          <w:sz w:val="32"/>
          <w:szCs w:val="32"/>
        </w:rPr>
        <w:t>（二）加快农村基础设施提档升级。</w:t>
      </w:r>
      <w:r>
        <w:rPr>
          <w:rFonts w:hint="eastAsia" w:ascii="仿宋_GB2312" w:eastAsia="仿宋_GB2312"/>
          <w:b w:val="0"/>
          <w:bCs/>
          <w:sz w:val="32"/>
          <w:szCs w:val="32"/>
        </w:rPr>
        <w:t>继续开展“四好农村路”示范创建，夯实市、县（区）政府责任，持续深化农村公路管理养护体制机制改革，有序实施30户以上自然村（组）通硬化路，推进农村公路建设项目更多进村入户，进一步改善村庄交通条件。实施农村供水保障工程，以建设稳定水源为基础，统筹布局农村供水基础设施建设，重点推进城乡一体化、规模化建设和小型供水工程标准化改造等，健全工程体系和管理体系，不断提升农村供水保障能力。加强农村电力线、通信线、广播电视线“三线”维护梳理，推动线路违规搭挂治理。完善村庄公共照明设施，加快推进清洁取暖，推动天然气供气设施向农村延伸。有条件的地方开展农村无障碍环境建设。健全村庄应急管理体系，科学管控农村生产生活用火，合理布局应急避难场所和防汛、消防等救灾设施设备，畅通安全通道。</w:t>
      </w:r>
    </w:p>
    <w:p>
      <w:pPr>
        <w:pStyle w:val="4"/>
        <w:autoSpaceDE w:val="0"/>
        <w:spacing w:after="0" w:line="580" w:lineRule="exact"/>
        <w:ind w:firstLine="640" w:firstLineChars="200"/>
        <w:rPr>
          <w:rFonts w:ascii="仿宋_GB2312" w:eastAsia="仿宋_GB2312"/>
          <w:b w:val="0"/>
          <w:bCs/>
          <w:sz w:val="32"/>
          <w:szCs w:val="32"/>
        </w:rPr>
      </w:pPr>
      <w:r>
        <w:rPr>
          <w:rFonts w:hint="eastAsia" w:ascii="楷体_GB2312" w:hAnsi="楷体" w:eastAsia="楷体_GB2312"/>
          <w:b w:val="0"/>
          <w:bCs/>
          <w:sz w:val="32"/>
          <w:szCs w:val="32"/>
        </w:rPr>
        <w:t>（三）强化乡村风貌引导。</w:t>
      </w:r>
      <w:r>
        <w:rPr>
          <w:rFonts w:hint="eastAsia" w:ascii="仿宋_GB2312" w:eastAsia="仿宋_GB2312"/>
          <w:b w:val="0"/>
          <w:bCs/>
          <w:sz w:val="32"/>
          <w:szCs w:val="32"/>
        </w:rPr>
        <w:t>推进村庄整治和庭院治理，制定村容村貌提升导则，优化村庄生产生活生态空间，做到村庄形态与自然环境、传统文化相互促进、相得益彰。突出乡土特点和地域特色，持续开展农房建设试点，强化质量监督管理。加强传统村落、历史文化名村名镇保护，推进传统村落挂牌保护。因地制宜推进乡村建设，不搞千村一面，严格规范村庄撤并。</w:t>
      </w:r>
    </w:p>
    <w:p>
      <w:pPr>
        <w:autoSpaceDE w:val="0"/>
        <w:adjustRightInd w:val="0"/>
        <w:snapToGrid w:val="0"/>
        <w:spacing w:line="580" w:lineRule="exact"/>
        <w:ind w:firstLine="640" w:firstLineChars="200"/>
        <w:rPr>
          <w:rStyle w:val="10"/>
          <w:rFonts w:ascii="黑体" w:hAnsi="黑体" w:eastAsia="黑体"/>
          <w:b w:val="0"/>
          <w:bCs/>
          <w:color w:val="000000"/>
          <w:shd w:val="clear" w:color="auto" w:fill="FFFFFF"/>
        </w:rPr>
      </w:pPr>
      <w:r>
        <w:rPr>
          <w:rStyle w:val="10"/>
          <w:rFonts w:ascii="黑体" w:hAnsi="黑体" w:eastAsia="黑体"/>
          <w:b w:val="0"/>
          <w:bCs/>
          <w:color w:val="000000"/>
          <w:sz w:val="32"/>
          <w:szCs w:val="32"/>
          <w:shd w:val="clear" w:color="auto" w:fill="FFFFFF"/>
        </w:rPr>
        <w:t>六、乡村文明建设相关要求</w:t>
      </w:r>
    </w:p>
    <w:p>
      <w:pPr>
        <w:autoSpaceDE w:val="0"/>
        <w:spacing w:line="580" w:lineRule="exact"/>
        <w:ind w:firstLine="640" w:firstLineChars="200"/>
        <w:rPr>
          <w:rFonts w:ascii="仿宋_GB2312" w:eastAsia="仿宋_GB2312"/>
          <w:b w:val="0"/>
          <w:bCs/>
        </w:rPr>
      </w:pPr>
      <w:r>
        <w:rPr>
          <w:rFonts w:hint="eastAsia" w:ascii="楷体_GB2312" w:hAnsi="楷体" w:eastAsia="楷体_GB2312"/>
          <w:b w:val="0"/>
          <w:bCs/>
          <w:sz w:val="32"/>
          <w:szCs w:val="32"/>
        </w:rPr>
        <w:t>（一）激发内生动力活力。</w:t>
      </w:r>
      <w:r>
        <w:rPr>
          <w:rFonts w:hint="eastAsia" w:ascii="仿宋_GB2312" w:eastAsia="仿宋_GB2312"/>
          <w:b w:val="0"/>
          <w:bCs/>
          <w:sz w:val="32"/>
          <w:szCs w:val="32"/>
        </w:rPr>
        <w:t>充分发挥农村基层党组织领导作用和党员先锋模范作用，组织动员村民自觉改善农村生态环境，健全党组织领导的村民自治机制，村级重大事项决策实行“四议两公开”，运用“一事一议”筹资筹劳等制度，鼓励引导村集体经济组织、农民合作社、村民等参与乡村生态振兴相关规划、建设、运营和管理。实行乡村生态振兴相关项目公示制度，通过政府购买服务等方式，支持有条件的农民合作社参与乡村生态振兴项目建设。引导农民或农民合作组织依法成立各类农村环保组织或企业，承接本地乡村生态振兴项目和后续管护工作。坚持农民主体作用，进一步引导调动群众参与乡村生态振兴的积极性、主动性和创造性，提高村民维护村庄环境卫生意识，人人成为乡村生态振兴的倡导者、参与者和受益者。</w:t>
      </w:r>
    </w:p>
    <w:p>
      <w:pPr>
        <w:autoSpaceDE w:val="0"/>
        <w:spacing w:line="580" w:lineRule="exact"/>
        <w:ind w:firstLine="759"/>
        <w:rPr>
          <w:rFonts w:ascii="仿宋_GB2312" w:eastAsia="仿宋_GB2312"/>
          <w:b w:val="0"/>
          <w:bCs/>
          <w:sz w:val="32"/>
          <w:szCs w:val="32"/>
        </w:rPr>
      </w:pPr>
      <w:r>
        <w:rPr>
          <w:rFonts w:hint="eastAsia" w:ascii="楷体_GB2312" w:hAnsi="楷体" w:eastAsia="楷体_GB2312"/>
          <w:b w:val="0"/>
          <w:bCs/>
          <w:sz w:val="32"/>
          <w:szCs w:val="32"/>
        </w:rPr>
        <w:t>（二）提高文明健康意识。</w:t>
      </w:r>
      <w:r>
        <w:rPr>
          <w:rFonts w:hint="eastAsia" w:ascii="仿宋_GB2312" w:eastAsia="仿宋_GB2312"/>
          <w:b w:val="0"/>
          <w:bCs/>
          <w:sz w:val="32"/>
          <w:szCs w:val="32"/>
        </w:rPr>
        <w:t>举办多种形式的教育培训活动，将乡村生态振兴纳入各级农民教育培训和农村学校、幼儿园教育内容，普及卫生健康和疫病防控知识，倡导文明健康、绿色环保的生活方式，引导农民群众进一步养成良好卫生习惯。通过组织开展专业化培训，把村民培养成为村内环境卫生治理和公益性基础设施运行维护的主要力量。完善村庄环境卫生设施，持续推进人居环境卫生综合整治，推进健康村庄建设，深入开展国家卫生城镇创建活动，积极推动健康乡镇、健康村庄建设。</w:t>
      </w:r>
    </w:p>
    <w:p>
      <w:pPr>
        <w:autoSpaceDE w:val="0"/>
        <w:spacing w:line="580" w:lineRule="exact"/>
        <w:ind w:firstLine="759"/>
        <w:rPr>
          <w:rFonts w:ascii="仿宋_GB2312" w:eastAsia="仿宋_GB2312"/>
          <w:b w:val="0"/>
          <w:bCs/>
          <w:sz w:val="32"/>
          <w:szCs w:val="32"/>
        </w:rPr>
      </w:pPr>
      <w:r>
        <w:rPr>
          <w:rFonts w:hint="eastAsia" w:ascii="楷体_GB2312" w:hAnsi="楷体" w:eastAsia="楷体_GB2312"/>
          <w:b w:val="0"/>
          <w:bCs/>
          <w:sz w:val="32"/>
          <w:szCs w:val="32"/>
        </w:rPr>
        <w:t>（三）建立健全村规民约。</w:t>
      </w:r>
      <w:r>
        <w:rPr>
          <w:rFonts w:hint="eastAsia" w:ascii="仿宋_GB2312" w:eastAsia="仿宋_GB2312"/>
          <w:b w:val="0"/>
          <w:bCs/>
          <w:sz w:val="32"/>
          <w:szCs w:val="32"/>
        </w:rPr>
        <w:t>支持立足各地实际，制定完善村庄公共场所卫生保洁、社区噪声控制等文明公约。深入开展“五美庭院”评选、环境卫生红黑榜、道德积分兑换等活动。将“门前三包”等农村人居环境整治要求纳入村规民约，明确村民责任，增强农民自我管理、自我约束、自我教育、自我监督、自我服务意识。</w:t>
      </w:r>
    </w:p>
    <w:p>
      <w:pPr>
        <w:autoSpaceDE w:val="0"/>
        <w:adjustRightInd w:val="0"/>
        <w:snapToGrid w:val="0"/>
        <w:spacing w:line="580" w:lineRule="exact"/>
        <w:ind w:firstLine="640" w:firstLineChars="200"/>
        <w:rPr>
          <w:rStyle w:val="10"/>
          <w:rFonts w:ascii="黑体" w:hAnsi="黑体" w:eastAsia="黑体"/>
          <w:b w:val="0"/>
          <w:bCs/>
          <w:color w:val="000000"/>
          <w:shd w:val="clear" w:color="auto" w:fill="FFFFFF"/>
        </w:rPr>
      </w:pPr>
      <w:r>
        <w:rPr>
          <w:rStyle w:val="10"/>
          <w:rFonts w:ascii="黑体" w:hAnsi="黑体" w:eastAsia="黑体"/>
          <w:b w:val="0"/>
          <w:bCs/>
          <w:color w:val="000000"/>
          <w:sz w:val="32"/>
          <w:szCs w:val="32"/>
          <w:shd w:val="clear" w:color="auto" w:fill="FFFFFF"/>
        </w:rPr>
        <w:t>七、镇、村卫生机构建设相关标准</w:t>
      </w:r>
    </w:p>
    <w:p>
      <w:pPr>
        <w:autoSpaceDE w:val="0"/>
        <w:adjustRightInd w:val="0"/>
        <w:snapToGrid w:val="0"/>
        <w:spacing w:line="580" w:lineRule="exact"/>
        <w:ind w:firstLine="640" w:firstLineChars="200"/>
        <w:rPr>
          <w:rFonts w:ascii="仿宋_GB2312" w:eastAsia="仿宋_GB2312"/>
          <w:b w:val="0"/>
          <w:bCs/>
        </w:rPr>
      </w:pPr>
      <w:r>
        <w:rPr>
          <w:rFonts w:hint="eastAsia" w:ascii="楷体_GB2312" w:hAnsi="楷体" w:eastAsia="楷体_GB2312"/>
          <w:b w:val="0"/>
          <w:bCs/>
          <w:sz w:val="32"/>
          <w:szCs w:val="32"/>
        </w:rPr>
        <w:t>（一）乡镇卫生院标准。</w:t>
      </w:r>
      <w:r>
        <w:rPr>
          <w:rFonts w:hint="eastAsia" w:ascii="仿宋_GB2312" w:eastAsia="仿宋_GB2312"/>
          <w:b w:val="0"/>
          <w:bCs/>
          <w:sz w:val="32"/>
          <w:szCs w:val="32"/>
        </w:rPr>
        <w:t>必须建立全科医疗科室，人员配置至少要有一名注册全科医生，设立中医科的，中医类别医师不少于2名。除了要组建家庭医生服务团队以外，还要求每个家庭医生团队须配备能够提供中医药服务的医师或乡村医生。乡镇卫生院对辖区村卫生室的机构、人员、业务、药械、财务、绩效统一管理。原则上每个季度对村卫生室考核1次，考核结果与资金分</w:t>
      </w:r>
      <w:r>
        <w:rPr>
          <w:rFonts w:hint="eastAsia" w:ascii="仿宋_GB2312" w:eastAsia="仿宋_GB2312"/>
          <w:b w:val="0"/>
          <w:bCs/>
          <w:spacing w:val="-6"/>
          <w:sz w:val="32"/>
          <w:szCs w:val="32"/>
        </w:rPr>
        <w:t>配挂钩，按照要求落实40%左右村卫生室公卫服务任务与经费补</w:t>
      </w:r>
      <w:r>
        <w:rPr>
          <w:rFonts w:hint="eastAsia" w:ascii="仿宋_GB2312" w:eastAsia="仿宋_GB2312"/>
          <w:b w:val="0"/>
          <w:bCs/>
          <w:sz w:val="32"/>
          <w:szCs w:val="32"/>
        </w:rPr>
        <w:t>偿。</w:t>
      </w:r>
    </w:p>
    <w:p>
      <w:pPr>
        <w:autoSpaceDE w:val="0"/>
        <w:adjustRightInd w:val="0"/>
        <w:snapToGrid w:val="0"/>
        <w:spacing w:line="580" w:lineRule="exact"/>
        <w:ind w:firstLine="640" w:firstLineChars="200"/>
        <w:rPr>
          <w:rFonts w:ascii="楷体_GB2312" w:hAnsi="楷体" w:eastAsia="楷体_GB2312"/>
          <w:b w:val="0"/>
          <w:bCs/>
          <w:sz w:val="32"/>
          <w:szCs w:val="32"/>
        </w:rPr>
      </w:pPr>
      <w:r>
        <w:rPr>
          <w:rFonts w:hint="eastAsia" w:ascii="楷体_GB2312" w:hAnsi="楷体" w:eastAsia="楷体_GB2312"/>
          <w:b w:val="0"/>
          <w:bCs/>
          <w:sz w:val="32"/>
          <w:szCs w:val="32"/>
        </w:rPr>
        <w:t>（二）村卫生室标准</w:t>
      </w:r>
    </w:p>
    <w:p>
      <w:pPr>
        <w:autoSpaceDE w:val="0"/>
        <w:adjustRightInd w:val="0"/>
        <w:snapToGrid w:val="0"/>
        <w:spacing w:line="580" w:lineRule="exact"/>
        <w:ind w:firstLine="640" w:firstLineChars="200"/>
        <w:rPr>
          <w:b w:val="0"/>
          <w:bCs/>
          <w:szCs w:val="21"/>
        </w:rPr>
      </w:pPr>
      <w:r>
        <w:rPr>
          <w:rFonts w:hint="eastAsia" w:ascii="仿宋_GB2312" w:eastAsia="仿宋_GB2312"/>
          <w:b w:val="0"/>
          <w:bCs/>
          <w:sz w:val="32"/>
          <w:szCs w:val="32"/>
        </w:rPr>
        <w:t>每个行政村建成1个村卫生室。人口较少或面积较小的行政村可与相邻行政村联合设置村卫生室。乡镇卫生院所在地的行政村可不设村卫生室。行政村卫生室房屋建设规模不低于60平方米，至少设有诊断室、治疗室、公共卫生室、药房。每个村卫生室至少有1名合格的乡村医生或执业(助理)医师。利用适宜药品、中医药等适宜技术为农村居民提供常见病、多发病的一般诊疗服务，能开展非处方药品的基本医疗卫生服务；落实国家基本药物制度，且配有80个以上品规的常用药品。</w:t>
      </w:r>
    </w:p>
    <w:p>
      <w:pPr>
        <w:autoSpaceDE w:val="0"/>
        <w:adjustRightInd w:val="0"/>
        <w:snapToGrid w:val="0"/>
        <w:spacing w:line="580" w:lineRule="exact"/>
        <w:ind w:firstLine="640" w:firstLineChars="200"/>
        <w:rPr>
          <w:rStyle w:val="10"/>
          <w:rFonts w:ascii="黑体" w:hAnsi="黑体" w:eastAsia="黑体"/>
          <w:b w:val="0"/>
          <w:bCs/>
          <w:color w:val="000000"/>
          <w:sz w:val="32"/>
          <w:szCs w:val="32"/>
          <w:shd w:val="clear" w:color="auto" w:fill="FFFFFF"/>
        </w:rPr>
      </w:pPr>
      <w:r>
        <w:rPr>
          <w:rStyle w:val="10"/>
          <w:rFonts w:ascii="黑体" w:hAnsi="黑体" w:eastAsia="黑体"/>
          <w:b w:val="0"/>
          <w:bCs/>
          <w:color w:val="000000"/>
          <w:sz w:val="32"/>
          <w:szCs w:val="32"/>
          <w:shd w:val="clear" w:color="auto" w:fill="FFFFFF"/>
        </w:rPr>
        <w:t>八、农村清洁取暖相关要求</w:t>
      </w:r>
    </w:p>
    <w:p>
      <w:pPr>
        <w:pStyle w:val="4"/>
        <w:autoSpaceDE w:val="0"/>
        <w:spacing w:after="0" w:line="580" w:lineRule="exact"/>
        <w:ind w:firstLine="640" w:firstLineChars="200"/>
        <w:rPr>
          <w:rFonts w:ascii="仿宋_GB2312" w:eastAsia="仿宋_GB2312"/>
          <w:b w:val="0"/>
          <w:bCs/>
        </w:rPr>
      </w:pPr>
      <w:r>
        <w:rPr>
          <w:rFonts w:hint="eastAsia" w:ascii="楷体_GB2312" w:hAnsi="楷体" w:eastAsia="楷体_GB2312"/>
          <w:b w:val="0"/>
          <w:bCs/>
          <w:sz w:val="32"/>
          <w:szCs w:val="32"/>
        </w:rPr>
        <w:t>（一）因地制宜使用清洁热源。</w:t>
      </w:r>
      <w:r>
        <w:rPr>
          <w:rFonts w:hint="eastAsia" w:ascii="仿宋_GB2312" w:eastAsia="仿宋_GB2312"/>
          <w:b w:val="0"/>
          <w:bCs/>
          <w:sz w:val="32"/>
          <w:szCs w:val="32"/>
        </w:rPr>
        <w:t>一是新建热源全部采用清洁热源，积极推进可再生能源替代燃煤热源，扩大热电联产供热面 积，推动燃煤机组供热改造，实施中长距离供热工程，充分发挥现役燃煤机组供热能力。合理规划布局新热电联产机组项目，新建燃煤热电联产要优先考虑背压式热电联产机组，全面推动热电联产机组灵活性改造，实施热电解耦，提升电网调峰能力。二是全力推进燃煤锅炉拆除改造。对未拆除燃煤锅炉进行清洁化能源改造，暂不具备改造条件的，严格执行超低排放标准并限期完成改造。</w:t>
      </w:r>
    </w:p>
    <w:p>
      <w:pPr>
        <w:pStyle w:val="4"/>
        <w:autoSpaceDE w:val="0"/>
        <w:spacing w:after="0" w:line="580" w:lineRule="exact"/>
        <w:ind w:firstLine="640" w:firstLineChars="200"/>
        <w:rPr>
          <w:rFonts w:ascii="仿宋_GB2312" w:eastAsia="仿宋_GB2312"/>
          <w:b w:val="0"/>
          <w:bCs/>
          <w:sz w:val="32"/>
          <w:szCs w:val="32"/>
        </w:rPr>
      </w:pPr>
      <w:r>
        <w:rPr>
          <w:rFonts w:hint="eastAsia" w:ascii="楷体_GB2312" w:hAnsi="楷体" w:eastAsia="楷体_GB2312"/>
          <w:b w:val="0"/>
          <w:bCs/>
          <w:sz w:val="32"/>
          <w:szCs w:val="32"/>
        </w:rPr>
        <w:t>（二）稳步推进天然气供暖。</w:t>
      </w:r>
      <w:r>
        <w:rPr>
          <w:rFonts w:hint="eastAsia" w:ascii="仿宋_GB2312" w:eastAsia="仿宋_GB2312"/>
          <w:b w:val="0"/>
          <w:bCs/>
          <w:sz w:val="32"/>
          <w:szCs w:val="32"/>
        </w:rPr>
        <w:t>在保障气源情况下，使用双方要签订供气协议，要制定“以气定改”的实施方案和计划，按照“宜管则管”“宜罐则罐”原则，积极推进天然气供暖，以示范镇为重点，着力推动天然气替代散烧煤。</w:t>
      </w:r>
    </w:p>
    <w:p>
      <w:pPr>
        <w:pStyle w:val="4"/>
        <w:autoSpaceDE w:val="0"/>
        <w:spacing w:after="0" w:line="580" w:lineRule="exact"/>
        <w:ind w:firstLine="640" w:firstLineChars="200"/>
        <w:rPr>
          <w:rFonts w:ascii="仿宋_GB2312" w:eastAsia="仿宋_GB2312"/>
          <w:b w:val="0"/>
          <w:bCs/>
          <w:sz w:val="32"/>
          <w:szCs w:val="32"/>
        </w:rPr>
      </w:pPr>
      <w:r>
        <w:rPr>
          <w:rFonts w:hint="eastAsia" w:ascii="楷体_GB2312" w:hAnsi="楷体" w:eastAsia="楷体_GB2312"/>
          <w:b w:val="0"/>
          <w:bCs/>
          <w:sz w:val="32"/>
          <w:szCs w:val="32"/>
        </w:rPr>
        <w:t>（三）大力推进可再生能源供暖。</w:t>
      </w:r>
      <w:r>
        <w:rPr>
          <w:rFonts w:hint="eastAsia" w:ascii="仿宋_GB2312" w:eastAsia="仿宋_GB2312"/>
          <w:b w:val="0"/>
          <w:bCs/>
          <w:sz w:val="32"/>
          <w:szCs w:val="32"/>
        </w:rPr>
        <w:t>积极推进生物质能、太阳能、生物沼气等生物质能供暖方式。一是推进“屋顶光伏+电供暖”，鼓励自然人以户申报屋顶光伏项目，利用光伏发电，自产自用，余量上网，采用电暖设备取暖，电器炉具做饭。二是对热力管网、天然气管道无法覆盖的区域，鼓励利用农林剩余物加工形成生物质成型燃料，发展生物质锅炉用于供暖。三是灵活选择空气源热泵、太阳能热泵、石墨烯电热产品系列、电储能等安全高效、节能环保、经济实用的电热取暖产品。四是有效利用工业余热供暖，积极推进工业余热供热能力，实施余热暖民工程，最大范围保障周边城镇和工业园区供热。</w:t>
      </w:r>
    </w:p>
    <w:p>
      <w:pPr>
        <w:pStyle w:val="4"/>
        <w:autoSpaceDE w:val="0"/>
        <w:spacing w:after="0" w:line="580" w:lineRule="exact"/>
        <w:ind w:firstLine="640" w:firstLineChars="200"/>
        <w:rPr>
          <w:rFonts w:ascii="仿宋_GB2312" w:eastAsia="仿宋_GB2312"/>
          <w:b w:val="0"/>
          <w:bCs/>
          <w:sz w:val="32"/>
          <w:szCs w:val="32"/>
        </w:rPr>
      </w:pPr>
      <w:r>
        <w:rPr>
          <w:rFonts w:hint="eastAsia" w:ascii="楷体_GB2312" w:hAnsi="楷体" w:eastAsia="楷体_GB2312"/>
          <w:b w:val="0"/>
          <w:bCs/>
          <w:sz w:val="32"/>
          <w:szCs w:val="32"/>
        </w:rPr>
        <w:t>（四）推进用户端建筑能效提升。</w:t>
      </w:r>
      <w:r>
        <w:rPr>
          <w:rFonts w:hint="eastAsia" w:ascii="仿宋_GB2312" w:eastAsia="仿宋_GB2312"/>
          <w:b w:val="0"/>
          <w:bCs/>
          <w:sz w:val="32"/>
          <w:szCs w:val="32"/>
        </w:rPr>
        <w:t>科学合理推动农村既有农房节能改造，优先对乡镇政府办公建筑、卫生院、养老院、中小学及其他公共建筑和新型农村社区进行建筑节能改造。</w:t>
      </w:r>
    </w:p>
    <w:p>
      <w:pPr>
        <w:pStyle w:val="4"/>
        <w:autoSpaceDE w:val="0"/>
        <w:spacing w:after="0"/>
        <w:rPr>
          <w:b w:val="0"/>
          <w:bCs/>
        </w:rPr>
      </w:pPr>
      <w:r>
        <w:rPr>
          <w:b w:val="0"/>
          <w:bCs/>
        </w:rPr>
        <w:t xml:space="preserve"> </w:t>
      </w:r>
    </w:p>
    <w:p>
      <w:pPr>
        <w:autoSpaceDE w:val="0"/>
        <w:autoSpaceDN w:val="0"/>
        <w:adjustRightInd w:val="0"/>
        <w:spacing w:line="580" w:lineRule="exact"/>
        <w:jc w:val="center"/>
        <w:rPr>
          <w:b w:val="0"/>
          <w:bCs/>
          <w:sz w:val="44"/>
          <w:szCs w:val="44"/>
        </w:rPr>
      </w:pPr>
    </w:p>
    <w:p/>
    <w:sectPr>
      <w:footerReference r:id="rId3" w:type="default"/>
      <w:footerReference r:id="rId4" w:type="even"/>
      <w:pgSz w:w="11906" w:h="16838"/>
      <w:pgMar w:top="1985" w:right="1474" w:bottom="1418" w:left="1588" w:header="1985" w:footer="1418"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ESI仿宋-GB2312">
    <w:altName w:val="Times New Roman"/>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CESI楷体-GB2312">
    <w:altName w:val="Times New Roman"/>
    <w:panose1 w:val="00000000000000000000"/>
    <w:charset w:val="00"/>
    <w:family w:val="auto"/>
    <w:pitch w:val="default"/>
    <w:sig w:usb0="00000000" w:usb1="00000000" w:usb2="00000000" w:usb3="00000000" w:csb0="00000000" w:csb1="00000000"/>
  </w:font>
  <w:font w:name="方正黑体_GBK">
    <w:altName w:val="Times New Roman"/>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宋体" w:hAnsi="宋体"/>
        <w:sz w:val="28"/>
        <w:szCs w:val="28"/>
      </w:rPr>
      <w:id w:val="81912171"/>
      <w:docPartObj>
        <w:docPartGallery w:val="autotext"/>
      </w:docPartObj>
    </w:sdtPr>
    <w:sdtEndPr>
      <w:rPr>
        <w:rFonts w:hint="eastAsia" w:ascii="宋体" w:hAnsi="宋体"/>
        <w:sz w:val="28"/>
        <w:szCs w:val="28"/>
      </w:rPr>
    </w:sdtEndPr>
    <w:sdtContent>
      <w:p>
        <w:pPr>
          <w:pStyle w:val="5"/>
          <w:ind w:firstLine="7560" w:firstLineChars="2700"/>
          <w:rPr>
            <w:rFonts w:ascii="宋体" w:hAnsi="宋体"/>
            <w:sz w:val="28"/>
            <w:szCs w:val="28"/>
          </w:rPr>
        </w:pPr>
        <w:r>
          <w:rPr>
            <w:rFonts w:hint="eastAsia" w:ascii="宋体" w:hAnsi="宋体"/>
            <w:sz w:val="28"/>
            <w:szCs w:val="28"/>
          </w:rPr>
          <w:t xml:space="preserve">— </w:t>
        </w:r>
        <w:r>
          <w:rPr>
            <w:rStyle w:val="9"/>
            <w:rFonts w:ascii="宋体" w:hAnsi="宋体"/>
            <w:sz w:val="28"/>
            <w:szCs w:val="28"/>
          </w:rPr>
          <w:fldChar w:fldCharType="begin"/>
        </w:r>
        <w:r>
          <w:rPr>
            <w:rStyle w:val="9"/>
            <w:rFonts w:ascii="宋体" w:hAnsi="宋体"/>
            <w:sz w:val="28"/>
            <w:szCs w:val="28"/>
          </w:rPr>
          <w:instrText xml:space="preserve"> PAGE </w:instrText>
        </w:r>
        <w:r>
          <w:rPr>
            <w:rStyle w:val="9"/>
            <w:rFonts w:ascii="宋体" w:hAnsi="宋体"/>
            <w:sz w:val="28"/>
            <w:szCs w:val="28"/>
          </w:rPr>
          <w:fldChar w:fldCharType="separate"/>
        </w:r>
        <w:r>
          <w:rPr>
            <w:rStyle w:val="9"/>
            <w:rFonts w:ascii="宋体" w:hAnsi="宋体"/>
            <w:sz w:val="28"/>
            <w:szCs w:val="28"/>
          </w:rPr>
          <w:t>9</w:t>
        </w:r>
        <w:r>
          <w:rPr>
            <w:rStyle w:val="9"/>
            <w:rFonts w:ascii="宋体" w:hAnsi="宋体"/>
            <w:sz w:val="28"/>
            <w:szCs w:val="28"/>
          </w:rPr>
          <w:fldChar w:fldCharType="end"/>
        </w:r>
        <w:r>
          <w:rPr>
            <w:rFonts w:hint="eastAsia" w:ascii="宋体" w:hAnsi="宋体"/>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宋体" w:hAnsi="宋体"/>
        <w:sz w:val="28"/>
        <w:szCs w:val="28"/>
      </w:rPr>
      <w:id w:val="81912163"/>
      <w:docPartObj>
        <w:docPartGallery w:val="autotext"/>
      </w:docPartObj>
    </w:sdtPr>
    <w:sdtEndPr>
      <w:rPr>
        <w:rFonts w:hint="eastAsia" w:ascii="宋体" w:hAnsi="宋体"/>
        <w:sz w:val="28"/>
        <w:szCs w:val="28"/>
      </w:rPr>
    </w:sdtEndPr>
    <w:sdtContent>
      <w:p>
        <w:pPr>
          <w:pStyle w:val="5"/>
          <w:ind w:firstLine="140" w:firstLineChars="50"/>
          <w:rPr>
            <w:rFonts w:ascii="宋体" w:hAnsi="宋体"/>
            <w:sz w:val="28"/>
            <w:szCs w:val="28"/>
          </w:rPr>
        </w:pPr>
        <w:r>
          <w:rPr>
            <w:rFonts w:hint="eastAsia" w:ascii="宋体" w:hAnsi="宋体"/>
            <w:sz w:val="28"/>
            <w:szCs w:val="28"/>
          </w:rPr>
          <w:t xml:space="preserve">— </w:t>
        </w:r>
        <w:r>
          <w:rPr>
            <w:rStyle w:val="9"/>
            <w:rFonts w:ascii="宋体" w:hAnsi="宋体"/>
            <w:sz w:val="28"/>
            <w:szCs w:val="28"/>
          </w:rPr>
          <w:fldChar w:fldCharType="begin"/>
        </w:r>
        <w:r>
          <w:rPr>
            <w:rStyle w:val="9"/>
            <w:rFonts w:ascii="宋体" w:hAnsi="宋体"/>
            <w:sz w:val="28"/>
            <w:szCs w:val="28"/>
          </w:rPr>
          <w:instrText xml:space="preserve"> PAGE </w:instrText>
        </w:r>
        <w:r>
          <w:rPr>
            <w:rStyle w:val="9"/>
            <w:rFonts w:ascii="宋体" w:hAnsi="宋体"/>
            <w:sz w:val="28"/>
            <w:szCs w:val="28"/>
          </w:rPr>
          <w:fldChar w:fldCharType="separate"/>
        </w:r>
        <w:r>
          <w:rPr>
            <w:rStyle w:val="9"/>
            <w:rFonts w:ascii="宋体" w:hAnsi="宋体"/>
            <w:sz w:val="28"/>
            <w:szCs w:val="28"/>
          </w:rPr>
          <w:t>10</w:t>
        </w:r>
        <w:r>
          <w:rPr>
            <w:rStyle w:val="9"/>
            <w:rFonts w:ascii="宋体" w:hAnsi="宋体"/>
            <w:sz w:val="28"/>
            <w:szCs w:val="28"/>
          </w:rPr>
          <w:fldChar w:fldCharType="end"/>
        </w:r>
        <w:r>
          <w:rPr>
            <w:rFonts w:hint="eastAsia" w:ascii="宋体" w:hAnsi="宋体"/>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kY2MzMmU1ZGU5OGRhOGUzNmZmZTZkMDUwNTg4ZmQifQ=="/>
  </w:docVars>
  <w:rsids>
    <w:rsidRoot w:val="20A34715"/>
    <w:rsid w:val="20A34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99"/>
    <w:pPr>
      <w:widowControl/>
      <w:suppressAutoHyphens/>
      <w:spacing w:before="240" w:after="60"/>
      <w:jc w:val="center"/>
      <w:outlineLvl w:val="0"/>
    </w:pPr>
    <w:rPr>
      <w:rFonts w:ascii="Cambria" w:hAnsi="Cambria"/>
      <w:b/>
      <w:bCs/>
      <w:kern w:val="28"/>
      <w:sz w:val="32"/>
      <w:szCs w:val="32"/>
    </w:rPr>
  </w:style>
  <w:style w:type="paragraph" w:styleId="3">
    <w:name w:val="Normal Indent"/>
    <w:basedOn w:val="1"/>
    <w:semiHidden/>
    <w:unhideWhenUsed/>
    <w:qFormat/>
    <w:uiPriority w:val="99"/>
    <w:pPr>
      <w:ind w:firstLine="420" w:firstLineChars="200"/>
    </w:pPr>
  </w:style>
  <w:style w:type="paragraph" w:styleId="4">
    <w:name w:val="Body Text"/>
    <w:basedOn w:val="1"/>
    <w:next w:val="1"/>
    <w:unhideWhenUsed/>
    <w:qFormat/>
    <w:uiPriority w:val="99"/>
    <w:pPr>
      <w:suppressAutoHyphens/>
      <w:spacing w:after="140" w:line="273" w:lineRule="auto"/>
    </w:pPr>
    <w:rPr>
      <w:szCs w:val="21"/>
    </w:rPr>
  </w:style>
  <w:style w:type="paragraph" w:styleId="5">
    <w:name w:val="footer"/>
    <w:basedOn w:val="1"/>
    <w:unhideWhenUsed/>
    <w:qFormat/>
    <w:uiPriority w:val="0"/>
    <w:pPr>
      <w:tabs>
        <w:tab w:val="center" w:pos="4153"/>
        <w:tab w:val="right" w:pos="8306"/>
      </w:tabs>
      <w:snapToGrid w:val="0"/>
      <w:jc w:val="left"/>
    </w:pPr>
    <w:rPr>
      <w:sz w:val="18"/>
      <w:szCs w:val="18"/>
    </w:rPr>
  </w:style>
  <w:style w:type="paragraph" w:styleId="6">
    <w:name w:val="Body Text First Indent"/>
    <w:basedOn w:val="4"/>
    <w:semiHidden/>
    <w:unhideWhenUsed/>
    <w:qFormat/>
    <w:uiPriority w:val="99"/>
    <w:pPr>
      <w:suppressAutoHyphens w:val="0"/>
      <w:spacing w:after="120" w:line="240" w:lineRule="auto"/>
      <w:ind w:firstLine="420" w:firstLineChars="100"/>
    </w:pPr>
    <w:rPr>
      <w:szCs w:val="24"/>
    </w:rPr>
  </w:style>
  <w:style w:type="character" w:styleId="9">
    <w:name w:val="page number"/>
    <w:basedOn w:val="8"/>
    <w:qFormat/>
    <w:uiPriority w:val="0"/>
  </w:style>
  <w:style w:type="character" w:customStyle="1" w:styleId="10">
    <w:name w:val="15"/>
    <w:basedOn w:val="8"/>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2022-06-29T01:56:00Z</dcterms:created>
  <dc:creator>Administrator</dc:creator>
  <cp:lastModifiedBy>Administrator</cp:lastModifiedBy>
  <dcterms:modified xsi:type="dcterms:W3CDTF">2022-06-29T01:57:44Z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77AC9A5BB39C491DBB3406890BC70A44</vt:lpwstr>
  </property>
</Properties>
</file>