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11" w:rsidRDefault="00D36A11"/>
    <w:p w:rsidR="00D36A11" w:rsidRDefault="007E1C7B">
      <w:pPr>
        <w:pStyle w:val="af"/>
        <w:spacing w:line="600" w:lineRule="exact"/>
        <w:jc w:val="both"/>
        <w:rPr>
          <w:rFonts w:ascii="黑体" w:eastAsia="黑体" w:hAnsi="黑体" w:cs="黑体"/>
          <w:b w:val="0"/>
          <w:bCs/>
          <w:sz w:val="32"/>
          <w:szCs w:val="32"/>
        </w:rPr>
      </w:pPr>
      <w:r>
        <w:rPr>
          <w:rFonts w:ascii="黑体" w:eastAsia="黑体" w:hAnsi="黑体" w:cs="黑体" w:hint="eastAsia"/>
          <w:b w:val="0"/>
          <w:bCs/>
          <w:sz w:val="32"/>
          <w:szCs w:val="32"/>
        </w:rPr>
        <w:t>附件</w:t>
      </w:r>
    </w:p>
    <w:p w:rsidR="00D36A11" w:rsidRDefault="00D36A11">
      <w:pPr>
        <w:rPr>
          <w:rFonts w:ascii="黑体" w:eastAsia="黑体" w:hAnsi="黑体" w:cs="黑体"/>
        </w:rPr>
      </w:pPr>
    </w:p>
    <w:p w:rsidR="00D36A11" w:rsidRDefault="007E1C7B">
      <w:pPr>
        <w:pStyle w:val="af"/>
        <w:spacing w:line="600" w:lineRule="exact"/>
        <w:rPr>
          <w:rFonts w:ascii="黑体" w:eastAsia="黑体" w:hAnsi="黑体" w:cs="黑体"/>
          <w:b w:val="0"/>
          <w:bCs/>
          <w:sz w:val="44"/>
          <w:szCs w:val="44"/>
        </w:rPr>
      </w:pPr>
      <w:r>
        <w:rPr>
          <w:rFonts w:ascii="黑体" w:eastAsia="黑体" w:hAnsi="黑体" w:cs="黑体" w:hint="eastAsia"/>
          <w:b w:val="0"/>
          <w:bCs/>
          <w:sz w:val="44"/>
          <w:szCs w:val="44"/>
        </w:rPr>
        <w:t>2022年中央财政成品油价格调整</w:t>
      </w:r>
    </w:p>
    <w:p w:rsidR="00D36A11" w:rsidRDefault="007E1C7B">
      <w:pPr>
        <w:pStyle w:val="af"/>
        <w:spacing w:line="600" w:lineRule="exact"/>
        <w:rPr>
          <w:rFonts w:ascii="仿宋_GB2312" w:eastAsia="仿宋_GB2312" w:hAnsi="仿宋_GB2312" w:cs="仿宋_GB2312"/>
          <w:b w:val="0"/>
          <w:bCs/>
          <w:sz w:val="44"/>
          <w:szCs w:val="44"/>
        </w:rPr>
      </w:pPr>
      <w:r>
        <w:rPr>
          <w:rFonts w:ascii="黑体" w:eastAsia="黑体" w:hAnsi="黑体" w:cs="黑体" w:hint="eastAsia"/>
          <w:b w:val="0"/>
          <w:bCs/>
          <w:sz w:val="44"/>
          <w:szCs w:val="44"/>
        </w:rPr>
        <w:t>对渔业补助资金</w:t>
      </w:r>
      <w:r>
        <w:rPr>
          <w:rFonts w:ascii="黑体" w:eastAsia="黑体" w:hAnsi="黑体" w:cs="黑体"/>
          <w:b w:val="0"/>
          <w:bCs/>
          <w:sz w:val="44"/>
          <w:szCs w:val="44"/>
        </w:rPr>
        <w:t>项目</w:t>
      </w:r>
      <w:r>
        <w:rPr>
          <w:rFonts w:ascii="黑体" w:eastAsia="黑体" w:hAnsi="黑体" w:cs="黑体" w:hint="eastAsia"/>
          <w:b w:val="0"/>
          <w:bCs/>
          <w:sz w:val="44"/>
          <w:szCs w:val="44"/>
        </w:rPr>
        <w:t>实施方案</w:t>
      </w:r>
    </w:p>
    <w:p w:rsidR="00D36A11" w:rsidRDefault="00D36A11">
      <w:pPr>
        <w:pStyle w:val="af"/>
        <w:spacing w:line="600" w:lineRule="exact"/>
        <w:ind w:firstLineChars="200" w:firstLine="640"/>
        <w:jc w:val="both"/>
        <w:rPr>
          <w:rFonts w:ascii="仿宋_GB2312" w:eastAsia="仿宋_GB2312" w:hAnsi="仿宋_GB2312" w:cs="仿宋_GB2312"/>
          <w:b w:val="0"/>
          <w:bCs/>
          <w:sz w:val="32"/>
          <w:szCs w:val="32"/>
        </w:rPr>
      </w:pP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根据中央下达我省成品油价格调整对渔业补助资金有关要求，结合实际，制定本实施方案。</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一、资金支持方向</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2022年中央下达我省成品油价格调整对渔业补助资金主要支持三个方面：</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（一）渔业装备设施支出</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1.水产品初加工和冷藏保鲜。主要包括：水产品清洗、分级、分割、包装、低温暂养、保鲜冷冻、副产品利用、废水处理、信息化等设备购置。</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2.智能增氧设备。主要包括：鼓风机、增氧机、溶氧监控、自动开关控制等设备购置。</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（二）渔业绿色循环发展支出</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1.集中连片养殖池塘标准化改造和养殖尾水处理达标。</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按照《农业农村部办公厅财政部办公厅关于开展渔业绿色循环发展试点工作的通知》要求，以整县推进的方式，试点开展。</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（1）养殖池塘标准化改造。主要包括：池塘整形清淤、池塘挖沟起垄、池塘护坡、进排水系统改造、养殖设备及电力设备</w:t>
      </w:r>
      <w:r>
        <w:rPr>
          <w:rFonts w:ascii="仿宋_GB2312" w:eastAsia="仿宋_GB2312" w:hAnsi="仿宋_GB2312" w:cs="仿宋_GB2312" w:hint="eastAsia"/>
          <w:b w:val="0"/>
          <w:bCs/>
          <w:sz w:val="32"/>
          <w:szCs w:val="32"/>
        </w:rPr>
        <w:lastRenderedPageBreak/>
        <w:t>配置。</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养殖尾水处理工程。复合人工湿地尾水处理模式、“三池两坝”（稳定塘+过滤坝）尾水处理模式、池塘底排污模式、池塘工程化循环水模式、多营养层级立体生态养殖模式等。主要建设内容包括：生态沟渠、沉淀池、生物接触氧化池、潜流/表流湿地、生态塘、过滤坝、底排污系统装置以及养殖水槽、曝气增氧、吸污系统、鱼菜共生综合种养设施设备、精准投饲等环保养殖设施设备等。</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2.水质监控系统。主要包括：溶氧、氨氮、亚硝酸盐、PH、温度等水质情况监测控制等设备，以及相关参数分析处理软件系统的购置。</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（三）渔业高质量发展支出</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1.设施渔业建设。主要支持陆基圆桶养殖，包括圆桶安置、进排水系统、尾水处理系统、电力系统以及保温设施等。</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2.渔业信息化建设。开展渔业信息化平台建设、智能投喂、智能增氧、水质在线监控、产品溯源等。</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3.大水面生态渔业示范建设。支持容量评估、苗种投放、成鱼捕捞、集污等。</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4.渔业资源养护示范点建设。重点支持黄河、渭河、汉江、丹江、嘉陵江干流流经县，每个县建设1个示范点，包括放流槽道、暂养设施设备等资源养护示范点基础设施。</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5.稻渔综合种养建设。主要支持田间工程，包括沟坑改造符</w:t>
      </w:r>
      <w:r>
        <w:rPr>
          <w:rFonts w:ascii="仿宋_GB2312" w:eastAsia="仿宋_GB2312" w:hAnsi="仿宋_GB2312" w:cs="仿宋_GB2312" w:hint="eastAsia"/>
          <w:b w:val="0"/>
          <w:bCs/>
          <w:sz w:val="32"/>
          <w:szCs w:val="32"/>
        </w:rPr>
        <w:lastRenderedPageBreak/>
        <w:t>合稻田占比率，进排水系统完善，田埂加固、稻田平整、机耕道路和辅助道路建设；生产环节技术设施完善提升，包括病害防治体系建设，防逃收捕设施建设。</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二、资金补助标准</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（一） 渔业装备设施补助</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1.水产品初加工和冷藏保鲜。单个设备补助不超过各设备补助上限（设备补助类型及标准见附件1），且不超过设备购置价格的30%。</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2.智能增氧设备。每个装备补助不超过20万元，且不超过设备购置价格的30%。</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（二）渔业绿色循环发展补助</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1.集中连片养殖池塘标准化改造和养殖尾水处理达标。每亩补助2000元。</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2.水质监控系统。每个系统补助不超过50万元，且不超过设备购置价格的30%。</w:t>
      </w:r>
    </w:p>
    <w:p w:rsidR="00D36A11" w:rsidRDefault="007E1C7B">
      <w:pPr>
        <w:pStyle w:val="af"/>
        <w:spacing w:line="600" w:lineRule="exact"/>
        <w:ind w:firstLineChars="200" w:firstLine="640"/>
        <w:jc w:val="both"/>
        <w:rPr>
          <w:rFonts w:ascii="楷体_GB2312" w:eastAsia="楷体_GB2312" w:hAnsi="楷体_GB2312" w:cs="楷体_GB2312"/>
          <w:b w:val="0"/>
          <w:bCs/>
          <w:sz w:val="32"/>
          <w:szCs w:val="32"/>
        </w:rPr>
      </w:pPr>
      <w:r>
        <w:rPr>
          <w:rFonts w:ascii="楷体_GB2312" w:eastAsia="楷体_GB2312" w:hAnsi="楷体_GB2312" w:cs="楷体_GB2312" w:hint="eastAsia"/>
          <w:b w:val="0"/>
          <w:bCs/>
          <w:sz w:val="32"/>
          <w:szCs w:val="32"/>
        </w:rPr>
        <w:t>（三）渔业高质量发展支出</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1.设施渔业建设。陆基圆桶按照直径大于6米，深度大于1.5米，或者圆桶容积45立方米以上建造，每立方米补助不超过300元，每个主体最高补助100万元。</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2.渔业信息化建设。每个县补助60万元，建设基地不少于4个。</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3.大水面生态渔业示范点建设。支持县域大水面生态渔业示</w:t>
      </w:r>
      <w:r>
        <w:rPr>
          <w:rFonts w:ascii="仿宋_GB2312" w:eastAsia="仿宋_GB2312" w:hAnsi="仿宋_GB2312" w:cs="仿宋_GB2312" w:hint="eastAsia"/>
          <w:b w:val="0"/>
          <w:bCs/>
          <w:sz w:val="32"/>
          <w:szCs w:val="32"/>
        </w:rPr>
        <w:lastRenderedPageBreak/>
        <w:t>范基地建设，每个县补助60万元，建设基地不少于3个。</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4.渔业资源养护示范点建设。每个点补助20万元。</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5.稻渔综合种养建设。每亩补助400元。</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三、资金补助对象</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资金补助对象主要为具有完善的财务管理体系制度，生产经营稳定，信用良好，具有一定示范带动作用的渔业生产经营主体，包括村集体、合作社、公司、企事业单位等。</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四、资金分配情况及建设内容</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2022年中央成品油价格调整对渔业补助资金3128万元，结合实际，具体资金分配及建设目标任务见附表2.3。</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五、实施期限</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1年。</w:t>
      </w:r>
    </w:p>
    <w:p w:rsidR="00D36A11" w:rsidRDefault="007E1C7B">
      <w:pPr>
        <w:pStyle w:val="af"/>
        <w:spacing w:line="60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六、资金管理</w:t>
      </w: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各级农业农村部门要会同财政部门按照中央《渔业发展补助资金管理办法》《财政部 农业农村部关于实施渔业发展支持政策推动渔业高质量发展的通知》等文件要求，强化监督检查，用好用实财政资金。各项目县（市、区）要按照省级实施方案，结合本地区实际，进一步明确支持对象、支持标准、支持方式、实施要求等内容，进一步做好方案的细化与完善，要加强项目主体遴选管理，确保过程、结果公开、公平、公正，要科学开展绩效管理，做好数量、质量、时效、生态、经济、社会及满意度等指标的制定和考评。各市要将辖区内县（市、区）项目实施方案汇总</w:t>
      </w:r>
      <w:r>
        <w:rPr>
          <w:rFonts w:ascii="仿宋_GB2312" w:eastAsia="仿宋_GB2312" w:hAnsi="仿宋_GB2312" w:cs="仿宋_GB2312" w:hint="eastAsia"/>
          <w:b w:val="0"/>
          <w:bCs/>
          <w:sz w:val="32"/>
          <w:szCs w:val="32"/>
        </w:rPr>
        <w:lastRenderedPageBreak/>
        <w:t>后，于2022年9月2日报省农业农村厅备案。</w:t>
      </w:r>
    </w:p>
    <w:p w:rsidR="00D36A11" w:rsidRDefault="00D36A11">
      <w:pPr>
        <w:pStyle w:val="af"/>
        <w:spacing w:line="600" w:lineRule="exact"/>
        <w:ind w:firstLineChars="200" w:firstLine="640"/>
        <w:jc w:val="both"/>
        <w:rPr>
          <w:rFonts w:ascii="仿宋_GB2312" w:eastAsia="仿宋_GB2312" w:hAnsi="仿宋_GB2312" w:cs="仿宋_GB2312"/>
          <w:b w:val="0"/>
          <w:bCs/>
          <w:sz w:val="32"/>
          <w:szCs w:val="32"/>
        </w:rPr>
      </w:pPr>
    </w:p>
    <w:p w:rsidR="00D36A11" w:rsidRDefault="007E1C7B">
      <w:pPr>
        <w:pStyle w:val="af"/>
        <w:spacing w:line="600" w:lineRule="exact"/>
        <w:ind w:firstLineChars="200" w:firstLine="64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附表：1.水产品加工和仓储保鲜设备补助类型及标准</w:t>
      </w:r>
    </w:p>
    <w:p w:rsidR="00D36A11" w:rsidRDefault="007E1C7B">
      <w:pPr>
        <w:pStyle w:val="af"/>
        <w:spacing w:line="600" w:lineRule="exact"/>
        <w:ind w:firstLineChars="500" w:firstLine="160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2.2022年成品油价格调整对渔业补助资金及任务分</w:t>
      </w:r>
    </w:p>
    <w:p w:rsidR="00D36A11" w:rsidRDefault="007E1C7B">
      <w:pPr>
        <w:pStyle w:val="af"/>
        <w:spacing w:line="600" w:lineRule="exact"/>
        <w:ind w:firstLineChars="600" w:firstLine="192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配表</w:t>
      </w:r>
    </w:p>
    <w:p w:rsidR="00D36A11" w:rsidRDefault="007E1C7B">
      <w:pPr>
        <w:pStyle w:val="af"/>
        <w:spacing w:line="600" w:lineRule="exact"/>
        <w:ind w:firstLineChars="500" w:firstLine="160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3.2022年成品油价格调整对渔业补助资金项目任务</w:t>
      </w:r>
    </w:p>
    <w:p w:rsidR="00D36A11" w:rsidRDefault="007E1C7B">
      <w:pPr>
        <w:pStyle w:val="af"/>
        <w:spacing w:line="600" w:lineRule="exact"/>
        <w:ind w:firstLineChars="600" w:firstLine="192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汇总表</w:t>
      </w:r>
    </w:p>
    <w:p w:rsidR="00D36A11" w:rsidRDefault="007E1C7B">
      <w:pPr>
        <w:pStyle w:val="af"/>
        <w:spacing w:line="600" w:lineRule="exact"/>
        <w:ind w:firstLineChars="500" w:firstLine="1600"/>
        <w:jc w:val="both"/>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4.2022年成品油价格调整对渔业补助资金项目绩效</w:t>
      </w:r>
    </w:p>
    <w:p w:rsidR="00D36A11" w:rsidRDefault="007E1C7B">
      <w:pPr>
        <w:pStyle w:val="af"/>
        <w:spacing w:line="600" w:lineRule="exact"/>
        <w:ind w:firstLineChars="600" w:firstLine="1920"/>
        <w:jc w:val="both"/>
        <w:rPr>
          <w:rFonts w:ascii="仿宋_GB2312" w:eastAsia="仿宋_GB2312" w:hAnsi="仿宋_GB2312" w:cs="仿宋_GB2312"/>
          <w:b w:val="0"/>
          <w:bCs/>
          <w:spacing w:val="-11"/>
          <w:sz w:val="32"/>
          <w:szCs w:val="32"/>
        </w:rPr>
      </w:pPr>
      <w:r>
        <w:rPr>
          <w:rFonts w:ascii="仿宋_GB2312" w:eastAsia="仿宋_GB2312" w:hAnsi="仿宋_GB2312" w:cs="仿宋_GB2312" w:hint="eastAsia"/>
          <w:b w:val="0"/>
          <w:bCs/>
          <w:sz w:val="32"/>
          <w:szCs w:val="32"/>
        </w:rPr>
        <w:t>目标表</w:t>
      </w:r>
    </w:p>
    <w:p w:rsidR="00D36A11" w:rsidRDefault="00D36A11">
      <w:pPr>
        <w:sectPr w:rsidR="00D36A11">
          <w:footerReference w:type="even" r:id="rId7"/>
          <w:footerReference w:type="default" r:id="rId8"/>
          <w:headerReference w:type="first" r:id="rId9"/>
          <w:footerReference w:type="first" r:id="rId10"/>
          <w:pgSz w:w="11906" w:h="16838"/>
          <w:pgMar w:top="1871" w:right="1531" w:bottom="1474" w:left="1531" w:header="851" w:footer="1134" w:gutter="0"/>
          <w:cols w:space="720"/>
          <w:docGrid w:linePitch="610" w:charSpace="-2506"/>
        </w:sectPr>
      </w:pPr>
    </w:p>
    <w:p w:rsidR="00D36A11" w:rsidRDefault="007E1C7B">
      <w:pPr>
        <w:widowControl/>
        <w:adjustRightInd w:val="0"/>
        <w:snapToGrid w:val="0"/>
        <w:spacing w:line="600" w:lineRule="exact"/>
        <w:rPr>
          <w:rFonts w:ascii="黑体" w:eastAsia="黑体" w:hAnsi="黑体"/>
          <w:color w:val="000000"/>
          <w:kern w:val="0"/>
          <w:sz w:val="32"/>
          <w:szCs w:val="32"/>
        </w:rPr>
      </w:pPr>
      <w:r>
        <w:rPr>
          <w:rFonts w:ascii="黑体" w:eastAsia="黑体" w:hAnsi="黑体"/>
          <w:color w:val="000000"/>
          <w:kern w:val="0"/>
          <w:sz w:val="32"/>
          <w:szCs w:val="32"/>
        </w:rPr>
        <w:lastRenderedPageBreak/>
        <w:t>附表</w:t>
      </w:r>
      <w:r>
        <w:rPr>
          <w:rFonts w:ascii="黑体" w:eastAsia="黑体" w:hAnsi="黑体" w:hint="eastAsia"/>
          <w:color w:val="000000"/>
          <w:kern w:val="0"/>
          <w:sz w:val="32"/>
          <w:szCs w:val="32"/>
        </w:rPr>
        <w:t>1</w:t>
      </w:r>
    </w:p>
    <w:p w:rsidR="00D36A11" w:rsidRDefault="00D36A11">
      <w:pPr>
        <w:pStyle w:val="a0"/>
      </w:pP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水产品加工和仓储保鲜设备</w:t>
      </w: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补助类型及标准</w:t>
      </w:r>
    </w:p>
    <w:p w:rsidR="00D36A11" w:rsidRDefault="00D36A11">
      <w:pPr>
        <w:pStyle w:val="a0"/>
      </w:pPr>
    </w:p>
    <w:tbl>
      <w:tblPr>
        <w:tblW w:w="53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3"/>
        <w:gridCol w:w="2417"/>
        <w:gridCol w:w="19474"/>
        <w:gridCol w:w="8069"/>
      </w:tblGrid>
      <w:tr w:rsidR="00D36A11">
        <w:trPr>
          <w:trHeight w:val="567"/>
          <w:tblHeader/>
          <w:jc w:val="center"/>
        </w:trPr>
        <w:tc>
          <w:tcPr>
            <w:tcW w:w="897" w:type="pct"/>
            <w:gridSpan w:val="2"/>
            <w:noWrap/>
            <w:vAlign w:val="center"/>
          </w:tcPr>
          <w:p w:rsidR="00D36A11" w:rsidRDefault="007E1C7B">
            <w:pPr>
              <w:spacing w:line="320" w:lineRule="exact"/>
              <w:jc w:val="center"/>
              <w:rPr>
                <w:rFonts w:ascii="黑体" w:eastAsia="黑体" w:hAnsi="黑体" w:cs="黑体"/>
                <w:bCs/>
                <w:sz w:val="24"/>
                <w:szCs w:val="24"/>
              </w:rPr>
            </w:pPr>
            <w:r>
              <w:rPr>
                <w:rFonts w:ascii="黑体" w:eastAsia="黑体" w:hAnsi="黑体" w:cs="黑体" w:hint="eastAsia"/>
                <w:bCs/>
                <w:sz w:val="24"/>
                <w:szCs w:val="24"/>
              </w:rPr>
              <w:t>设备类型</w:t>
            </w:r>
          </w:p>
        </w:tc>
        <w:tc>
          <w:tcPr>
            <w:tcW w:w="2355" w:type="pct"/>
            <w:noWrap/>
            <w:vAlign w:val="center"/>
          </w:tcPr>
          <w:p w:rsidR="00D36A11" w:rsidRDefault="007E1C7B">
            <w:pPr>
              <w:spacing w:line="320" w:lineRule="exact"/>
              <w:jc w:val="center"/>
              <w:rPr>
                <w:rFonts w:ascii="黑体" w:eastAsia="黑体" w:hAnsi="黑体" w:cs="黑体"/>
                <w:bCs/>
                <w:sz w:val="24"/>
                <w:szCs w:val="24"/>
              </w:rPr>
            </w:pPr>
            <w:r>
              <w:rPr>
                <w:rFonts w:ascii="黑体" w:eastAsia="黑体" w:hAnsi="黑体" w:cs="黑体" w:hint="eastAsia"/>
                <w:bCs/>
                <w:sz w:val="24"/>
                <w:szCs w:val="24"/>
              </w:rPr>
              <w:t>设备要求</w:t>
            </w:r>
          </w:p>
        </w:tc>
        <w:tc>
          <w:tcPr>
            <w:tcW w:w="1746" w:type="pct"/>
            <w:noWrap/>
            <w:vAlign w:val="center"/>
          </w:tcPr>
          <w:p w:rsidR="00D36A11" w:rsidRDefault="007E1C7B">
            <w:pPr>
              <w:spacing w:line="320" w:lineRule="exact"/>
              <w:jc w:val="center"/>
              <w:rPr>
                <w:rFonts w:ascii="黑体" w:eastAsia="黑体" w:hAnsi="黑体" w:cs="黑体"/>
                <w:bCs/>
                <w:sz w:val="24"/>
                <w:szCs w:val="24"/>
              </w:rPr>
            </w:pPr>
            <w:r>
              <w:rPr>
                <w:rFonts w:ascii="黑体" w:eastAsia="黑体" w:hAnsi="黑体" w:cs="黑体" w:hint="eastAsia"/>
                <w:bCs/>
                <w:sz w:val="24"/>
                <w:szCs w:val="24"/>
              </w:rPr>
              <w:t>补助标准</w:t>
            </w:r>
          </w:p>
        </w:tc>
      </w:tr>
      <w:tr w:rsidR="00D36A11">
        <w:trPr>
          <w:trHeight w:val="1156"/>
          <w:jc w:val="center"/>
        </w:trPr>
        <w:tc>
          <w:tcPr>
            <w:tcW w:w="335" w:type="pct"/>
            <w:vMerge w:val="restart"/>
            <w:noWrap/>
            <w:vAlign w:val="center"/>
          </w:tcPr>
          <w:p w:rsidR="00D36A11" w:rsidRDefault="007E1C7B">
            <w:pPr>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一、原料处理设备</w:t>
            </w: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1.全自动清洗设备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低能耗、高效率，每台清洗效率（处理能力）≥1000千克/小时，洁净度≥90%</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每台设备补助不超过实际购买价格的30%（以购置发票为准，下同），最高不超过60万元</w:t>
            </w:r>
          </w:p>
        </w:tc>
      </w:tr>
      <w:tr w:rsidR="00D36A11">
        <w:trPr>
          <w:trHeight w:val="1531"/>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2.全自动去鳞去内脏设备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自动化程度高、连续式去鳞，鳞片去除率≥95%，每台去鳞效率（处理能力）≥1000千克/小时；内脏去除率≥90%，每台去内脏效率（处理能力）≥500千克/小时</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每台设备补助不超过实际购买价格的30%，最高不超过50万元</w:t>
            </w:r>
          </w:p>
        </w:tc>
      </w:tr>
      <w:tr w:rsidR="00D36A11">
        <w:trPr>
          <w:trHeight w:val="1531"/>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3.自动去壳剥虾设备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每台</w:t>
            </w:r>
            <w:r>
              <w:rPr>
                <w:rFonts w:ascii="仿宋_GB2312" w:eastAsia="仿宋_GB2312" w:hAnsi="仿宋_GB2312" w:cs="仿宋_GB2312" w:hint="eastAsia"/>
                <w:bCs/>
                <w:color w:val="000000"/>
                <w:kern w:val="0"/>
                <w:sz w:val="24"/>
                <w:szCs w:val="24"/>
              </w:rPr>
              <w:t>自动剥虾≥500千克/小时，去壳率≥95%，虾仁损耗率≤5%</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每台设备补助不超过实际购买价格的30%，最高不超过50万元</w:t>
            </w:r>
          </w:p>
        </w:tc>
      </w:tr>
      <w:tr w:rsidR="00D36A11">
        <w:trPr>
          <w:trHeight w:val="1531"/>
          <w:jc w:val="center"/>
        </w:trPr>
        <w:tc>
          <w:tcPr>
            <w:tcW w:w="335" w:type="pct"/>
            <w:vMerge w:val="restart"/>
            <w:noWrap/>
            <w:vAlign w:val="center"/>
          </w:tcPr>
          <w:p w:rsidR="00D36A11" w:rsidRDefault="007E1C7B">
            <w:pPr>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二、分级分割设备</w:t>
            </w: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1.精准称重分选设备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全自动精准称重，每小时分选称重分选级别≥3级，分选精度±0.1克(干)/±1克（湿）</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每台设备补助不超过实际购买价格的30%，最高不超过50万元</w:t>
            </w:r>
          </w:p>
        </w:tc>
      </w:tr>
      <w:tr w:rsidR="00D36A11">
        <w:trPr>
          <w:trHeight w:val="1531"/>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2.全自动分割、切片设备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每台</w:t>
            </w:r>
            <w:r>
              <w:rPr>
                <w:rFonts w:ascii="仿宋_GB2312" w:eastAsia="仿宋_GB2312" w:hAnsi="仿宋_GB2312" w:cs="仿宋_GB2312" w:hint="eastAsia"/>
                <w:bCs/>
                <w:color w:val="000000"/>
                <w:kern w:val="0"/>
                <w:sz w:val="24"/>
                <w:szCs w:val="24"/>
              </w:rPr>
              <w:t>处理能力≥300千克/小时，精准率≥95%。包括全自动分割机、开背机、切片机等</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每台设备补助不超过实际购买价格的30%，最高不超过50万元</w:t>
            </w:r>
          </w:p>
        </w:tc>
      </w:tr>
      <w:tr w:rsidR="00D36A11">
        <w:trPr>
          <w:trHeight w:val="1531"/>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3.鱼糜加工设备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破碎/打浆机（处理量≥20吨/小时），采肉机（每台处理能力≥500千克/小时，鱼糜制品成型机（重量偏差≤5%，每台产量≥50千克/小时）</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每台设备补助不超过实际购买价格的30%，最高不超过50万元</w:t>
            </w:r>
          </w:p>
        </w:tc>
      </w:tr>
      <w:tr w:rsidR="00D36A11">
        <w:trPr>
          <w:trHeight w:val="1531"/>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4.全自动滚揉机</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容积≥500L</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每台设备补助不超过实际购买价格的30%，最高不超过10万元</w:t>
            </w:r>
          </w:p>
        </w:tc>
      </w:tr>
      <w:tr w:rsidR="00D36A11">
        <w:trPr>
          <w:jc w:val="center"/>
        </w:trPr>
        <w:tc>
          <w:tcPr>
            <w:tcW w:w="335" w:type="pct"/>
            <w:vMerge w:val="restart"/>
            <w:noWrap/>
            <w:vAlign w:val="center"/>
          </w:tcPr>
          <w:p w:rsidR="00D36A11" w:rsidRDefault="007E1C7B">
            <w:pPr>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三、</w:t>
            </w:r>
            <w:r>
              <w:rPr>
                <w:rFonts w:ascii="仿宋_GB2312" w:eastAsia="仿宋_GB2312" w:hAnsi="仿宋_GB2312" w:cs="仿宋_GB2312" w:hint="eastAsia"/>
                <w:b/>
                <w:color w:val="000000"/>
                <w:kern w:val="0"/>
                <w:sz w:val="24"/>
                <w:szCs w:val="24"/>
              </w:rPr>
              <w:t>包装冷冻设备</w:t>
            </w: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1.全自动包装设备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自动完成产品包装、贴标，包装合格率≥98%</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每台设备补助不超过实际购买价格的30%，最高不超过20万元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2.全自动配重设备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用于产品配重包装，可按预设的数量和重量进行精确配重，并自动输送至包装工位，高效解决人工多次配重效率低问题。</w:t>
            </w:r>
            <w:r>
              <w:rPr>
                <w:rFonts w:ascii="仿宋_GB2312" w:eastAsia="仿宋_GB2312" w:hAnsi="仿宋_GB2312" w:cs="仿宋_GB2312" w:hint="eastAsia"/>
                <w:bCs/>
                <w:color w:val="000000"/>
                <w:kern w:val="0"/>
                <w:sz w:val="24"/>
                <w:szCs w:val="24"/>
              </w:rPr>
              <w:t>生产效率≥45包/分钟</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每台设备补助不超过实际购买价格的30%，最高不超过30万元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3.快速冻结设备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液氮速冻设备、液体冷冻设备须达到快速冻结肌肉细胞不破损、产品锁鲜需求，其中：隧道式液氮速冻设备速冻能力≥500千克/小时，氮耗率小于1.5；双螺旋速冻设备（单冻）速冻能力≥1000千克/小时，冷量≥140KW</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每台设备补助不超过实际购买价格的30%，最高不超过40万元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4.小型冷库配套设备</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温度可保持在≤-18℃，公称容积≥100m</w:t>
            </w:r>
            <w:r>
              <w:rPr>
                <w:rFonts w:ascii="仿宋_GB2312" w:eastAsia="仿宋_GB2312" w:hAnsi="仿宋_GB2312" w:cs="仿宋_GB2312" w:hint="eastAsia"/>
                <w:bCs/>
                <w:color w:val="000000"/>
                <w:kern w:val="0"/>
                <w:sz w:val="24"/>
                <w:szCs w:val="24"/>
                <w:vertAlign w:val="superscript"/>
              </w:rPr>
              <w:t>3</w:t>
            </w:r>
            <w:r>
              <w:rPr>
                <w:rFonts w:ascii="仿宋_GB2312" w:eastAsia="仿宋_GB2312" w:hAnsi="仿宋_GB2312" w:cs="仿宋_GB2312" w:hint="eastAsia"/>
                <w:bCs/>
                <w:color w:val="000000"/>
                <w:kern w:val="0"/>
                <w:sz w:val="24"/>
                <w:szCs w:val="24"/>
              </w:rPr>
              <w:t>，制冷系统压缩机功率P≥3 kW</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每台设备补助不超过实际购买价格的30%，最高不超过30万元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5.制冰机</w:t>
            </w:r>
          </w:p>
        </w:tc>
        <w:tc>
          <w:tcPr>
            <w:tcW w:w="2355"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制冰能力≥1吨/日</w:t>
            </w:r>
          </w:p>
        </w:tc>
        <w:tc>
          <w:tcPr>
            <w:tcW w:w="1746" w:type="pct"/>
            <w:noWrap/>
            <w:vAlign w:val="center"/>
          </w:tcPr>
          <w:p w:rsidR="00D36A11" w:rsidRDefault="007E1C7B">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bCs/>
                <w:color w:val="000000"/>
                <w:kern w:val="0"/>
                <w:sz w:val="24"/>
                <w:szCs w:val="24"/>
              </w:rPr>
              <w:t>每台设备补助不超过实际购买价格的30%，最高不超过10万元</w:t>
            </w:r>
          </w:p>
        </w:tc>
      </w:tr>
      <w:tr w:rsidR="00D36A11">
        <w:trPr>
          <w:jc w:val="center"/>
        </w:trPr>
        <w:tc>
          <w:tcPr>
            <w:tcW w:w="335" w:type="pct"/>
            <w:vMerge w:val="restart"/>
            <w:noWrap/>
            <w:vAlign w:val="center"/>
          </w:tcPr>
          <w:p w:rsidR="00D36A11" w:rsidRDefault="007E1C7B">
            <w:pPr>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四、</w:t>
            </w:r>
            <w:r>
              <w:rPr>
                <w:rFonts w:ascii="仿宋_GB2312" w:eastAsia="仿宋_GB2312" w:hAnsi="仿宋_GB2312" w:cs="仿宋_GB2312" w:hint="eastAsia"/>
                <w:b/>
                <w:kern w:val="0"/>
                <w:sz w:val="24"/>
                <w:szCs w:val="24"/>
              </w:rPr>
              <w:t>低温暂养设备</w:t>
            </w: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1.低温暂养设</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通过制冷系统控制水体温度保持在5℃－15℃，暂养用水可循环使用，暂养池容量≥5吨</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每台设备补助不超过实际购买价格的30%，最高不超过30万元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2.生物过滤设备</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用于吸收转化氨氮等有毒有害物质，水质达到暂养生物所需水质要求且循环使用。回用水水质氨氮控制在0.2mg/L以下、溶解氧在6mg/L以上</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每台设备补助不超过实际购买价格的30%，最高不超过10万元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b/>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kern w:val="0"/>
                <w:sz w:val="24"/>
                <w:szCs w:val="24"/>
              </w:rPr>
              <w:t>3.固液分离机</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kern w:val="0"/>
                <w:sz w:val="24"/>
                <w:szCs w:val="24"/>
              </w:rPr>
              <w:t>120目以上，每小时流量600吨以下</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kern w:val="0"/>
                <w:sz w:val="24"/>
                <w:szCs w:val="24"/>
              </w:rPr>
              <w:t>每台设备补助不超过实际购买价格的30%，最高不超过5万元</w:t>
            </w:r>
          </w:p>
        </w:tc>
      </w:tr>
      <w:tr w:rsidR="00D36A11">
        <w:trPr>
          <w:jc w:val="center"/>
        </w:trPr>
        <w:tc>
          <w:tcPr>
            <w:tcW w:w="335" w:type="pct"/>
            <w:vMerge w:val="restart"/>
            <w:noWrap/>
            <w:vAlign w:val="center"/>
          </w:tcPr>
          <w:p w:rsidR="00D36A11" w:rsidRDefault="007E1C7B">
            <w:pPr>
              <w:spacing w:line="32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五、其他类</w:t>
            </w: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bCs/>
                <w:color w:val="000000"/>
                <w:kern w:val="0"/>
                <w:sz w:val="24"/>
                <w:szCs w:val="24"/>
              </w:rPr>
              <w:t>1.副产物利用类设备</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用于加工副产物的酶解、发酵、浓缩等综合利用加工，可实现温度、转速等参数的控制和监测，提高产品品质。处理能力≥1000L/批次</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每台设备补助不超过实际购买价格的30%，最高不超过20万元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2.废水处理类设备</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按照水产品加工废水排放有关标准进行废水处理，日处理能力≥5吨</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每台设备补助不超过实际购买价格的30%，最高不超过30万元</w:t>
            </w:r>
          </w:p>
        </w:tc>
      </w:tr>
      <w:tr w:rsidR="00D36A11">
        <w:trPr>
          <w:jc w:val="center"/>
        </w:trPr>
        <w:tc>
          <w:tcPr>
            <w:tcW w:w="335" w:type="pct"/>
            <w:vMerge/>
            <w:noWrap/>
            <w:vAlign w:val="center"/>
          </w:tcPr>
          <w:p w:rsidR="00D36A11" w:rsidRDefault="00D36A11">
            <w:pPr>
              <w:spacing w:line="320" w:lineRule="exact"/>
              <w:jc w:val="center"/>
              <w:rPr>
                <w:rFonts w:ascii="仿宋_GB2312" w:eastAsia="仿宋_GB2312" w:hAnsi="仿宋_GB2312" w:cs="仿宋_GB2312"/>
                <w:sz w:val="24"/>
                <w:szCs w:val="24"/>
              </w:rPr>
            </w:pPr>
          </w:p>
        </w:tc>
        <w:tc>
          <w:tcPr>
            <w:tcW w:w="561" w:type="pct"/>
            <w:noWrap/>
            <w:vAlign w:val="center"/>
          </w:tcPr>
          <w:p w:rsidR="00D36A11" w:rsidRDefault="007E1C7B">
            <w:pPr>
              <w:spacing w:line="300" w:lineRule="exact"/>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bCs/>
                <w:color w:val="000000"/>
                <w:kern w:val="0"/>
                <w:sz w:val="24"/>
                <w:szCs w:val="24"/>
              </w:rPr>
              <w:t>3.信息化类设备</w:t>
            </w:r>
          </w:p>
        </w:tc>
        <w:tc>
          <w:tcPr>
            <w:tcW w:w="2355"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建设适用于水产加工企业的信息化管理系统（MES系统），打造冷链仓储物流、生产加工、精细化成本控制、销售渠道管理与全程质量追溯等体系</w:t>
            </w:r>
          </w:p>
        </w:tc>
        <w:tc>
          <w:tcPr>
            <w:tcW w:w="1746" w:type="pct"/>
            <w:noWrap/>
            <w:vAlign w:val="center"/>
          </w:tcPr>
          <w:p w:rsidR="00D36A11" w:rsidRDefault="007E1C7B">
            <w:pPr>
              <w:spacing w:line="300" w:lineRule="exact"/>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每台设备补助不超过实际购买价格的30%，最高不超过20万元</w:t>
            </w:r>
          </w:p>
        </w:tc>
      </w:tr>
    </w:tbl>
    <w:p w:rsidR="00D36A11" w:rsidRDefault="00D36A11">
      <w:pPr>
        <w:widowControl/>
        <w:jc w:val="left"/>
        <w:rPr>
          <w:rFonts w:ascii="黑体" w:eastAsia="黑体" w:hAnsi="黑体"/>
          <w:color w:val="000000"/>
          <w:kern w:val="0"/>
          <w:sz w:val="32"/>
          <w:szCs w:val="32"/>
        </w:rPr>
        <w:sectPr w:rsidR="00D36A11">
          <w:pgSz w:w="11906" w:h="16838"/>
          <w:pgMar w:top="1871" w:right="1531" w:bottom="1474" w:left="1531" w:header="851" w:footer="1134" w:gutter="0"/>
          <w:cols w:space="720"/>
          <w:docGrid w:type="lines" w:linePitch="312"/>
        </w:sectPr>
      </w:pPr>
    </w:p>
    <w:p w:rsidR="00D36A11" w:rsidRDefault="007E1C7B">
      <w:pPr>
        <w:widowControl/>
        <w:jc w:val="left"/>
        <w:rPr>
          <w:rFonts w:ascii="黑体" w:eastAsia="黑体" w:hAnsi="黑体"/>
          <w:color w:val="000000"/>
          <w:kern w:val="0"/>
          <w:sz w:val="32"/>
          <w:szCs w:val="32"/>
        </w:rPr>
      </w:pPr>
      <w:r>
        <w:rPr>
          <w:rFonts w:ascii="黑体" w:eastAsia="黑体" w:hAnsi="黑体"/>
          <w:color w:val="000000"/>
          <w:kern w:val="0"/>
          <w:sz w:val="32"/>
          <w:szCs w:val="32"/>
        </w:rPr>
        <w:lastRenderedPageBreak/>
        <w:t>附表</w:t>
      </w:r>
      <w:r>
        <w:rPr>
          <w:rFonts w:ascii="黑体" w:eastAsia="黑体" w:hAnsi="黑体" w:hint="eastAsia"/>
          <w:color w:val="000000"/>
          <w:kern w:val="0"/>
          <w:sz w:val="32"/>
          <w:szCs w:val="32"/>
        </w:rPr>
        <w:t>2</w:t>
      </w:r>
    </w:p>
    <w:p w:rsidR="00D36A11" w:rsidRDefault="00D36A11">
      <w:pPr>
        <w:pStyle w:val="a0"/>
      </w:pP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2022年成品油价格调整对渔业补助</w:t>
      </w: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资金及任务分配表</w:t>
      </w:r>
    </w:p>
    <w:p w:rsidR="00D36A11" w:rsidRDefault="00D36A11">
      <w:pPr>
        <w:pStyle w:val="a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78"/>
        <w:gridCol w:w="1011"/>
        <w:gridCol w:w="4508"/>
        <w:gridCol w:w="1701"/>
      </w:tblGrid>
      <w:tr w:rsidR="00D36A11">
        <w:trPr>
          <w:trHeight w:val="567"/>
          <w:tblHeader/>
        </w:trPr>
        <w:tc>
          <w:tcPr>
            <w:tcW w:w="721" w:type="dxa"/>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序号</w:t>
            </w:r>
          </w:p>
        </w:tc>
        <w:tc>
          <w:tcPr>
            <w:tcW w:w="1589" w:type="dxa"/>
            <w:gridSpan w:val="2"/>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市县（区）</w:t>
            </w:r>
          </w:p>
        </w:tc>
        <w:tc>
          <w:tcPr>
            <w:tcW w:w="4508" w:type="dxa"/>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目标任务</w:t>
            </w:r>
          </w:p>
        </w:tc>
        <w:tc>
          <w:tcPr>
            <w:tcW w:w="1701" w:type="dxa"/>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金额（万元）</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w:t>
            </w:r>
          </w:p>
        </w:tc>
        <w:tc>
          <w:tcPr>
            <w:tcW w:w="578" w:type="dxa"/>
            <w:vMerge w:val="restart"/>
            <w:tcBorders>
              <w:right w:val="single" w:sz="4" w:space="0" w:color="auto"/>
            </w:tcBorders>
            <w:noWrap/>
            <w:vAlign w:val="center"/>
          </w:tcPr>
          <w:p w:rsidR="00D36A11" w:rsidRDefault="007E1C7B">
            <w:pPr>
              <w:spacing w:line="32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西安市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长安区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集中连片养殖池塘改造和养殖尾水处理达标300亩；开展设施渔业建设，建设圆桶2350立方米以上；开展渔业信息化建设，建设基地4个。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w:t>
            </w:r>
          </w:p>
        </w:tc>
        <w:tc>
          <w:tcPr>
            <w:tcW w:w="578" w:type="dxa"/>
            <w:vMerge/>
            <w:tcBorders>
              <w:right w:val="single" w:sz="4" w:space="0" w:color="auto"/>
            </w:tcBorders>
            <w:noWrap/>
            <w:vAlign w:val="center"/>
          </w:tcPr>
          <w:p w:rsidR="00D36A11" w:rsidRDefault="00D36A11">
            <w:pPr>
              <w:spacing w:line="320" w:lineRule="exact"/>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鄠邑区</w:t>
            </w:r>
          </w:p>
        </w:tc>
        <w:tc>
          <w:tcPr>
            <w:tcW w:w="4508" w:type="dxa"/>
            <w:noWrap/>
            <w:vAlign w:val="center"/>
          </w:tcPr>
          <w:p w:rsidR="00D36A11" w:rsidRDefault="007E1C7B">
            <w:pPr>
              <w:spacing w:line="320" w:lineRule="exact"/>
              <w:jc w:val="left"/>
              <w:rPr>
                <w:rFonts w:ascii="仿宋_GB2312" w:eastAsia="仿宋_GB2312" w:hAnsi="仿宋_GB2312" w:cs="仿宋_GB2312"/>
                <w:b/>
                <w:bCs/>
                <w:color w:val="000000"/>
                <w:sz w:val="24"/>
                <w:szCs w:val="24"/>
              </w:rPr>
            </w:pPr>
            <w:r>
              <w:rPr>
                <w:rFonts w:ascii="仿宋_GB2312" w:eastAsia="仿宋_GB2312" w:hAnsi="仿宋_GB2312" w:cs="仿宋_GB2312" w:hint="eastAsia"/>
                <w:color w:val="000000"/>
                <w:sz w:val="24"/>
                <w:szCs w:val="24"/>
              </w:rPr>
              <w:t>开展设施渔业建设，建设圆桶2700立方米以上；新建稻渔综合面积300亩。</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92</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w:t>
            </w:r>
          </w:p>
        </w:tc>
        <w:tc>
          <w:tcPr>
            <w:tcW w:w="578" w:type="dxa"/>
            <w:vMerge/>
            <w:tcBorders>
              <w:right w:val="single" w:sz="4" w:space="0" w:color="auto"/>
            </w:tcBorders>
            <w:noWrap/>
            <w:vAlign w:val="center"/>
          </w:tcPr>
          <w:p w:rsidR="00D36A11" w:rsidRDefault="00D36A11">
            <w:pPr>
              <w:spacing w:line="320" w:lineRule="exact"/>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灞桥区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开展设施渔业建设，建设圆桶1700立方米以上。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4</w:t>
            </w:r>
          </w:p>
        </w:tc>
        <w:tc>
          <w:tcPr>
            <w:tcW w:w="578" w:type="dxa"/>
            <w:vMerge w:val="restart"/>
            <w:tcBorders>
              <w:right w:val="single" w:sz="4" w:space="0" w:color="auto"/>
            </w:tcBorders>
            <w:noWrap/>
            <w:vAlign w:val="center"/>
          </w:tcPr>
          <w:p w:rsidR="00D36A11" w:rsidRDefault="007E1C7B">
            <w:pPr>
              <w:spacing w:line="32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咸阳市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乾县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集中连片养殖池塘改造和养殖尾水处理达标500亩。</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5</w:t>
            </w:r>
          </w:p>
        </w:tc>
        <w:tc>
          <w:tcPr>
            <w:tcW w:w="578" w:type="dxa"/>
            <w:vMerge/>
            <w:tcBorders>
              <w:right w:val="single" w:sz="4" w:space="0" w:color="auto"/>
            </w:tcBorders>
            <w:noWrap/>
            <w:vAlign w:val="center"/>
          </w:tcPr>
          <w:p w:rsidR="00D36A11" w:rsidRDefault="00D36A11">
            <w:pPr>
              <w:spacing w:line="320" w:lineRule="exact"/>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武功县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开展设施渔业建设，建设圆桶1700立方米以上。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6</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宝鸡市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眉县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购置水产品初加工和仓储保鲜设施设备9台；开展设施渔业建设，建设圆桶2700立方米以上。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110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7</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凤县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建设渔业资源养护示范点1个。开展设施渔业建设，建设圆桶2700立方米以上。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8</w:t>
            </w:r>
          </w:p>
        </w:tc>
        <w:tc>
          <w:tcPr>
            <w:tcW w:w="578"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铜川市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耀州区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9</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渭南市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大荔县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购置水产品初加工和仓储保鲜设施设备12台；建设渔业资源养护示范点1个。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126</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10</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富平县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集中连片养殖池塘改造和养殖尾水处理达标300亩。</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lastRenderedPageBreak/>
              <w:t>11</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延安市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宝塔区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开展设施渔业建设，建设圆桶3350立方米以上。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12</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富县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13</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安塞区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开展设施渔业建设，建设圆桶2000立方米以上。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14</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吴起县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开展设施渔业建设，建设圆桶4000立方米以上。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15</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延川县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16</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黄陵县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开展大水面生态渔业示范点建设，建设基地3个。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17</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榆林市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府谷县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18</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靖边县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开展设施渔业建设，建设圆桶1350立方米以上。开展大水面生态渔业示范点建设，建设基地3个。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19</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汉中市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市本级</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建设渔业资源养护示范点1个；集中连片养殖池塘改造和养殖尾水处理达标100亩。</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20</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南郑区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开展渔业信息化建设，组织建设基地4个。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21</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城固县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开展渔业信息化建设，组织建设基地4个。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trHeight w:val="102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22</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洋县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建设渔业资源养护示范点1个；开展渔业信息化建设，组织建设基地4个。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lastRenderedPageBreak/>
              <w:t>23</w:t>
            </w:r>
          </w:p>
        </w:tc>
        <w:tc>
          <w:tcPr>
            <w:tcW w:w="578"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安康市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汉阴县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开展设施渔业建设，建设圆桶3350立方米以上。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24</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平利县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25</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紫阳县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开展设施渔业建设，建设圆桶2700立方米以上。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26</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旬阳市</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开展设施渔业建设，建设圆桶2350立方米以上。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27</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石泉县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开展设施渔业建设，建设圆桶2350立方米以上。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28</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汉滨区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开展设施渔业建设，建设圆桶4000立方米以上。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29</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镇坪县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开展渔业信息化建设，组织建设基地4个；开展大水面生态渔业示范点建设，建设基地3个；开展设施渔业建设，建设圆桶2700立方米以上。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30</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白河县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建设渔业资源养护示范点1个；购置水产品初加工和仓储保鲜设施设备8台。</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31</w:t>
            </w:r>
          </w:p>
        </w:tc>
        <w:tc>
          <w:tcPr>
            <w:tcW w:w="578" w:type="dxa"/>
            <w:vMerge/>
            <w:tcBorders>
              <w:bottom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bottom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宁陕县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集中连片养殖池塘改造和养殖尾水处理达标200亩。</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32</w:t>
            </w:r>
          </w:p>
        </w:tc>
        <w:tc>
          <w:tcPr>
            <w:tcW w:w="578" w:type="dxa"/>
            <w:vMerge w:val="restart"/>
            <w:tcBorders>
              <w:top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商洛市</w:t>
            </w:r>
          </w:p>
        </w:tc>
        <w:tc>
          <w:tcPr>
            <w:tcW w:w="1011" w:type="dxa"/>
            <w:tcBorders>
              <w:top w:val="single" w:sz="4" w:space="0" w:color="auto"/>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商州区</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集中连片养殖池塘改造和养殖尾水处理达标500亩；开展设施渔业建设，建设圆桶3000立方米以上。</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33</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商南县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开展设施渔业建设，建设圆桶3000立方米以上；开展渔业信息化建设，组织建设基地4个。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34</w:t>
            </w:r>
          </w:p>
        </w:tc>
        <w:tc>
          <w:tcPr>
            <w:tcW w:w="578"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镇安县</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开展设施渔业建设，建设圆桶3000立方米以上；开展渔业信息化建设，组织建设基地4个；建设渔业资源养护示范点1个。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170</w:t>
            </w:r>
          </w:p>
        </w:tc>
      </w:tr>
      <w:tr w:rsidR="00D36A11">
        <w:trPr>
          <w:trHeight w:val="850"/>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35</w:t>
            </w:r>
          </w:p>
        </w:tc>
        <w:tc>
          <w:tcPr>
            <w:tcW w:w="578"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韩城市</w:t>
            </w:r>
          </w:p>
        </w:tc>
        <w:tc>
          <w:tcPr>
            <w:tcW w:w="1011"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韩城市</w:t>
            </w:r>
          </w:p>
        </w:tc>
        <w:tc>
          <w:tcPr>
            <w:tcW w:w="4508" w:type="dxa"/>
            <w:noWrap/>
            <w:vAlign w:val="center"/>
          </w:tcPr>
          <w:p w:rsidR="00D36A11" w:rsidRDefault="007E1C7B">
            <w:pPr>
              <w:spacing w:line="320" w:lineRule="exact"/>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建设渔业资源养护示范点1个。</w:t>
            </w: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trHeight w:val="331"/>
        </w:trPr>
        <w:tc>
          <w:tcPr>
            <w:tcW w:w="721"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合计</w:t>
            </w:r>
          </w:p>
        </w:tc>
        <w:tc>
          <w:tcPr>
            <w:tcW w:w="1589" w:type="dxa"/>
            <w:gridSpan w:val="2"/>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4508" w:type="dxa"/>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01"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3128</w:t>
            </w:r>
          </w:p>
        </w:tc>
      </w:tr>
    </w:tbl>
    <w:p w:rsidR="00D36A11" w:rsidRDefault="00D36A11">
      <w:pPr>
        <w:pStyle w:val="a0"/>
        <w:sectPr w:rsidR="00D36A11">
          <w:pgSz w:w="11906" w:h="16838"/>
          <w:pgMar w:top="1871" w:right="1531" w:bottom="1474" w:left="1531" w:header="851" w:footer="1134" w:gutter="0"/>
          <w:cols w:space="720"/>
          <w:docGrid w:linePitch="610" w:charSpace="-2506"/>
        </w:sectPr>
      </w:pPr>
    </w:p>
    <w:p w:rsidR="00D36A11" w:rsidRDefault="007E1C7B">
      <w:pPr>
        <w:widowControl/>
        <w:adjustRightInd w:val="0"/>
        <w:snapToGrid w:val="0"/>
        <w:spacing w:line="600" w:lineRule="exact"/>
        <w:rPr>
          <w:rFonts w:ascii="黑体" w:eastAsia="黑体" w:hAnsi="黑体" w:cs="黑体"/>
          <w:kern w:val="0"/>
          <w:sz w:val="32"/>
          <w:szCs w:val="32"/>
        </w:rPr>
      </w:pPr>
      <w:r>
        <w:rPr>
          <w:rFonts w:ascii="黑体" w:eastAsia="黑体" w:hAnsi="黑体" w:cs="黑体" w:hint="eastAsia"/>
          <w:kern w:val="0"/>
          <w:sz w:val="32"/>
          <w:szCs w:val="32"/>
        </w:rPr>
        <w:lastRenderedPageBreak/>
        <w:t>附</w:t>
      </w:r>
      <w:r>
        <w:rPr>
          <w:rFonts w:ascii="黑体" w:eastAsia="黑体" w:hAnsi="黑体"/>
          <w:color w:val="000000"/>
          <w:kern w:val="0"/>
          <w:sz w:val="32"/>
          <w:szCs w:val="32"/>
        </w:rPr>
        <w:t>表</w:t>
      </w:r>
      <w:r>
        <w:rPr>
          <w:rFonts w:ascii="黑体" w:eastAsia="黑体" w:hAnsi="黑体" w:cs="黑体" w:hint="eastAsia"/>
          <w:kern w:val="0"/>
          <w:sz w:val="32"/>
          <w:szCs w:val="32"/>
        </w:rPr>
        <w:t>3</w:t>
      </w: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2022年成品油价格调整对渔业补助资金项目</w:t>
      </w:r>
    </w:p>
    <w:p w:rsidR="00D36A11" w:rsidRDefault="007E1C7B">
      <w:pPr>
        <w:widowControl/>
        <w:adjustRightInd w:val="0"/>
        <w:snapToGrid w:val="0"/>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t>任务汇总表</w:t>
      </w:r>
    </w:p>
    <w:p w:rsidR="00D36A11" w:rsidRDefault="00D36A11">
      <w:pPr>
        <w:widowControl/>
        <w:adjustRightInd w:val="0"/>
        <w:snapToGrid w:val="0"/>
        <w:spacing w:line="200" w:lineRule="exact"/>
        <w:jc w:val="center"/>
        <w:rPr>
          <w:rFonts w:eastAsia="方正小标宋简体"/>
          <w:kern w:val="0"/>
          <w:sz w:val="44"/>
          <w:szCs w:val="44"/>
        </w:rPr>
      </w:pPr>
    </w:p>
    <w:tbl>
      <w:tblPr>
        <w:tblW w:w="1439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8"/>
        <w:gridCol w:w="1145"/>
        <w:gridCol w:w="1079"/>
        <w:gridCol w:w="1517"/>
        <w:gridCol w:w="7"/>
        <w:gridCol w:w="1344"/>
        <w:gridCol w:w="1350"/>
        <w:gridCol w:w="1533"/>
        <w:gridCol w:w="1211"/>
        <w:gridCol w:w="1342"/>
        <w:gridCol w:w="1240"/>
        <w:gridCol w:w="1714"/>
      </w:tblGrid>
      <w:tr w:rsidR="00D36A11">
        <w:trPr>
          <w:cantSplit/>
          <w:trHeight w:val="23"/>
          <w:tblHeader/>
        </w:trPr>
        <w:tc>
          <w:tcPr>
            <w:tcW w:w="908" w:type="dxa"/>
            <w:vMerge w:val="restart"/>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序号</w:t>
            </w:r>
          </w:p>
        </w:tc>
        <w:tc>
          <w:tcPr>
            <w:tcW w:w="2224" w:type="dxa"/>
            <w:gridSpan w:val="2"/>
            <w:vMerge w:val="restart"/>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市县（区）</w:t>
            </w:r>
          </w:p>
        </w:tc>
        <w:tc>
          <w:tcPr>
            <w:tcW w:w="9544" w:type="dxa"/>
            <w:gridSpan w:val="8"/>
            <w:tcBorders>
              <w:bottom w:val="single" w:sz="4" w:space="0" w:color="auto"/>
            </w:tcBorders>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目标任务</w:t>
            </w:r>
          </w:p>
        </w:tc>
        <w:tc>
          <w:tcPr>
            <w:tcW w:w="1714" w:type="dxa"/>
            <w:noWrap/>
            <w:vAlign w:val="center"/>
          </w:tcPr>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金额</w:t>
            </w:r>
          </w:p>
          <w:p w:rsidR="00D36A11" w:rsidRDefault="007E1C7B">
            <w:pPr>
              <w:spacing w:line="320" w:lineRule="exact"/>
              <w:jc w:val="center"/>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（万元）</w:t>
            </w:r>
          </w:p>
        </w:tc>
      </w:tr>
      <w:tr w:rsidR="00D36A11">
        <w:trPr>
          <w:cantSplit/>
          <w:trHeight w:val="23"/>
          <w:tblHeader/>
        </w:trPr>
        <w:tc>
          <w:tcPr>
            <w:tcW w:w="908" w:type="dxa"/>
            <w:vMerge/>
            <w:noWrap/>
            <w:vAlign w:val="center"/>
          </w:tcPr>
          <w:p w:rsidR="00D36A11" w:rsidRDefault="00D36A11">
            <w:pPr>
              <w:spacing w:line="320" w:lineRule="exact"/>
              <w:jc w:val="center"/>
              <w:rPr>
                <w:rFonts w:ascii="黑体" w:eastAsia="黑体" w:hAnsi="黑体" w:cs="黑体"/>
                <w:bCs/>
                <w:color w:val="000000"/>
                <w:kern w:val="0"/>
                <w:sz w:val="24"/>
                <w:szCs w:val="24"/>
              </w:rPr>
            </w:pPr>
          </w:p>
        </w:tc>
        <w:tc>
          <w:tcPr>
            <w:tcW w:w="2224" w:type="dxa"/>
            <w:gridSpan w:val="2"/>
            <w:vMerge/>
            <w:noWrap/>
            <w:vAlign w:val="center"/>
          </w:tcPr>
          <w:p w:rsidR="00D36A11" w:rsidRDefault="00D36A11">
            <w:pPr>
              <w:spacing w:line="320" w:lineRule="exact"/>
              <w:jc w:val="center"/>
              <w:rPr>
                <w:rFonts w:ascii="黑体" w:eastAsia="黑体" w:hAnsi="黑体" w:cs="黑体"/>
                <w:bCs/>
                <w:color w:val="000000"/>
                <w:kern w:val="0"/>
                <w:sz w:val="24"/>
                <w:szCs w:val="24"/>
              </w:rPr>
            </w:pPr>
          </w:p>
        </w:tc>
        <w:tc>
          <w:tcPr>
            <w:tcW w:w="1517" w:type="dxa"/>
            <w:tcBorders>
              <w:top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尾水治理面积</w:t>
            </w:r>
          </w:p>
          <w:p w:rsidR="00D36A11" w:rsidRDefault="007E1C7B">
            <w:pPr>
              <w:spacing w:line="320" w:lineRule="exact"/>
              <w:jc w:val="center"/>
              <w:rPr>
                <w:rFonts w:ascii="黑体" w:eastAsia="黑体" w:hAnsi="黑体" w:cs="黑体"/>
                <w:bCs/>
              </w:rPr>
            </w:pPr>
            <w:r>
              <w:rPr>
                <w:rFonts w:ascii="黑体" w:eastAsia="黑体" w:hAnsi="黑体" w:cs="黑体" w:hint="eastAsia"/>
                <w:bCs/>
              </w:rPr>
              <w:t>（亩）</w:t>
            </w:r>
          </w:p>
        </w:tc>
        <w:tc>
          <w:tcPr>
            <w:tcW w:w="1351" w:type="dxa"/>
            <w:gridSpan w:val="2"/>
            <w:tcBorders>
              <w:top w:val="single" w:sz="4" w:space="0" w:color="auto"/>
              <w:left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加工设备（台）</w:t>
            </w:r>
          </w:p>
        </w:tc>
        <w:tc>
          <w:tcPr>
            <w:tcW w:w="1350" w:type="dxa"/>
            <w:tcBorders>
              <w:top w:val="single" w:sz="4" w:space="0" w:color="auto"/>
              <w:left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信息化基地（个）</w:t>
            </w:r>
          </w:p>
        </w:tc>
        <w:tc>
          <w:tcPr>
            <w:tcW w:w="1533" w:type="dxa"/>
            <w:tcBorders>
              <w:top w:val="single" w:sz="4" w:space="0" w:color="auto"/>
              <w:left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圆桶</w:t>
            </w:r>
          </w:p>
          <w:p w:rsidR="00D36A11" w:rsidRDefault="007E1C7B">
            <w:pPr>
              <w:spacing w:line="320" w:lineRule="exact"/>
              <w:jc w:val="center"/>
              <w:rPr>
                <w:rFonts w:ascii="黑体" w:eastAsia="黑体" w:hAnsi="黑体" w:cs="黑体"/>
                <w:bCs/>
              </w:rPr>
            </w:pPr>
            <w:r>
              <w:rPr>
                <w:rFonts w:ascii="黑体" w:eastAsia="黑体" w:hAnsi="黑体" w:cs="黑体" w:hint="eastAsia"/>
                <w:bCs/>
              </w:rPr>
              <w:t>容积</w:t>
            </w:r>
          </w:p>
          <w:p w:rsidR="00D36A11" w:rsidRDefault="007E1C7B">
            <w:pPr>
              <w:spacing w:line="320" w:lineRule="exact"/>
              <w:jc w:val="center"/>
              <w:rPr>
                <w:rFonts w:ascii="黑体" w:eastAsia="黑体" w:hAnsi="黑体" w:cs="黑体"/>
                <w:bCs/>
              </w:rPr>
            </w:pPr>
            <w:r>
              <w:rPr>
                <w:rFonts w:ascii="黑体" w:eastAsia="黑体" w:hAnsi="黑体" w:cs="黑体" w:hint="eastAsia"/>
                <w:bCs/>
              </w:rPr>
              <w:t>(立方米)</w:t>
            </w:r>
          </w:p>
        </w:tc>
        <w:tc>
          <w:tcPr>
            <w:tcW w:w="1211" w:type="dxa"/>
            <w:tcBorders>
              <w:top w:val="single" w:sz="4" w:space="0" w:color="auto"/>
              <w:left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稻渔面积</w:t>
            </w:r>
          </w:p>
          <w:p w:rsidR="00D36A11" w:rsidRDefault="007E1C7B">
            <w:pPr>
              <w:spacing w:line="320" w:lineRule="exact"/>
              <w:jc w:val="center"/>
              <w:rPr>
                <w:rFonts w:ascii="黑体" w:eastAsia="黑体" w:hAnsi="黑体" w:cs="黑体"/>
                <w:bCs/>
              </w:rPr>
            </w:pPr>
            <w:r>
              <w:rPr>
                <w:rFonts w:ascii="黑体" w:eastAsia="黑体" w:hAnsi="黑体" w:cs="黑体" w:hint="eastAsia"/>
                <w:bCs/>
              </w:rPr>
              <w:t>（亩）</w:t>
            </w:r>
          </w:p>
        </w:tc>
        <w:tc>
          <w:tcPr>
            <w:tcW w:w="1342" w:type="dxa"/>
            <w:tcBorders>
              <w:top w:val="single" w:sz="4" w:space="0" w:color="auto"/>
              <w:left w:val="single" w:sz="4" w:space="0" w:color="auto"/>
              <w:righ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资源养护示范点（个）</w:t>
            </w:r>
          </w:p>
        </w:tc>
        <w:tc>
          <w:tcPr>
            <w:tcW w:w="1240" w:type="dxa"/>
            <w:tcBorders>
              <w:top w:val="single" w:sz="4" w:space="0" w:color="auto"/>
              <w:left w:val="single" w:sz="4" w:space="0" w:color="auto"/>
            </w:tcBorders>
            <w:noWrap/>
            <w:vAlign w:val="center"/>
          </w:tcPr>
          <w:p w:rsidR="00D36A11" w:rsidRDefault="007E1C7B">
            <w:pPr>
              <w:spacing w:line="320" w:lineRule="exact"/>
              <w:jc w:val="center"/>
              <w:rPr>
                <w:rFonts w:ascii="黑体" w:eastAsia="黑体" w:hAnsi="黑体" w:cs="黑体"/>
                <w:bCs/>
              </w:rPr>
            </w:pPr>
            <w:r>
              <w:rPr>
                <w:rFonts w:ascii="黑体" w:eastAsia="黑体" w:hAnsi="黑体" w:cs="黑体" w:hint="eastAsia"/>
                <w:bCs/>
              </w:rPr>
              <w:t>大水面示范点（个）</w:t>
            </w:r>
          </w:p>
        </w:tc>
        <w:tc>
          <w:tcPr>
            <w:tcW w:w="1714" w:type="dxa"/>
            <w:noWrap/>
            <w:vAlign w:val="center"/>
          </w:tcPr>
          <w:p w:rsidR="00D36A11" w:rsidRDefault="00D36A11">
            <w:pPr>
              <w:spacing w:line="320" w:lineRule="exact"/>
              <w:jc w:val="center"/>
              <w:rPr>
                <w:rFonts w:ascii="黑体" w:eastAsia="黑体" w:hAnsi="黑体" w:cs="黑体"/>
                <w:bCs/>
                <w:color w:val="000000"/>
                <w:kern w:val="0"/>
                <w:sz w:val="24"/>
                <w:szCs w:val="24"/>
              </w:rPr>
            </w:pP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西安市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长安区</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鄠邑区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b/>
                <w:bCs/>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b/>
                <w:bCs/>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b/>
                <w:bCs/>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color w:val="000000"/>
                <w:sz w:val="24"/>
                <w:szCs w:val="24"/>
              </w:rPr>
              <w:t>2700</w:t>
            </w:r>
          </w:p>
        </w:tc>
        <w:tc>
          <w:tcPr>
            <w:tcW w:w="1211"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w:t>
            </w: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b/>
                <w:bCs/>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b/>
                <w:bCs/>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92</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灞桥区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4</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咸阳市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乾县</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5</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武功县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6</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宝鸡市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眉县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w:t>
            </w: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110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7</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凤县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8</w:t>
            </w:r>
          </w:p>
        </w:tc>
        <w:tc>
          <w:tcPr>
            <w:tcW w:w="1145"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铜川市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耀州区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9</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渭南市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大荔县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w:t>
            </w: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126</w:t>
            </w:r>
          </w:p>
        </w:tc>
      </w:tr>
      <w:tr w:rsidR="00D36A11">
        <w:trPr>
          <w:cantSplit/>
          <w:trHeight w:val="454"/>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10</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富平县</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lastRenderedPageBreak/>
              <w:t>11</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延安市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宝塔区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12</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富县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13</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安塞区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14</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吴起县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15</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延川县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16</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黄陵县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17</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榆林市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府谷县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18</w:t>
            </w:r>
          </w:p>
        </w:tc>
        <w:tc>
          <w:tcPr>
            <w:tcW w:w="1145" w:type="dxa"/>
            <w:vMerge/>
            <w:tcBorders>
              <w:bottom w:val="single" w:sz="4" w:space="0" w:color="000000"/>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靖边县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19</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汉中市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市本级</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20</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南郑区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21</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城固县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60</w:t>
            </w:r>
          </w:p>
        </w:tc>
      </w:tr>
      <w:tr w:rsidR="00D36A11">
        <w:trPr>
          <w:cantSplit/>
          <w:trHeight w:val="539"/>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22</w:t>
            </w:r>
          </w:p>
        </w:tc>
        <w:tc>
          <w:tcPr>
            <w:tcW w:w="1145" w:type="dxa"/>
            <w:vMerge/>
            <w:tcBorders>
              <w:bottom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洋县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lastRenderedPageBreak/>
              <w:t>23</w:t>
            </w:r>
          </w:p>
        </w:tc>
        <w:tc>
          <w:tcPr>
            <w:tcW w:w="1145" w:type="dxa"/>
            <w:vMerge w:val="restart"/>
            <w:tcBorders>
              <w:top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安康市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汉阴县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24</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平利县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25</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紫阳县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26</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旬阳市</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27</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石泉县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2350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28</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汉滨区</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29</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镇坪县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w:t>
            </w: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30</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白河县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31</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宁陕县</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32</w:t>
            </w:r>
          </w:p>
        </w:tc>
        <w:tc>
          <w:tcPr>
            <w:tcW w:w="1145" w:type="dxa"/>
            <w:vMerge w:val="restart"/>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商洛市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商州区</w:t>
            </w:r>
          </w:p>
        </w:tc>
        <w:tc>
          <w:tcPr>
            <w:tcW w:w="1517" w:type="dxa"/>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500</w:t>
            </w: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33</w:t>
            </w:r>
          </w:p>
        </w:tc>
        <w:tc>
          <w:tcPr>
            <w:tcW w:w="1145" w:type="dxa"/>
            <w:vMerge/>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商南县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34</w:t>
            </w:r>
          </w:p>
        </w:tc>
        <w:tc>
          <w:tcPr>
            <w:tcW w:w="1145" w:type="dxa"/>
            <w:vMerge/>
            <w:tcBorders>
              <w:bottom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镇安县</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3000</w:t>
            </w: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170</w:t>
            </w:r>
          </w:p>
        </w:tc>
      </w:tr>
      <w:tr w:rsidR="00D36A11">
        <w:trPr>
          <w:cantSplit/>
          <w:trHeight w:val="510"/>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35</w:t>
            </w:r>
          </w:p>
        </w:tc>
        <w:tc>
          <w:tcPr>
            <w:tcW w:w="1145" w:type="dxa"/>
            <w:tcBorders>
              <w:top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韩城市</w:t>
            </w:r>
          </w:p>
        </w:tc>
        <w:tc>
          <w:tcPr>
            <w:tcW w:w="1079"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韩城市</w:t>
            </w:r>
          </w:p>
        </w:tc>
        <w:tc>
          <w:tcPr>
            <w:tcW w:w="1517"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1" w:type="dxa"/>
            <w:gridSpan w:val="2"/>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50"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33"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211" w:type="dxa"/>
            <w:tcBorders>
              <w:left w:val="single" w:sz="4" w:space="0" w:color="auto"/>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1240" w:type="dxa"/>
            <w:tcBorders>
              <w:lef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r>
      <w:tr w:rsidR="00D36A11">
        <w:trPr>
          <w:cantSplit/>
          <w:trHeight w:val="567"/>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lastRenderedPageBreak/>
              <w:t>合计</w:t>
            </w:r>
          </w:p>
        </w:tc>
        <w:tc>
          <w:tcPr>
            <w:tcW w:w="1145"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079" w:type="dxa"/>
            <w:tcBorders>
              <w:right w:val="single" w:sz="4" w:space="0" w:color="auto"/>
            </w:tcBorders>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17"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1900</w:t>
            </w:r>
          </w:p>
        </w:tc>
        <w:tc>
          <w:tcPr>
            <w:tcW w:w="1351" w:type="dxa"/>
            <w:gridSpan w:val="2"/>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29</w:t>
            </w: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28</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60000</w:t>
            </w:r>
          </w:p>
        </w:tc>
        <w:tc>
          <w:tcPr>
            <w:tcW w:w="1211"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300</w:t>
            </w:r>
          </w:p>
        </w:tc>
        <w:tc>
          <w:tcPr>
            <w:tcW w:w="1342"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9</w:t>
            </w:r>
          </w:p>
        </w:tc>
        <w:tc>
          <w:tcPr>
            <w:tcW w:w="1240"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9</w:t>
            </w:r>
          </w:p>
        </w:tc>
        <w:tc>
          <w:tcPr>
            <w:tcW w:w="1714" w:type="dxa"/>
            <w:noWrap/>
            <w:vAlign w:val="center"/>
          </w:tcPr>
          <w:p w:rsidR="00D36A11" w:rsidRDefault="007E1C7B">
            <w:pPr>
              <w:spacing w:line="32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3128</w:t>
            </w:r>
          </w:p>
        </w:tc>
      </w:tr>
      <w:tr w:rsidR="00D36A11">
        <w:trPr>
          <w:cantSplit/>
          <w:trHeight w:val="23"/>
        </w:trPr>
        <w:tc>
          <w:tcPr>
            <w:tcW w:w="908" w:type="dxa"/>
            <w:noWrap/>
            <w:vAlign w:val="center"/>
          </w:tcPr>
          <w:p w:rsidR="00D36A11" w:rsidRDefault="007E1C7B">
            <w:pPr>
              <w:spacing w:line="32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资金安排</w:t>
            </w:r>
          </w:p>
        </w:tc>
        <w:tc>
          <w:tcPr>
            <w:tcW w:w="2224" w:type="dxa"/>
            <w:gridSpan w:val="2"/>
            <w:noWrap/>
            <w:vAlign w:val="center"/>
          </w:tcPr>
          <w:p w:rsidR="00D36A11" w:rsidRDefault="00D36A11">
            <w:pPr>
              <w:spacing w:line="320" w:lineRule="exact"/>
              <w:jc w:val="center"/>
              <w:rPr>
                <w:rFonts w:ascii="仿宋_GB2312" w:eastAsia="仿宋_GB2312" w:hAnsi="仿宋_GB2312" w:cs="仿宋_GB2312"/>
                <w:color w:val="000000"/>
                <w:sz w:val="24"/>
                <w:szCs w:val="24"/>
              </w:rPr>
            </w:pPr>
          </w:p>
        </w:tc>
        <w:tc>
          <w:tcPr>
            <w:tcW w:w="1524" w:type="dxa"/>
            <w:gridSpan w:val="2"/>
            <w:tcBorders>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380</w:t>
            </w:r>
          </w:p>
        </w:tc>
        <w:tc>
          <w:tcPr>
            <w:tcW w:w="1344"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166</w:t>
            </w:r>
          </w:p>
        </w:tc>
        <w:tc>
          <w:tcPr>
            <w:tcW w:w="1350"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420</w:t>
            </w:r>
          </w:p>
        </w:tc>
        <w:tc>
          <w:tcPr>
            <w:tcW w:w="1533"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1790</w:t>
            </w:r>
          </w:p>
        </w:tc>
        <w:tc>
          <w:tcPr>
            <w:tcW w:w="1211"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12</w:t>
            </w:r>
          </w:p>
        </w:tc>
        <w:tc>
          <w:tcPr>
            <w:tcW w:w="1342" w:type="dxa"/>
            <w:tcBorders>
              <w:left w:val="single" w:sz="4" w:space="0" w:color="auto"/>
              <w:righ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180</w:t>
            </w:r>
          </w:p>
        </w:tc>
        <w:tc>
          <w:tcPr>
            <w:tcW w:w="1240" w:type="dxa"/>
            <w:tcBorders>
              <w:left w:val="single" w:sz="4" w:space="0" w:color="auto"/>
            </w:tcBorders>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180</w:t>
            </w:r>
          </w:p>
        </w:tc>
        <w:tc>
          <w:tcPr>
            <w:tcW w:w="1714" w:type="dxa"/>
            <w:noWrap/>
            <w:vAlign w:val="center"/>
          </w:tcPr>
          <w:p w:rsidR="00D36A11" w:rsidRDefault="007E1C7B">
            <w:pPr>
              <w:spacing w:line="32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3128</w:t>
            </w:r>
          </w:p>
        </w:tc>
      </w:tr>
    </w:tbl>
    <w:p w:rsidR="00D36A11" w:rsidRDefault="00D36A11">
      <w:pPr>
        <w:pStyle w:val="a0"/>
        <w:ind w:firstLine="0"/>
        <w:sectPr w:rsidR="00D36A11">
          <w:footerReference w:type="even" r:id="rId11"/>
          <w:footerReference w:type="default" r:id="rId12"/>
          <w:pgSz w:w="16838" w:h="11906" w:orient="landscape"/>
          <w:pgMar w:top="1871" w:right="1531" w:bottom="1474" w:left="1531" w:header="851" w:footer="1134" w:gutter="0"/>
          <w:cols w:space="720"/>
          <w:docGrid w:type="lines" w:linePitch="312"/>
        </w:sectPr>
      </w:pPr>
    </w:p>
    <w:p w:rsidR="00D36A11" w:rsidRDefault="007E1C7B">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olor w:val="000000"/>
          <w:kern w:val="0"/>
          <w:sz w:val="32"/>
          <w:szCs w:val="32"/>
        </w:rPr>
        <w:t>表</w:t>
      </w:r>
      <w:r>
        <w:rPr>
          <w:rFonts w:ascii="黑体" w:eastAsia="黑体" w:hAnsi="黑体" w:cs="黑体" w:hint="eastAsia"/>
          <w:sz w:val="32"/>
          <w:szCs w:val="32"/>
        </w:rPr>
        <w:t>4</w:t>
      </w:r>
    </w:p>
    <w:p w:rsidR="00D36A11" w:rsidRDefault="00D36A11">
      <w:pPr>
        <w:pStyle w:val="a0"/>
      </w:pPr>
    </w:p>
    <w:p w:rsidR="00D36A11" w:rsidRDefault="007E1C7B">
      <w:pPr>
        <w:pStyle w:val="a0"/>
        <w:ind w:firstLine="0"/>
        <w:jc w:val="center"/>
        <w:rPr>
          <w:rFonts w:ascii="黑体" w:eastAsia="黑体" w:hAnsi="黑体" w:cs="黑体"/>
          <w:sz w:val="44"/>
          <w:szCs w:val="44"/>
        </w:rPr>
      </w:pPr>
      <w:r>
        <w:rPr>
          <w:rFonts w:ascii="黑体" w:eastAsia="黑体" w:hAnsi="黑体" w:cs="黑体" w:hint="eastAsia"/>
          <w:sz w:val="44"/>
          <w:szCs w:val="44"/>
        </w:rPr>
        <w:t>2022年成品油价格调整对渔业补助资金</w:t>
      </w:r>
      <w:r>
        <w:rPr>
          <w:rFonts w:ascii="黑体" w:eastAsia="黑体" w:hAnsi="黑体" w:cs="黑体"/>
          <w:sz w:val="44"/>
          <w:szCs w:val="44"/>
        </w:rPr>
        <w:t>项目</w:t>
      </w:r>
    </w:p>
    <w:p w:rsidR="00D36A11" w:rsidRDefault="007E1C7B">
      <w:pPr>
        <w:pStyle w:val="a0"/>
        <w:ind w:firstLine="0"/>
        <w:jc w:val="center"/>
        <w:rPr>
          <w:rFonts w:ascii="黑体" w:eastAsia="黑体" w:hAnsi="黑体" w:cs="黑体"/>
          <w:sz w:val="44"/>
          <w:szCs w:val="44"/>
        </w:rPr>
      </w:pPr>
      <w:r>
        <w:rPr>
          <w:rFonts w:ascii="黑体" w:eastAsia="黑体" w:hAnsi="黑体" w:cs="黑体" w:hint="eastAsia"/>
          <w:sz w:val="44"/>
          <w:szCs w:val="44"/>
        </w:rPr>
        <w:t>绩效目标表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
        <w:gridCol w:w="1222"/>
        <w:gridCol w:w="1510"/>
        <w:gridCol w:w="3523"/>
        <w:gridCol w:w="1726"/>
      </w:tblGrid>
      <w:tr w:rsidR="00D36A11">
        <w:trPr>
          <w:trHeight w:val="454"/>
          <w:jc w:val="center"/>
        </w:trPr>
        <w:tc>
          <w:tcPr>
            <w:tcW w:w="90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专项名称</w:t>
            </w:r>
          </w:p>
        </w:tc>
        <w:tc>
          <w:tcPr>
            <w:tcW w:w="4090" w:type="pct"/>
            <w:gridSpan w:val="4"/>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成品油价格调整对渔业补助资金</w:t>
            </w:r>
          </w:p>
        </w:tc>
      </w:tr>
      <w:tr w:rsidR="00D36A11">
        <w:trPr>
          <w:trHeight w:val="454"/>
          <w:jc w:val="center"/>
        </w:trPr>
        <w:tc>
          <w:tcPr>
            <w:tcW w:w="90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中央主管部门</w:t>
            </w:r>
          </w:p>
        </w:tc>
        <w:tc>
          <w:tcPr>
            <w:tcW w:w="4090" w:type="pct"/>
            <w:gridSpan w:val="4"/>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财政部、农业农村部</w:t>
            </w:r>
          </w:p>
        </w:tc>
      </w:tr>
      <w:tr w:rsidR="00D36A11">
        <w:trPr>
          <w:trHeight w:val="454"/>
          <w:jc w:val="center"/>
        </w:trPr>
        <w:tc>
          <w:tcPr>
            <w:tcW w:w="90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省级财政部门</w:t>
            </w:r>
          </w:p>
        </w:tc>
        <w:tc>
          <w:tcPr>
            <w:tcW w:w="1087"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陕西省财政厅</w:t>
            </w:r>
          </w:p>
        </w:tc>
        <w:tc>
          <w:tcPr>
            <w:tcW w:w="86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省级主管部门</w:t>
            </w:r>
          </w:p>
        </w:tc>
        <w:tc>
          <w:tcPr>
            <w:tcW w:w="2132" w:type="pct"/>
            <w:gridSpan w:val="2"/>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陕西省农业农村厅</w:t>
            </w:r>
          </w:p>
        </w:tc>
      </w:tr>
      <w:tr w:rsidR="00D36A11">
        <w:trPr>
          <w:trHeight w:val="454"/>
          <w:jc w:val="center"/>
        </w:trPr>
        <w:tc>
          <w:tcPr>
            <w:tcW w:w="909" w:type="pct"/>
            <w:vMerge w:val="restar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资金</w:t>
            </w:r>
          </w:p>
          <w:p w:rsidR="00D36A11" w:rsidRDefault="007E1C7B">
            <w:pPr>
              <w:jc w:val="center"/>
              <w:rPr>
                <w:rFonts w:ascii="黑体" w:eastAsia="黑体" w:hAnsi="黑体" w:cs="黑体"/>
                <w:sz w:val="20"/>
                <w:szCs w:val="20"/>
              </w:rPr>
            </w:pPr>
            <w:r>
              <w:rPr>
                <w:rFonts w:ascii="黑体" w:eastAsia="黑体" w:hAnsi="黑体" w:cs="黑体" w:hint="eastAsia"/>
                <w:sz w:val="20"/>
                <w:szCs w:val="20"/>
              </w:rPr>
              <w:t>情况</w:t>
            </w:r>
          </w:p>
          <w:p w:rsidR="00D36A11" w:rsidRDefault="007E1C7B">
            <w:pPr>
              <w:jc w:val="center"/>
              <w:rPr>
                <w:rFonts w:ascii="黑体" w:eastAsia="黑体" w:hAnsi="黑体" w:cs="黑体"/>
                <w:sz w:val="20"/>
                <w:szCs w:val="20"/>
              </w:rPr>
            </w:pPr>
            <w:r>
              <w:rPr>
                <w:rFonts w:ascii="黑体" w:eastAsia="黑体" w:hAnsi="黑体" w:cs="黑体" w:hint="eastAsia"/>
                <w:sz w:val="20"/>
                <w:szCs w:val="20"/>
              </w:rPr>
              <w:t>（万元）</w:t>
            </w:r>
          </w:p>
        </w:tc>
        <w:tc>
          <w:tcPr>
            <w:tcW w:w="1087"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年度金额</w:t>
            </w:r>
          </w:p>
        </w:tc>
        <w:tc>
          <w:tcPr>
            <w:tcW w:w="3002" w:type="pct"/>
            <w:gridSpan w:val="3"/>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3128</w:t>
            </w:r>
          </w:p>
        </w:tc>
      </w:tr>
      <w:tr w:rsidR="00D36A11">
        <w:trPr>
          <w:trHeight w:val="454"/>
          <w:jc w:val="center"/>
        </w:trPr>
        <w:tc>
          <w:tcPr>
            <w:tcW w:w="909" w:type="pct"/>
            <w:vMerge/>
            <w:noWrap/>
            <w:vAlign w:val="center"/>
          </w:tcPr>
          <w:p w:rsidR="00D36A11" w:rsidRDefault="00D36A11">
            <w:pPr>
              <w:jc w:val="center"/>
              <w:rPr>
                <w:rFonts w:ascii="黑体" w:eastAsia="黑体" w:hAnsi="黑体" w:cs="黑体"/>
                <w:sz w:val="20"/>
                <w:szCs w:val="20"/>
              </w:rPr>
            </w:pPr>
          </w:p>
        </w:tc>
        <w:tc>
          <w:tcPr>
            <w:tcW w:w="1087"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其中：中央补助</w:t>
            </w:r>
          </w:p>
        </w:tc>
        <w:tc>
          <w:tcPr>
            <w:tcW w:w="3002" w:type="pct"/>
            <w:gridSpan w:val="3"/>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3128</w:t>
            </w:r>
          </w:p>
        </w:tc>
      </w:tr>
      <w:tr w:rsidR="00D36A11">
        <w:trPr>
          <w:trHeight w:val="454"/>
          <w:jc w:val="center"/>
        </w:trPr>
        <w:tc>
          <w:tcPr>
            <w:tcW w:w="909" w:type="pct"/>
            <w:vMerge/>
            <w:noWrap/>
            <w:vAlign w:val="center"/>
          </w:tcPr>
          <w:p w:rsidR="00D36A11" w:rsidRDefault="00D36A11">
            <w:pPr>
              <w:jc w:val="center"/>
              <w:rPr>
                <w:rFonts w:ascii="黑体" w:eastAsia="黑体" w:hAnsi="黑体" w:cs="黑体"/>
                <w:sz w:val="20"/>
                <w:szCs w:val="20"/>
              </w:rPr>
            </w:pPr>
          </w:p>
        </w:tc>
        <w:tc>
          <w:tcPr>
            <w:tcW w:w="1087"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地方资金</w:t>
            </w:r>
          </w:p>
        </w:tc>
        <w:tc>
          <w:tcPr>
            <w:tcW w:w="3002" w:type="pct"/>
            <w:gridSpan w:val="3"/>
            <w:noWrap/>
            <w:vAlign w:val="center"/>
          </w:tcPr>
          <w:p w:rsidR="00D36A11" w:rsidRDefault="00D36A11">
            <w:pPr>
              <w:jc w:val="center"/>
              <w:rPr>
                <w:rFonts w:ascii="仿宋_GB2312" w:eastAsia="仿宋_GB2312" w:hAnsi="仿宋_GB2312" w:cs="仿宋_GB2312"/>
                <w:sz w:val="20"/>
                <w:szCs w:val="20"/>
              </w:rPr>
            </w:pPr>
          </w:p>
        </w:tc>
      </w:tr>
      <w:tr w:rsidR="00D36A11">
        <w:trPr>
          <w:trHeight w:val="454"/>
          <w:jc w:val="center"/>
        </w:trPr>
        <w:tc>
          <w:tcPr>
            <w:tcW w:w="90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年度目标</w:t>
            </w:r>
          </w:p>
        </w:tc>
        <w:tc>
          <w:tcPr>
            <w:tcW w:w="4090" w:type="pct"/>
            <w:gridSpan w:val="4"/>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中央补助资金及时到位，促进渔业发展，完成年度建设任务</w:t>
            </w:r>
          </w:p>
        </w:tc>
      </w:tr>
      <w:tr w:rsidR="00D36A11">
        <w:trPr>
          <w:trHeight w:val="454"/>
          <w:jc w:val="center"/>
        </w:trPr>
        <w:tc>
          <w:tcPr>
            <w:tcW w:w="909" w:type="pct"/>
            <w:vMerge w:val="restar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绩效目标</w:t>
            </w:r>
          </w:p>
        </w:tc>
        <w:tc>
          <w:tcPr>
            <w:tcW w:w="1087"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一级指标</w:t>
            </w:r>
          </w:p>
        </w:tc>
        <w:tc>
          <w:tcPr>
            <w:tcW w:w="869"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二级指标</w:t>
            </w:r>
          </w:p>
        </w:tc>
        <w:tc>
          <w:tcPr>
            <w:tcW w:w="1531"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三级指标</w:t>
            </w:r>
          </w:p>
        </w:tc>
        <w:tc>
          <w:tcPr>
            <w:tcW w:w="601" w:type="pct"/>
            <w:noWrap/>
            <w:vAlign w:val="center"/>
          </w:tcPr>
          <w:p w:rsidR="00D36A11" w:rsidRDefault="007E1C7B">
            <w:pPr>
              <w:jc w:val="center"/>
              <w:rPr>
                <w:rFonts w:ascii="黑体" w:eastAsia="黑体" w:hAnsi="黑体" w:cs="黑体"/>
                <w:sz w:val="20"/>
                <w:szCs w:val="20"/>
              </w:rPr>
            </w:pPr>
            <w:r>
              <w:rPr>
                <w:rFonts w:ascii="黑体" w:eastAsia="黑体" w:hAnsi="黑体" w:cs="黑体" w:hint="eastAsia"/>
                <w:sz w:val="20"/>
                <w:szCs w:val="20"/>
              </w:rPr>
              <w:t>指标值</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val="restar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产出指标</w:t>
            </w:r>
          </w:p>
        </w:tc>
        <w:tc>
          <w:tcPr>
            <w:tcW w:w="869" w:type="pct"/>
            <w:vMerge w:val="restar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数量指标</w:t>
            </w: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水产品初加工和冷藏保鲜等设施设备（套/台）</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29</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集中连片内陆养殖池塘标准化改造和尾水治理（亩）</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1900</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陆基养殖圆桶容积（立方米）</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60000</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渔业信息化基地数（个）</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rPr>
                <w:rFonts w:ascii="仿宋_GB2312" w:eastAsia="仿宋_GB2312" w:hAnsi="仿宋_GB2312" w:cs="仿宋_GB2312"/>
                <w:sz w:val="20"/>
                <w:szCs w:val="20"/>
              </w:rPr>
            </w:pPr>
            <w:r>
              <w:rPr>
                <w:rFonts w:ascii="仿宋_GB2312" w:eastAsia="仿宋_GB2312" w:hAnsi="仿宋_GB2312" w:cs="仿宋_GB2312" w:hint="eastAsia"/>
                <w:sz w:val="20"/>
                <w:szCs w:val="20"/>
              </w:rPr>
              <w:t>渔业资源养护示范点（个）</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rPr>
                <w:rFonts w:ascii="仿宋_GB2312" w:eastAsia="仿宋_GB2312" w:hAnsi="仿宋_GB2312" w:cs="仿宋_GB2312"/>
                <w:sz w:val="20"/>
                <w:szCs w:val="20"/>
              </w:rPr>
            </w:pPr>
            <w:r>
              <w:rPr>
                <w:rFonts w:ascii="仿宋_GB2312" w:eastAsia="仿宋_GB2312" w:hAnsi="仿宋_GB2312" w:cs="仿宋_GB2312" w:hint="eastAsia"/>
                <w:sz w:val="20"/>
                <w:szCs w:val="20"/>
              </w:rPr>
              <w:t>稻渔综合种养面积（亩）</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300</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rPr>
                <w:rFonts w:ascii="仿宋_GB2312" w:eastAsia="仿宋_GB2312" w:hAnsi="仿宋_GB2312" w:cs="仿宋_GB2312"/>
                <w:sz w:val="20"/>
                <w:szCs w:val="20"/>
              </w:rPr>
            </w:pPr>
            <w:r>
              <w:rPr>
                <w:rFonts w:ascii="仿宋_GB2312" w:eastAsia="仿宋_GB2312" w:hAnsi="仿宋_GB2312" w:cs="仿宋_GB2312" w:hint="eastAsia"/>
                <w:sz w:val="20"/>
                <w:szCs w:val="20"/>
              </w:rPr>
              <w:t>大水面生态渔业示范基地（个）</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质量指标</w:t>
            </w: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渔业产业结构持续优化</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渔业一产产值占比≤50%</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val="restart"/>
            <w:noWrap/>
            <w:vAlign w:val="center"/>
          </w:tcPr>
          <w:p w:rsidR="00D36A11" w:rsidRDefault="007E1C7B">
            <w:pPr>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效益指标</w:t>
            </w:r>
          </w:p>
        </w:tc>
        <w:tc>
          <w:tcPr>
            <w:tcW w:w="869"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经济效益指标</w:t>
            </w: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对渔业经济发展的促进作用</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明显</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val="restart"/>
            <w:noWrap/>
            <w:vAlign w:val="center"/>
          </w:tcPr>
          <w:p w:rsidR="00D36A11" w:rsidRDefault="007E1C7B">
            <w:pPr>
              <w:rPr>
                <w:rFonts w:ascii="仿宋_GB2312" w:eastAsia="仿宋_GB2312" w:hAnsi="仿宋_GB2312" w:cs="仿宋_GB2312"/>
                <w:sz w:val="20"/>
                <w:szCs w:val="20"/>
              </w:rPr>
            </w:pPr>
            <w:r>
              <w:rPr>
                <w:rFonts w:ascii="仿宋_GB2312" w:eastAsia="仿宋_GB2312" w:hAnsi="仿宋_GB2312" w:cs="仿宋_GB2312" w:hint="eastAsia"/>
                <w:sz w:val="20"/>
                <w:szCs w:val="20"/>
              </w:rPr>
              <w:t>社会效益指标</w:t>
            </w: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资金使用重大违规违纪问题</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无</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vMerge/>
            <w:noWrap/>
            <w:vAlign w:val="center"/>
          </w:tcPr>
          <w:p w:rsidR="00D36A11" w:rsidRDefault="00D36A11">
            <w:pPr>
              <w:jc w:val="center"/>
              <w:rPr>
                <w:rFonts w:ascii="仿宋_GB2312" w:eastAsia="仿宋_GB2312" w:hAnsi="仿宋_GB2312" w:cs="仿宋_GB2312"/>
                <w:sz w:val="20"/>
                <w:szCs w:val="20"/>
              </w:rPr>
            </w:pPr>
          </w:p>
        </w:tc>
        <w:tc>
          <w:tcPr>
            <w:tcW w:w="869" w:type="pct"/>
            <w:vMerge/>
            <w:noWrap/>
            <w:vAlign w:val="center"/>
          </w:tcPr>
          <w:p w:rsidR="00D36A11" w:rsidRDefault="00D36A11">
            <w:pPr>
              <w:jc w:val="center"/>
              <w:rPr>
                <w:rFonts w:ascii="仿宋_GB2312" w:eastAsia="仿宋_GB2312" w:hAnsi="仿宋_GB2312" w:cs="仿宋_GB2312"/>
                <w:sz w:val="20"/>
                <w:szCs w:val="20"/>
              </w:rPr>
            </w:pP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水产品稳产保供能力</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提升</w:t>
            </w:r>
          </w:p>
        </w:tc>
      </w:tr>
      <w:tr w:rsidR="00D36A11">
        <w:trPr>
          <w:trHeight w:val="454"/>
          <w:jc w:val="center"/>
        </w:trPr>
        <w:tc>
          <w:tcPr>
            <w:tcW w:w="909" w:type="pct"/>
            <w:vMerge/>
            <w:noWrap/>
            <w:vAlign w:val="center"/>
          </w:tcPr>
          <w:p w:rsidR="00D36A11" w:rsidRDefault="00D36A11">
            <w:pPr>
              <w:jc w:val="center"/>
              <w:rPr>
                <w:rFonts w:ascii="仿宋_GB2312" w:eastAsia="仿宋_GB2312" w:hAnsi="仿宋_GB2312" w:cs="仿宋_GB2312"/>
                <w:sz w:val="20"/>
                <w:szCs w:val="20"/>
              </w:rPr>
            </w:pPr>
          </w:p>
        </w:tc>
        <w:tc>
          <w:tcPr>
            <w:tcW w:w="1087" w:type="pct"/>
            <w:noWrap/>
            <w:vAlign w:val="center"/>
          </w:tcPr>
          <w:p w:rsidR="00D36A11" w:rsidRDefault="007E1C7B">
            <w:pPr>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满意度指标</w:t>
            </w:r>
          </w:p>
        </w:tc>
        <w:tc>
          <w:tcPr>
            <w:tcW w:w="869"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服务对象满意度指标</w:t>
            </w:r>
          </w:p>
        </w:tc>
        <w:tc>
          <w:tcPr>
            <w:tcW w:w="153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补助对象对中央财政补助经费使用情况满意度</w:t>
            </w:r>
          </w:p>
        </w:tc>
        <w:tc>
          <w:tcPr>
            <w:tcW w:w="601" w:type="pct"/>
            <w:noWrap/>
            <w:vAlign w:val="center"/>
          </w:tcPr>
          <w:p w:rsidR="00D36A11" w:rsidRDefault="007E1C7B">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≥85%</w:t>
            </w:r>
          </w:p>
        </w:tc>
      </w:tr>
    </w:tbl>
    <w:p w:rsidR="00D36A11" w:rsidRDefault="00D36A11">
      <w:pPr>
        <w:pStyle w:val="a0"/>
        <w:rPr>
          <w:rFonts w:hint="eastAsia"/>
        </w:rPr>
      </w:pPr>
    </w:p>
    <w:p w:rsidR="004C0E34" w:rsidRDefault="004C0E34">
      <w:pPr>
        <w:pStyle w:val="a0"/>
        <w:rPr>
          <w:rFonts w:hint="eastAsia"/>
        </w:rPr>
      </w:pPr>
    </w:p>
    <w:sectPr w:rsidR="004C0E34" w:rsidSect="00D36A11">
      <w:footerReference w:type="even" r:id="rId13"/>
      <w:pgSz w:w="11906" w:h="16838"/>
      <w:pgMar w:top="1871" w:right="1531" w:bottom="1474" w:left="1531"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BF4" w:rsidRDefault="00DB2BF4" w:rsidP="00D36A11">
      <w:r>
        <w:separator/>
      </w:r>
    </w:p>
  </w:endnote>
  <w:endnote w:type="continuationSeparator" w:id="1">
    <w:p w:rsidR="00DB2BF4" w:rsidRDefault="00DB2BF4" w:rsidP="00D36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altName w:val="Ubuntu"/>
    <w:panose1 w:val="020B0604030504040204"/>
    <w:charset w:val="00"/>
    <w:family w:val="swiss"/>
    <w:pitch w:val="default"/>
    <w:sig w:usb0="00000000" w:usb1="00000000"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7E1C7B">
    <w:pPr>
      <w:pStyle w:val="ab"/>
      <w:ind w:firstLineChars="50" w:firstLine="140"/>
      <w:rPr>
        <w:rFonts w:ascii="仿宋_GB2312" w:eastAsia="仿宋_GB2312"/>
        <w:sz w:val="28"/>
        <w:szCs w:val="28"/>
      </w:rPr>
    </w:pPr>
    <w:r>
      <w:rPr>
        <w:rFonts w:ascii="仿宋_GB2312" w:eastAsia="仿宋_GB2312" w:hint="eastAsia"/>
        <w:sz w:val="28"/>
        <w:szCs w:val="28"/>
      </w:rPr>
      <w:t>—</w:t>
    </w:r>
    <w:r w:rsidR="006C023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6C0239">
      <w:rPr>
        <w:rFonts w:ascii="仿宋_GB2312" w:eastAsia="仿宋_GB2312" w:hint="eastAsia"/>
        <w:sz w:val="28"/>
        <w:szCs w:val="28"/>
      </w:rPr>
      <w:fldChar w:fldCharType="separate"/>
    </w:r>
    <w:r w:rsidR="004C0E34" w:rsidRPr="004C0E34">
      <w:rPr>
        <w:rFonts w:ascii="仿宋_GB2312" w:eastAsia="仿宋_GB2312"/>
        <w:noProof/>
        <w:sz w:val="28"/>
        <w:szCs w:val="28"/>
        <w:lang w:val="zh-CN"/>
      </w:rPr>
      <w:t>10</w:t>
    </w:r>
    <w:r w:rsidR="006C0239">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7E1C7B">
    <w:pPr>
      <w:pStyle w:val="ab"/>
      <w:wordWrap w:val="0"/>
      <w:jc w:val="right"/>
      <w:rPr>
        <w:rFonts w:ascii="仿宋_GB2312" w:eastAsia="仿宋_GB2312"/>
        <w:sz w:val="28"/>
        <w:szCs w:val="28"/>
      </w:rPr>
    </w:pPr>
    <w:r>
      <w:rPr>
        <w:rFonts w:ascii="仿宋_GB2312" w:eastAsia="仿宋_GB2312" w:hint="eastAsia"/>
        <w:sz w:val="28"/>
        <w:szCs w:val="28"/>
      </w:rPr>
      <w:t>—</w:t>
    </w:r>
    <w:r w:rsidR="006C023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6C0239">
      <w:rPr>
        <w:rFonts w:ascii="仿宋_GB2312" w:eastAsia="仿宋_GB2312" w:hint="eastAsia"/>
        <w:sz w:val="28"/>
        <w:szCs w:val="28"/>
      </w:rPr>
      <w:fldChar w:fldCharType="separate"/>
    </w:r>
    <w:r w:rsidR="004C0E34" w:rsidRPr="004C0E34">
      <w:rPr>
        <w:rFonts w:ascii="仿宋_GB2312" w:eastAsia="仿宋_GB2312"/>
        <w:noProof/>
        <w:sz w:val="28"/>
        <w:szCs w:val="28"/>
        <w:lang w:val="zh-CN"/>
      </w:rPr>
      <w:t>9</w:t>
    </w:r>
    <w:r w:rsidR="006C0239">
      <w:rPr>
        <w:rFonts w:ascii="仿宋_GB2312" w:eastAsia="仿宋_GB2312" w:hint="eastAsia"/>
        <w:sz w:val="28"/>
        <w:szCs w:val="28"/>
      </w:rPr>
      <w:fldChar w:fldCharType="end"/>
    </w:r>
    <w:r>
      <w:rPr>
        <w:rFonts w:ascii="仿宋_GB2312" w:eastAsia="仿宋_GB2312"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D36A1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7E1C7B">
    <w:pPr>
      <w:pStyle w:val="ab"/>
      <w:ind w:firstLineChars="50" w:firstLine="140"/>
      <w:jc w:val="center"/>
      <w:rPr>
        <w:rFonts w:ascii="仿宋_GB2312" w:eastAsia="仿宋_GB2312"/>
        <w:sz w:val="28"/>
        <w:szCs w:val="28"/>
      </w:rPr>
    </w:pPr>
    <w:r>
      <w:rPr>
        <w:rFonts w:ascii="仿宋_GB2312" w:eastAsia="仿宋_GB2312" w:hint="eastAsia"/>
        <w:sz w:val="28"/>
        <w:szCs w:val="28"/>
      </w:rPr>
      <w:t>—</w:t>
    </w:r>
    <w:r w:rsidR="006C023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6C0239">
      <w:rPr>
        <w:rFonts w:ascii="仿宋_GB2312" w:eastAsia="仿宋_GB2312" w:hint="eastAsia"/>
        <w:sz w:val="28"/>
        <w:szCs w:val="28"/>
      </w:rPr>
      <w:fldChar w:fldCharType="separate"/>
    </w:r>
    <w:r w:rsidR="004C0E34" w:rsidRPr="004C0E34">
      <w:rPr>
        <w:rFonts w:ascii="仿宋_GB2312" w:eastAsia="仿宋_GB2312"/>
        <w:noProof/>
        <w:sz w:val="28"/>
        <w:szCs w:val="28"/>
        <w:lang w:val="zh-CN"/>
      </w:rPr>
      <w:t>14</w:t>
    </w:r>
    <w:r w:rsidR="006C0239">
      <w:rPr>
        <w:rFonts w:ascii="仿宋_GB2312" w:eastAsia="仿宋_GB2312" w:hint="eastAsia"/>
        <w:sz w:val="28"/>
        <w:szCs w:val="28"/>
      </w:rPr>
      <w:fldChar w:fldCharType="end"/>
    </w:r>
    <w:r>
      <w:rPr>
        <w:rFonts w:ascii="仿宋_GB2312" w:eastAsia="仿宋_GB2312"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7E1C7B">
    <w:pPr>
      <w:pStyle w:val="ab"/>
      <w:jc w:val="center"/>
      <w:rPr>
        <w:rFonts w:ascii="仿宋_GB2312" w:eastAsia="仿宋_GB2312"/>
        <w:sz w:val="28"/>
        <w:szCs w:val="28"/>
      </w:rPr>
    </w:pPr>
    <w:r>
      <w:rPr>
        <w:rFonts w:ascii="仿宋_GB2312" w:eastAsia="仿宋_GB2312" w:hint="eastAsia"/>
        <w:sz w:val="28"/>
        <w:szCs w:val="28"/>
      </w:rPr>
      <w:t>—</w:t>
    </w:r>
    <w:r w:rsidR="006C0239">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6C0239">
      <w:rPr>
        <w:rFonts w:ascii="仿宋_GB2312" w:eastAsia="仿宋_GB2312" w:hint="eastAsia"/>
        <w:sz w:val="28"/>
        <w:szCs w:val="28"/>
      </w:rPr>
      <w:fldChar w:fldCharType="separate"/>
    </w:r>
    <w:r w:rsidR="004C0E34" w:rsidRPr="004C0E34">
      <w:rPr>
        <w:rFonts w:ascii="仿宋_GB2312" w:eastAsia="仿宋_GB2312"/>
        <w:noProof/>
        <w:sz w:val="28"/>
        <w:szCs w:val="28"/>
        <w:lang w:val="zh-CN"/>
      </w:rPr>
      <w:t>15</w:t>
    </w:r>
    <w:r w:rsidR="006C0239">
      <w:rPr>
        <w:rFonts w:ascii="仿宋_GB2312" w:eastAsia="仿宋_GB2312" w:hint="eastAsia"/>
        <w:sz w:val="28"/>
        <w:szCs w:val="28"/>
      </w:rPr>
      <w:fldChar w:fldCharType="end"/>
    </w:r>
    <w:r>
      <w:rPr>
        <w:rFonts w:ascii="仿宋_GB2312" w:eastAsia="仿宋_GB2312"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D36A11">
    <w:pPr>
      <w:pStyle w:val="ab"/>
      <w:ind w:firstLineChars="50" w:firstLine="140"/>
      <w:jc w:val="center"/>
      <w:rPr>
        <w:rFonts w:ascii="仿宋_GB2312" w:eastAsia="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BF4" w:rsidRDefault="00DB2BF4" w:rsidP="00D36A11">
      <w:r>
        <w:separator/>
      </w:r>
    </w:p>
  </w:footnote>
  <w:footnote w:type="continuationSeparator" w:id="1">
    <w:p w:rsidR="00DB2BF4" w:rsidRDefault="00DB2BF4" w:rsidP="00D36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11" w:rsidRDefault="00D36A11">
    <w:pPr>
      <w:pStyle w:val="ac"/>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雷博">
    <w15:presenceInfo w15:providerId="None" w15:userId="雷博"/>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59.218.238.145:18088/seeyon/officeservlet"/>
  </w:docVars>
  <w:rsids>
    <w:rsidRoot w:val="004F6B2A"/>
    <w:rsid w:val="BFBE6F3C"/>
    <w:rsid w:val="001A0BA8"/>
    <w:rsid w:val="00225CC1"/>
    <w:rsid w:val="003372D1"/>
    <w:rsid w:val="004337EE"/>
    <w:rsid w:val="004C0E34"/>
    <w:rsid w:val="004C12BB"/>
    <w:rsid w:val="004F6B2A"/>
    <w:rsid w:val="00552C0C"/>
    <w:rsid w:val="005C2827"/>
    <w:rsid w:val="006B5756"/>
    <w:rsid w:val="006C0239"/>
    <w:rsid w:val="006C7D12"/>
    <w:rsid w:val="006F2309"/>
    <w:rsid w:val="00785CB4"/>
    <w:rsid w:val="007E1C7B"/>
    <w:rsid w:val="00864AEF"/>
    <w:rsid w:val="008C739E"/>
    <w:rsid w:val="008E6FAF"/>
    <w:rsid w:val="008F1EE1"/>
    <w:rsid w:val="00A7670E"/>
    <w:rsid w:val="00AA6A63"/>
    <w:rsid w:val="00BC371E"/>
    <w:rsid w:val="00BC705F"/>
    <w:rsid w:val="00C2304B"/>
    <w:rsid w:val="00C36CF3"/>
    <w:rsid w:val="00C77076"/>
    <w:rsid w:val="00D36A11"/>
    <w:rsid w:val="00D7722B"/>
    <w:rsid w:val="00D86873"/>
    <w:rsid w:val="00DB2BF4"/>
    <w:rsid w:val="00DD3E79"/>
    <w:rsid w:val="00F41DD7"/>
    <w:rsid w:val="3BEFFE43"/>
    <w:rsid w:val="40FE79DD"/>
    <w:rsid w:val="4B56754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List" w:qFormat="1"/>
    <w:lsdException w:name="List 2" w:qFormat="1"/>
    <w:lsdException w:name="Title" w:uiPriority="99" w:qFormat="1"/>
    <w:lsdException w:name="Default Paragraph Font" w:semiHidden="1" w:qFormat="1"/>
    <w:lsdException w:name="Body Text" w:uiPriority="99" w:qFormat="1"/>
    <w:lsdException w:name="Body Text Indent" w:qFormat="1"/>
    <w:lsdException w:name="Subtitle" w:qFormat="1"/>
    <w:lsdException w:name="Date" w:uiPriority="99" w:qFormat="1"/>
    <w:lsdException w:name="Body Text First Indent" w:qFormat="1"/>
    <w:lsdException w:name="Body Text 2" w:qFormat="1"/>
    <w:lsdException w:name="Body Text 3" w:uiPriority="99"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6A11"/>
    <w:pPr>
      <w:widowControl w:val="0"/>
      <w:jc w:val="both"/>
    </w:pPr>
    <w:rPr>
      <w:kern w:val="2"/>
      <w:sz w:val="21"/>
      <w:szCs w:val="22"/>
    </w:rPr>
  </w:style>
  <w:style w:type="paragraph" w:styleId="1">
    <w:name w:val="heading 1"/>
    <w:basedOn w:val="a"/>
    <w:next w:val="a"/>
    <w:link w:val="1Char"/>
    <w:uiPriority w:val="9"/>
    <w:qFormat/>
    <w:rsid w:val="00D36A1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qFormat/>
    <w:rsid w:val="00D36A1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36A11"/>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rsid w:val="00D36A11"/>
    <w:pPr>
      <w:keepNext/>
      <w:wordWrap w:val="0"/>
      <w:autoSpaceDE w:val="0"/>
      <w:autoSpaceDN w:val="0"/>
      <w:spacing w:line="260" w:lineRule="exact"/>
      <w:outlineLvl w:val="3"/>
    </w:pPr>
    <w:rPr>
      <w:rFonts w:ascii="Arial" w:eastAsia="Gulim" w:hAnsi="Arial"/>
      <w:b/>
      <w:bCs/>
      <w:sz w:val="20"/>
      <w:szCs w:val="24"/>
      <w:lang w:eastAsia="ko-K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D36A11"/>
    <w:pPr>
      <w:ind w:firstLine="420"/>
    </w:pPr>
    <w:rPr>
      <w:rFonts w:ascii="Times New Roman" w:hAnsi="Times New Roman"/>
      <w:szCs w:val="20"/>
    </w:rPr>
  </w:style>
  <w:style w:type="paragraph" w:styleId="a4">
    <w:name w:val="annotation text"/>
    <w:basedOn w:val="a"/>
    <w:link w:val="Char"/>
    <w:qFormat/>
    <w:rsid w:val="00D36A11"/>
    <w:pPr>
      <w:jc w:val="left"/>
    </w:pPr>
  </w:style>
  <w:style w:type="paragraph" w:styleId="30">
    <w:name w:val="Body Text 3"/>
    <w:basedOn w:val="a"/>
    <w:uiPriority w:val="99"/>
    <w:qFormat/>
    <w:rsid w:val="00D36A11"/>
    <w:pPr>
      <w:spacing w:line="660" w:lineRule="exact"/>
      <w:jc w:val="center"/>
    </w:pPr>
    <w:rPr>
      <w:rFonts w:ascii="Times New Roman" w:eastAsia="方正小标宋简体" w:hAnsi="Times New Roman"/>
      <w:sz w:val="44"/>
      <w:szCs w:val="24"/>
    </w:rPr>
  </w:style>
  <w:style w:type="paragraph" w:styleId="a5">
    <w:name w:val="Body Text"/>
    <w:basedOn w:val="a"/>
    <w:link w:val="Char0"/>
    <w:uiPriority w:val="99"/>
    <w:qFormat/>
    <w:rsid w:val="00D36A11"/>
    <w:pPr>
      <w:spacing w:line="600" w:lineRule="exact"/>
    </w:pPr>
    <w:rPr>
      <w:rFonts w:ascii="Times New Roman" w:eastAsia="仿宋_GB2312" w:hAnsi="Times New Roman"/>
      <w:sz w:val="32"/>
      <w:szCs w:val="24"/>
    </w:rPr>
  </w:style>
  <w:style w:type="paragraph" w:styleId="a6">
    <w:name w:val="Body Text Indent"/>
    <w:basedOn w:val="a"/>
    <w:qFormat/>
    <w:rsid w:val="00D36A11"/>
    <w:pPr>
      <w:spacing w:line="600" w:lineRule="exact"/>
      <w:ind w:firstLine="630"/>
    </w:pPr>
    <w:rPr>
      <w:rFonts w:ascii="Times New Roman" w:eastAsia="方正小标宋简体" w:hAnsi="Times New Roman"/>
      <w:sz w:val="32"/>
      <w:szCs w:val="24"/>
    </w:rPr>
  </w:style>
  <w:style w:type="paragraph" w:styleId="20">
    <w:name w:val="List 2"/>
    <w:basedOn w:val="a"/>
    <w:qFormat/>
    <w:rsid w:val="00D36A11"/>
    <w:pPr>
      <w:ind w:leftChars="200" w:left="100" w:hangingChars="200" w:hanging="200"/>
    </w:pPr>
    <w:rPr>
      <w:rFonts w:ascii="Times New Roman" w:hAnsi="Times New Roman"/>
      <w:szCs w:val="24"/>
    </w:rPr>
  </w:style>
  <w:style w:type="paragraph" w:styleId="a7">
    <w:name w:val="Block Text"/>
    <w:basedOn w:val="a"/>
    <w:qFormat/>
    <w:rsid w:val="00D36A11"/>
    <w:pPr>
      <w:ind w:left="-57" w:right="-57" w:firstLine="645"/>
    </w:pPr>
    <w:rPr>
      <w:rFonts w:ascii="黑体" w:eastAsia="黑体" w:hAnsi="Times New Roman"/>
      <w:sz w:val="32"/>
      <w:szCs w:val="20"/>
    </w:rPr>
  </w:style>
  <w:style w:type="paragraph" w:styleId="a8">
    <w:name w:val="Plain Text"/>
    <w:basedOn w:val="a"/>
    <w:qFormat/>
    <w:rsid w:val="00D36A11"/>
    <w:rPr>
      <w:rFonts w:ascii="宋体" w:hAnsi="Courier New"/>
      <w:szCs w:val="20"/>
    </w:rPr>
  </w:style>
  <w:style w:type="paragraph" w:styleId="a9">
    <w:name w:val="Date"/>
    <w:basedOn w:val="a"/>
    <w:next w:val="a"/>
    <w:link w:val="Char1"/>
    <w:uiPriority w:val="99"/>
    <w:qFormat/>
    <w:rsid w:val="00D36A11"/>
    <w:pPr>
      <w:ind w:leftChars="2500" w:left="100"/>
    </w:pPr>
    <w:rPr>
      <w:rFonts w:ascii="Times New Roman" w:eastAsia="仿宋_GB2312" w:hAnsi="Times New Roman"/>
      <w:sz w:val="32"/>
      <w:szCs w:val="24"/>
    </w:rPr>
  </w:style>
  <w:style w:type="paragraph" w:styleId="21">
    <w:name w:val="Body Text Indent 2"/>
    <w:basedOn w:val="a"/>
    <w:qFormat/>
    <w:rsid w:val="00D36A11"/>
    <w:pPr>
      <w:ind w:firstLineChars="168" w:firstLine="538"/>
    </w:pPr>
    <w:rPr>
      <w:rFonts w:ascii="仿宋_GB2312" w:eastAsia="仿宋_GB2312" w:hAnsi="Times New Roman" w:hint="eastAsia"/>
      <w:sz w:val="32"/>
      <w:szCs w:val="24"/>
    </w:rPr>
  </w:style>
  <w:style w:type="paragraph" w:styleId="aa">
    <w:name w:val="Balloon Text"/>
    <w:basedOn w:val="a"/>
    <w:link w:val="Char2"/>
    <w:qFormat/>
    <w:rsid w:val="00D36A11"/>
    <w:rPr>
      <w:rFonts w:ascii="Times New Roman" w:hAnsi="Times New Roman"/>
      <w:sz w:val="18"/>
      <w:szCs w:val="18"/>
    </w:rPr>
  </w:style>
  <w:style w:type="paragraph" w:styleId="ab">
    <w:name w:val="footer"/>
    <w:basedOn w:val="a"/>
    <w:link w:val="Char3"/>
    <w:uiPriority w:val="99"/>
    <w:qFormat/>
    <w:rsid w:val="00D36A11"/>
    <w:pPr>
      <w:tabs>
        <w:tab w:val="center" w:pos="4153"/>
        <w:tab w:val="right" w:pos="8306"/>
      </w:tabs>
      <w:snapToGrid w:val="0"/>
      <w:jc w:val="left"/>
    </w:pPr>
    <w:rPr>
      <w:sz w:val="18"/>
      <w:szCs w:val="18"/>
    </w:rPr>
  </w:style>
  <w:style w:type="paragraph" w:styleId="ac">
    <w:name w:val="header"/>
    <w:basedOn w:val="a"/>
    <w:link w:val="Char4"/>
    <w:qFormat/>
    <w:rsid w:val="00D36A11"/>
    <w:pPr>
      <w:pBdr>
        <w:bottom w:val="single" w:sz="6" w:space="1" w:color="auto"/>
      </w:pBdr>
      <w:tabs>
        <w:tab w:val="center" w:pos="4153"/>
        <w:tab w:val="right" w:pos="8306"/>
      </w:tabs>
      <w:snapToGrid w:val="0"/>
      <w:jc w:val="center"/>
    </w:pPr>
    <w:rPr>
      <w:sz w:val="18"/>
      <w:szCs w:val="18"/>
    </w:rPr>
  </w:style>
  <w:style w:type="paragraph" w:styleId="ad">
    <w:name w:val="List"/>
    <w:basedOn w:val="a"/>
    <w:qFormat/>
    <w:rsid w:val="00D36A11"/>
    <w:pPr>
      <w:widowControl/>
      <w:ind w:left="420" w:hanging="420"/>
      <w:jc w:val="left"/>
    </w:pPr>
    <w:rPr>
      <w:rFonts w:ascii="Times New Roman" w:hAnsi="Times New Roman"/>
      <w:kern w:val="0"/>
      <w:sz w:val="20"/>
      <w:szCs w:val="20"/>
    </w:rPr>
  </w:style>
  <w:style w:type="paragraph" w:styleId="31">
    <w:name w:val="Body Text Indent 3"/>
    <w:basedOn w:val="a"/>
    <w:qFormat/>
    <w:rsid w:val="00D36A11"/>
    <w:pPr>
      <w:spacing w:line="600" w:lineRule="exact"/>
      <w:ind w:firstLine="570"/>
    </w:pPr>
    <w:rPr>
      <w:rFonts w:ascii="仿宋_GB2312" w:eastAsia="仿宋_GB2312" w:hAnsi="Times New Roman"/>
      <w:sz w:val="32"/>
      <w:szCs w:val="24"/>
    </w:rPr>
  </w:style>
  <w:style w:type="paragraph" w:styleId="22">
    <w:name w:val="Body Text 2"/>
    <w:basedOn w:val="a"/>
    <w:qFormat/>
    <w:rsid w:val="00D36A11"/>
    <w:pPr>
      <w:spacing w:line="380" w:lineRule="exact"/>
      <w:jc w:val="center"/>
    </w:pPr>
    <w:rPr>
      <w:rFonts w:ascii="仿宋_GB2312" w:eastAsia="仿宋_GB2312" w:hAnsi="宋体"/>
      <w:sz w:val="30"/>
      <w:szCs w:val="24"/>
    </w:rPr>
  </w:style>
  <w:style w:type="paragraph" w:styleId="HTML">
    <w:name w:val="HTML Preformatted"/>
    <w:basedOn w:val="a"/>
    <w:link w:val="HTMLChar"/>
    <w:qFormat/>
    <w:rsid w:val="00D36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e">
    <w:name w:val="Normal (Web)"/>
    <w:basedOn w:val="a"/>
    <w:uiPriority w:val="99"/>
    <w:qFormat/>
    <w:rsid w:val="00D36A11"/>
    <w:pPr>
      <w:widowControl/>
      <w:spacing w:before="100" w:beforeAutospacing="1" w:after="100" w:afterAutospacing="1"/>
      <w:jc w:val="left"/>
    </w:pPr>
    <w:rPr>
      <w:rFonts w:ascii="宋体" w:hAnsi="宋体"/>
      <w:kern w:val="0"/>
      <w:sz w:val="24"/>
      <w:szCs w:val="24"/>
    </w:rPr>
  </w:style>
  <w:style w:type="paragraph" w:styleId="af">
    <w:name w:val="Title"/>
    <w:basedOn w:val="a"/>
    <w:next w:val="a"/>
    <w:uiPriority w:val="99"/>
    <w:qFormat/>
    <w:rsid w:val="00D36A11"/>
    <w:pPr>
      <w:jc w:val="center"/>
      <w:outlineLvl w:val="0"/>
    </w:pPr>
    <w:rPr>
      <w:rFonts w:ascii="Arial" w:hAnsi="Arial" w:cs="Arial"/>
      <w:b/>
      <w:szCs w:val="24"/>
    </w:rPr>
  </w:style>
  <w:style w:type="paragraph" w:styleId="af0">
    <w:name w:val="annotation subject"/>
    <w:basedOn w:val="a4"/>
    <w:next w:val="a4"/>
    <w:qFormat/>
    <w:rsid w:val="00D36A11"/>
    <w:rPr>
      <w:b/>
      <w:bCs/>
    </w:rPr>
  </w:style>
  <w:style w:type="paragraph" w:styleId="af1">
    <w:name w:val="Body Text First Indent"/>
    <w:basedOn w:val="a5"/>
    <w:qFormat/>
    <w:rsid w:val="00D36A11"/>
    <w:pPr>
      <w:spacing w:after="120" w:line="240" w:lineRule="auto"/>
      <w:ind w:firstLineChars="100" w:firstLine="420"/>
    </w:pPr>
    <w:rPr>
      <w:rFonts w:eastAsia="宋体"/>
      <w:sz w:val="21"/>
    </w:rPr>
  </w:style>
  <w:style w:type="table" w:styleId="af2">
    <w:name w:val="Table Grid"/>
    <w:basedOn w:val="a2"/>
    <w:qFormat/>
    <w:rsid w:val="00D36A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sid w:val="00D36A11"/>
    <w:rPr>
      <w:rFonts w:ascii="Times New Roman" w:eastAsia="宋体" w:hAnsi="Times New Roman" w:cs="Times New Roman"/>
      <w:b/>
      <w:bCs/>
    </w:rPr>
  </w:style>
  <w:style w:type="character" w:styleId="af4">
    <w:name w:val="page number"/>
    <w:basedOn w:val="a1"/>
    <w:qFormat/>
    <w:rsid w:val="00D36A11"/>
    <w:rPr>
      <w:rFonts w:ascii="Times New Roman" w:eastAsia="宋体" w:hAnsi="Times New Roman" w:cs="Times New Roman"/>
    </w:rPr>
  </w:style>
  <w:style w:type="character" w:styleId="af5">
    <w:name w:val="FollowedHyperlink"/>
    <w:basedOn w:val="a1"/>
    <w:qFormat/>
    <w:rsid w:val="00D36A11"/>
    <w:rPr>
      <w:rFonts w:ascii="Times New Roman" w:eastAsia="宋体" w:hAnsi="Times New Roman" w:cs="Times New Roman"/>
      <w:color w:val="800080"/>
      <w:u w:val="single"/>
    </w:rPr>
  </w:style>
  <w:style w:type="character" w:styleId="af6">
    <w:name w:val="Hyperlink"/>
    <w:basedOn w:val="a1"/>
    <w:qFormat/>
    <w:rsid w:val="00D36A11"/>
    <w:rPr>
      <w:rFonts w:ascii="Times New Roman" w:eastAsia="宋体" w:hAnsi="Times New Roman" w:cs="Times New Roman"/>
      <w:color w:val="0000FF"/>
      <w:u w:val="single"/>
    </w:rPr>
  </w:style>
  <w:style w:type="character" w:customStyle="1" w:styleId="Char4">
    <w:name w:val="页眉 Char"/>
    <w:basedOn w:val="a1"/>
    <w:link w:val="ac"/>
    <w:uiPriority w:val="99"/>
    <w:qFormat/>
    <w:rsid w:val="00D36A11"/>
    <w:rPr>
      <w:kern w:val="2"/>
      <w:sz w:val="18"/>
      <w:szCs w:val="18"/>
    </w:rPr>
  </w:style>
  <w:style w:type="character" w:customStyle="1" w:styleId="Char3">
    <w:name w:val="页脚 Char"/>
    <w:basedOn w:val="a1"/>
    <w:link w:val="ab"/>
    <w:uiPriority w:val="99"/>
    <w:rsid w:val="00D36A11"/>
    <w:rPr>
      <w:kern w:val="2"/>
      <w:sz w:val="18"/>
      <w:szCs w:val="18"/>
    </w:rPr>
  </w:style>
  <w:style w:type="character" w:customStyle="1" w:styleId="1Char">
    <w:name w:val="标题 1 Char"/>
    <w:basedOn w:val="a1"/>
    <w:link w:val="1"/>
    <w:uiPriority w:val="9"/>
    <w:qFormat/>
    <w:rsid w:val="00D36A11"/>
    <w:rPr>
      <w:rFonts w:ascii="Times New Roman" w:eastAsia="宋体" w:hAnsi="Times New Roman" w:cs="Times New Roman"/>
      <w:b/>
      <w:bCs/>
      <w:kern w:val="44"/>
      <w:sz w:val="44"/>
      <w:szCs w:val="44"/>
    </w:rPr>
  </w:style>
  <w:style w:type="character" w:customStyle="1" w:styleId="4Char">
    <w:name w:val="标题 4 Char"/>
    <w:basedOn w:val="a1"/>
    <w:link w:val="4"/>
    <w:qFormat/>
    <w:locked/>
    <w:rsid w:val="00D36A11"/>
    <w:rPr>
      <w:rFonts w:ascii="Arial" w:eastAsia="Gulim" w:hAnsi="Arial" w:cs="Times New Roman"/>
      <w:b/>
      <w:bCs/>
      <w:sz w:val="20"/>
      <w:lang w:eastAsia="ko-KR"/>
    </w:rPr>
  </w:style>
  <w:style w:type="character" w:customStyle="1" w:styleId="Char">
    <w:name w:val="批注文字 Char"/>
    <w:basedOn w:val="a1"/>
    <w:link w:val="a4"/>
    <w:semiHidden/>
    <w:qFormat/>
    <w:locked/>
    <w:rsid w:val="00D36A11"/>
    <w:rPr>
      <w:rFonts w:ascii="Calibri" w:eastAsia="宋体" w:hAnsi="Calibri" w:cs="Times New Roman"/>
      <w:szCs w:val="22"/>
    </w:rPr>
  </w:style>
  <w:style w:type="character" w:customStyle="1" w:styleId="Char0">
    <w:name w:val="正文文本 Char"/>
    <w:basedOn w:val="a1"/>
    <w:link w:val="a5"/>
    <w:qFormat/>
    <w:locked/>
    <w:rsid w:val="00D36A11"/>
    <w:rPr>
      <w:rFonts w:ascii="Times New Roman" w:eastAsia="仿宋_GB2312" w:hAnsi="Times New Roman" w:cs="Times New Roman"/>
      <w:sz w:val="32"/>
    </w:rPr>
  </w:style>
  <w:style w:type="character" w:customStyle="1" w:styleId="Char1">
    <w:name w:val="日期 Char"/>
    <w:basedOn w:val="a1"/>
    <w:link w:val="a9"/>
    <w:uiPriority w:val="99"/>
    <w:qFormat/>
    <w:rsid w:val="00D36A11"/>
    <w:rPr>
      <w:rFonts w:ascii="Times New Roman" w:eastAsia="仿宋_GB2312" w:hAnsi="Times New Roman" w:cs="Times New Roman"/>
      <w:sz w:val="32"/>
    </w:rPr>
  </w:style>
  <w:style w:type="character" w:customStyle="1" w:styleId="Char2">
    <w:name w:val="批注框文本 Char"/>
    <w:basedOn w:val="a1"/>
    <w:link w:val="aa"/>
    <w:qFormat/>
    <w:rsid w:val="00D36A11"/>
    <w:rPr>
      <w:rFonts w:ascii="Times New Roman" w:eastAsia="宋体" w:hAnsi="Times New Roman" w:cs="Times New Roman"/>
      <w:sz w:val="18"/>
      <w:szCs w:val="18"/>
    </w:rPr>
  </w:style>
  <w:style w:type="character" w:customStyle="1" w:styleId="HTMLChar">
    <w:name w:val="HTML 预设格式 Char"/>
    <w:basedOn w:val="a1"/>
    <w:link w:val="HTML"/>
    <w:qFormat/>
    <w:rsid w:val="00D36A11"/>
    <w:rPr>
      <w:rFonts w:ascii="宋体" w:eastAsia="宋体" w:hAnsi="宋体" w:cs="宋体"/>
      <w:color w:val="000000"/>
      <w:kern w:val="0"/>
      <w:sz w:val="24"/>
    </w:rPr>
  </w:style>
  <w:style w:type="paragraph" w:customStyle="1" w:styleId="xl34">
    <w:name w:val="xl34"/>
    <w:basedOn w:val="a"/>
    <w:qFormat/>
    <w:rsid w:val="00D36A11"/>
    <w:pPr>
      <w:widowControl/>
      <w:spacing w:before="100" w:beforeAutospacing="1" w:after="100" w:afterAutospacing="1"/>
      <w:jc w:val="center"/>
    </w:pPr>
    <w:rPr>
      <w:rFonts w:ascii="宋体" w:hAnsi="宋体"/>
      <w:kern w:val="0"/>
      <w:sz w:val="36"/>
      <w:szCs w:val="36"/>
    </w:rPr>
  </w:style>
  <w:style w:type="character" w:customStyle="1" w:styleId="3Char">
    <w:name w:val="标题 3 Char"/>
    <w:basedOn w:val="a1"/>
    <w:qFormat/>
    <w:rsid w:val="00D36A11"/>
    <w:rPr>
      <w:rFonts w:ascii="Times New Roman" w:eastAsia="宋体" w:hAnsi="Times New Roman" w:cs="Times New Roman"/>
      <w:b/>
      <w:bCs/>
      <w:kern w:val="2"/>
      <w:sz w:val="32"/>
      <w:szCs w:val="32"/>
      <w:lang w:val="en-US" w:eastAsia="zh-CN" w:bidi="ar-SA"/>
    </w:rPr>
  </w:style>
  <w:style w:type="paragraph" w:customStyle="1" w:styleId="0">
    <w:name w:val="0"/>
    <w:basedOn w:val="a"/>
    <w:qFormat/>
    <w:rsid w:val="00D36A11"/>
    <w:pPr>
      <w:widowControl/>
      <w:spacing w:before="100" w:beforeAutospacing="1" w:after="100" w:afterAutospacing="1"/>
      <w:jc w:val="left"/>
    </w:pPr>
    <w:rPr>
      <w:rFonts w:ascii="宋体" w:hAnsi="宋体" w:cs="宋体"/>
      <w:kern w:val="0"/>
      <w:sz w:val="24"/>
      <w:szCs w:val="24"/>
    </w:rPr>
  </w:style>
  <w:style w:type="character" w:customStyle="1" w:styleId="ourfont1">
    <w:name w:val="ourfont1"/>
    <w:basedOn w:val="a1"/>
    <w:qFormat/>
    <w:rsid w:val="00D36A11"/>
    <w:rPr>
      <w:rFonts w:ascii="Times New Roman" w:eastAsia="宋体" w:hAnsi="Times New Roman" w:cs="Times New Roman"/>
    </w:rPr>
  </w:style>
  <w:style w:type="character" w:customStyle="1" w:styleId="CharChar2">
    <w:name w:val="Char Char2"/>
    <w:basedOn w:val="a1"/>
    <w:qFormat/>
    <w:rsid w:val="00D36A11"/>
    <w:rPr>
      <w:rFonts w:ascii="Times New Roman" w:eastAsia="宋体" w:hAnsi="Times New Roman" w:cs="Times New Roman"/>
      <w:kern w:val="2"/>
      <w:sz w:val="18"/>
      <w:szCs w:val="18"/>
    </w:rPr>
  </w:style>
  <w:style w:type="paragraph" w:customStyle="1" w:styleId="pstyleclass">
    <w:name w:val="pstyleclass"/>
    <w:basedOn w:val="a"/>
    <w:qFormat/>
    <w:rsid w:val="00D36A11"/>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rsid w:val="00D36A11"/>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qFormat/>
    <w:rsid w:val="00D36A11"/>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D36A11"/>
    <w:pPr>
      <w:ind w:firstLineChars="200" w:firstLine="420"/>
    </w:pPr>
  </w:style>
  <w:style w:type="character" w:customStyle="1" w:styleId="x005fmsonormalchar1">
    <w:name w:val="x_005fmsonormal__char1"/>
    <w:basedOn w:val="a1"/>
    <w:qFormat/>
    <w:rsid w:val="00D36A11"/>
    <w:rPr>
      <w:rFonts w:ascii="宋体" w:eastAsia="宋体" w:hAnsi="宋体" w:cs="宋体"/>
      <w:sz w:val="24"/>
      <w:szCs w:val="24"/>
      <w:u w:val="none"/>
    </w:rPr>
  </w:style>
  <w:style w:type="paragraph" w:customStyle="1" w:styleId="Char1CharCharChar">
    <w:name w:val="Char1 Char Char Char"/>
    <w:basedOn w:val="a"/>
    <w:qFormat/>
    <w:rsid w:val="00D36A11"/>
    <w:pPr>
      <w:widowControl/>
      <w:spacing w:after="160" w:line="240" w:lineRule="exact"/>
      <w:jc w:val="left"/>
    </w:pPr>
    <w:rPr>
      <w:rFonts w:ascii="Verdana" w:eastAsia="仿宋_GB2312" w:hAnsi="Verdana"/>
      <w:kern w:val="0"/>
      <w:sz w:val="24"/>
      <w:szCs w:val="20"/>
      <w:lang w:eastAsia="en-US"/>
    </w:rPr>
  </w:style>
  <w:style w:type="paragraph" w:customStyle="1" w:styleId="font0">
    <w:name w:val="font0"/>
    <w:basedOn w:val="a"/>
    <w:qFormat/>
    <w:rsid w:val="00D36A11"/>
    <w:pPr>
      <w:widowControl/>
      <w:spacing w:before="100" w:beforeAutospacing="1" w:after="100" w:afterAutospacing="1"/>
      <w:jc w:val="left"/>
    </w:pPr>
    <w:rPr>
      <w:rFonts w:ascii="宋体" w:hAnsi="宋体" w:hint="eastAsia"/>
      <w:kern w:val="0"/>
      <w:sz w:val="24"/>
      <w:szCs w:val="24"/>
    </w:rPr>
  </w:style>
  <w:style w:type="paragraph" w:customStyle="1" w:styleId="font5">
    <w:name w:val="font5"/>
    <w:basedOn w:val="a"/>
    <w:qFormat/>
    <w:rsid w:val="00D36A11"/>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D36A11"/>
    <w:pPr>
      <w:widowControl/>
      <w:spacing w:before="100" w:beforeAutospacing="1" w:after="100" w:afterAutospacing="1"/>
      <w:jc w:val="left"/>
    </w:pPr>
    <w:rPr>
      <w:rFonts w:ascii="Times New Roman" w:hAnsi="Times New Roman"/>
      <w:kern w:val="0"/>
      <w:sz w:val="24"/>
      <w:szCs w:val="24"/>
    </w:rPr>
  </w:style>
  <w:style w:type="paragraph" w:customStyle="1" w:styleId="xl24">
    <w:name w:val="xl24"/>
    <w:basedOn w:val="a"/>
    <w:qFormat/>
    <w:rsid w:val="00D36A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rsid w:val="00D36A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6">
    <w:name w:val="xl26"/>
    <w:basedOn w:val="a"/>
    <w:qFormat/>
    <w:rsid w:val="00D36A11"/>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qFormat/>
    <w:rsid w:val="00D36A1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8">
    <w:name w:val="xl28"/>
    <w:basedOn w:val="a"/>
    <w:qFormat/>
    <w:rsid w:val="00D36A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29">
    <w:name w:val="xl29"/>
    <w:basedOn w:val="a"/>
    <w:qFormat/>
    <w:rsid w:val="00D36A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D36A1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1">
    <w:name w:val="xl31"/>
    <w:basedOn w:val="a"/>
    <w:qFormat/>
    <w:rsid w:val="00D36A11"/>
    <w:pPr>
      <w:widowControl/>
      <w:pBdr>
        <w:top w:val="single" w:sz="4" w:space="0" w:color="auto"/>
        <w:left w:val="single" w:sz="4" w:space="0" w:color="auto"/>
      </w:pBdr>
      <w:spacing w:before="100" w:beforeAutospacing="1" w:after="100" w:afterAutospacing="1"/>
      <w:jc w:val="left"/>
    </w:pPr>
    <w:rPr>
      <w:rFonts w:ascii="宋体" w:hAnsi="宋体"/>
      <w:kern w:val="0"/>
      <w:sz w:val="24"/>
      <w:szCs w:val="24"/>
    </w:rPr>
  </w:style>
  <w:style w:type="paragraph" w:customStyle="1" w:styleId="xl32">
    <w:name w:val="xl32"/>
    <w:basedOn w:val="a"/>
    <w:qFormat/>
    <w:rsid w:val="00D36A11"/>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3">
    <w:name w:val="xl33"/>
    <w:basedOn w:val="a"/>
    <w:qFormat/>
    <w:rsid w:val="00D36A11"/>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5">
    <w:name w:val="xl35"/>
    <w:basedOn w:val="a"/>
    <w:qFormat/>
    <w:rsid w:val="00D36A1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6">
    <w:name w:val="xl36"/>
    <w:basedOn w:val="a"/>
    <w:qFormat/>
    <w:rsid w:val="00D36A1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7">
    <w:name w:val="xl37"/>
    <w:basedOn w:val="a"/>
    <w:qFormat/>
    <w:rsid w:val="00D36A11"/>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1"/>
    </w:rPr>
  </w:style>
  <w:style w:type="paragraph" w:customStyle="1" w:styleId="xl38">
    <w:name w:val="xl38"/>
    <w:basedOn w:val="a"/>
    <w:qFormat/>
    <w:rsid w:val="00D36A11"/>
    <w:pPr>
      <w:widowControl/>
      <w:spacing w:before="100" w:beforeAutospacing="1" w:after="100" w:afterAutospacing="1"/>
      <w:jc w:val="left"/>
    </w:pPr>
    <w:rPr>
      <w:rFonts w:ascii="Times New Roman" w:eastAsia="Arial Unicode MS" w:hAnsi="Times New Roman"/>
      <w:b/>
      <w:bCs/>
      <w:kern w:val="0"/>
      <w:sz w:val="32"/>
      <w:szCs w:val="32"/>
    </w:rPr>
  </w:style>
  <w:style w:type="paragraph" w:customStyle="1" w:styleId="xl39">
    <w:name w:val="xl39"/>
    <w:basedOn w:val="a"/>
    <w:qFormat/>
    <w:rsid w:val="00D36A1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40">
    <w:name w:val="xl40"/>
    <w:basedOn w:val="a"/>
    <w:qFormat/>
    <w:rsid w:val="00D36A1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41">
    <w:name w:val="xl41"/>
    <w:basedOn w:val="a"/>
    <w:qFormat/>
    <w:rsid w:val="00D36A11"/>
    <w:pPr>
      <w:widowControl/>
      <w:spacing w:before="100" w:beforeAutospacing="1" w:after="100" w:afterAutospacing="1"/>
      <w:jc w:val="left"/>
    </w:pPr>
    <w:rPr>
      <w:rFonts w:ascii="Arial Unicode MS" w:eastAsia="Arial Unicode MS" w:hAnsi="Arial Unicode MS" w:cs="Arial Unicode MS"/>
      <w:b/>
      <w:bCs/>
      <w:kern w:val="0"/>
      <w:sz w:val="32"/>
      <w:szCs w:val="32"/>
    </w:rPr>
  </w:style>
  <w:style w:type="paragraph" w:customStyle="1" w:styleId="xl42">
    <w:name w:val="xl42"/>
    <w:basedOn w:val="a"/>
    <w:qFormat/>
    <w:rsid w:val="00D36A11"/>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43">
    <w:name w:val="xl43"/>
    <w:basedOn w:val="a"/>
    <w:qFormat/>
    <w:rsid w:val="00D36A1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D36A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36A1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D36A11"/>
    <w:pPr>
      <w:widowControl/>
      <w:spacing w:before="100" w:beforeAutospacing="1" w:after="100" w:afterAutospacing="1"/>
      <w:jc w:val="left"/>
    </w:pPr>
    <w:rPr>
      <w:rFonts w:ascii="Times New Roman" w:eastAsia="Arial Unicode MS" w:hAnsi="Times New Roman"/>
      <w:b/>
      <w:bCs/>
      <w:kern w:val="0"/>
      <w:sz w:val="24"/>
      <w:szCs w:val="24"/>
    </w:rPr>
  </w:style>
  <w:style w:type="paragraph" w:customStyle="1" w:styleId="font8">
    <w:name w:val="font8"/>
    <w:basedOn w:val="a"/>
    <w:qFormat/>
    <w:rsid w:val="00D36A11"/>
    <w:pPr>
      <w:widowControl/>
      <w:spacing w:before="100" w:beforeAutospacing="1" w:after="100" w:afterAutospacing="1"/>
      <w:jc w:val="left"/>
    </w:pPr>
    <w:rPr>
      <w:rFonts w:ascii="Times New Roman" w:eastAsia="Arial Unicode MS" w:hAnsi="Times New Roman"/>
      <w:kern w:val="0"/>
      <w:sz w:val="24"/>
      <w:szCs w:val="24"/>
    </w:rPr>
  </w:style>
  <w:style w:type="paragraph" w:customStyle="1" w:styleId="23">
    <w:name w:val="样式 首行缩进:  2 字符"/>
    <w:basedOn w:val="a"/>
    <w:qFormat/>
    <w:rsid w:val="00D36A11"/>
    <w:pPr>
      <w:spacing w:line="600" w:lineRule="exact"/>
    </w:pPr>
    <w:rPr>
      <w:rFonts w:ascii="Times New Roman" w:eastAsia="仿宋_GB2312" w:hAnsi="Times New Roman"/>
      <w:sz w:val="32"/>
      <w:szCs w:val="32"/>
    </w:rPr>
  </w:style>
  <w:style w:type="paragraph" w:customStyle="1" w:styleId="32">
    <w:name w:val="样式 标题 3 + 首行缩进:  2 字符"/>
    <w:basedOn w:val="3"/>
    <w:qFormat/>
    <w:rsid w:val="00D36A11"/>
    <w:pPr>
      <w:spacing w:beforeLines="50" w:afterLines="50" w:line="560" w:lineRule="exact"/>
      <w:jc w:val="center"/>
    </w:pPr>
    <w:rPr>
      <w:rFonts w:eastAsia="楷体_GB2312"/>
      <w:b w:val="0"/>
      <w:bCs w:val="0"/>
    </w:rPr>
  </w:style>
  <w:style w:type="paragraph" w:customStyle="1" w:styleId="CharCharChar1">
    <w:name w:val="Char Char Char1"/>
    <w:basedOn w:val="a"/>
    <w:qFormat/>
    <w:rsid w:val="00D36A11"/>
    <w:pPr>
      <w:spacing w:line="360" w:lineRule="auto"/>
      <w:ind w:firstLineChars="200" w:firstLine="200"/>
    </w:pPr>
    <w:rPr>
      <w:rFonts w:ascii="宋体" w:hAnsi="宋体" w:cs="宋体"/>
      <w:sz w:val="24"/>
      <w:szCs w:val="24"/>
    </w:rPr>
  </w:style>
  <w:style w:type="paragraph" w:customStyle="1" w:styleId="CharCharCharCharCharChar1Char">
    <w:name w:val="Char Char Char Char Char Char1 Char"/>
    <w:basedOn w:val="a"/>
    <w:qFormat/>
    <w:rsid w:val="00D36A11"/>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
    <w:qFormat/>
    <w:rsid w:val="00D36A11"/>
    <w:pPr>
      <w:widowControl/>
      <w:spacing w:after="160" w:line="240" w:lineRule="exact"/>
      <w:jc w:val="left"/>
    </w:pPr>
    <w:rPr>
      <w:rFonts w:ascii="Verdana" w:eastAsia="仿宋_GB2312" w:hAnsi="Verdana"/>
      <w:kern w:val="0"/>
      <w:sz w:val="24"/>
      <w:szCs w:val="20"/>
      <w:lang w:eastAsia="en-US"/>
    </w:rPr>
  </w:style>
  <w:style w:type="character" w:customStyle="1" w:styleId="title11">
    <w:name w:val="title11"/>
    <w:basedOn w:val="a1"/>
    <w:qFormat/>
    <w:rsid w:val="00D36A11"/>
    <w:rPr>
      <w:rFonts w:ascii="Times New Roman" w:eastAsia="宋体" w:hAnsi="Times New Roman" w:cs="Times New Roman"/>
      <w:sz w:val="21"/>
      <w:szCs w:val="21"/>
    </w:rPr>
  </w:style>
  <w:style w:type="paragraph" w:customStyle="1" w:styleId="Char5">
    <w:name w:val="Char"/>
    <w:basedOn w:val="a"/>
    <w:qFormat/>
    <w:rsid w:val="00D36A11"/>
    <w:pPr>
      <w:spacing w:line="360" w:lineRule="auto"/>
      <w:ind w:firstLineChars="200" w:firstLine="200"/>
    </w:pPr>
    <w:rPr>
      <w:rFonts w:ascii="宋体" w:hAnsi="宋体" w:cs="宋体"/>
      <w:sz w:val="24"/>
      <w:szCs w:val="24"/>
    </w:rPr>
  </w:style>
  <w:style w:type="paragraph" w:customStyle="1" w:styleId="h3">
    <w:name w:val="h3"/>
    <w:basedOn w:val="a"/>
    <w:qFormat/>
    <w:rsid w:val="00D36A11"/>
    <w:pPr>
      <w:widowControl/>
      <w:spacing w:before="150" w:after="150" w:line="360" w:lineRule="auto"/>
      <w:ind w:firstLine="450"/>
      <w:jc w:val="left"/>
    </w:pPr>
    <w:rPr>
      <w:rFonts w:ascii="宋体" w:hAnsi="宋体" w:cs="宋体"/>
      <w:kern w:val="0"/>
      <w:sz w:val="20"/>
      <w:szCs w:val="20"/>
    </w:rPr>
  </w:style>
  <w:style w:type="character" w:customStyle="1" w:styleId="ziti21">
    <w:name w:val="ziti21"/>
    <w:basedOn w:val="a1"/>
    <w:qFormat/>
    <w:rsid w:val="00D36A11"/>
    <w:rPr>
      <w:rFonts w:ascii="ˎ̥" w:eastAsia="宋体" w:hAnsi="ˎ̥" w:cs="Times New Roman" w:hint="default"/>
      <w:color w:val="000000"/>
      <w:sz w:val="21"/>
      <w:szCs w:val="21"/>
      <w:u w:val="none"/>
    </w:rPr>
  </w:style>
  <w:style w:type="paragraph" w:customStyle="1" w:styleId="CharCharCharCharCharChar">
    <w:name w:val="Char Char Char Char Char Char"/>
    <w:basedOn w:val="a"/>
    <w:qFormat/>
    <w:rsid w:val="00D36A11"/>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sid w:val="00D36A11"/>
    <w:rPr>
      <w:rFonts w:ascii="仿宋_GB2312" w:hAnsi="Times New Roman"/>
      <w:b/>
      <w:sz w:val="30"/>
      <w:szCs w:val="32"/>
    </w:rPr>
  </w:style>
  <w:style w:type="character" w:customStyle="1" w:styleId="newsbt2">
    <w:name w:val="newsbt2"/>
    <w:basedOn w:val="a1"/>
    <w:qFormat/>
    <w:rsid w:val="00D36A11"/>
    <w:rPr>
      <w:rFonts w:ascii="Times New Roman" w:eastAsia="宋体" w:hAnsi="Times New Roman" w:cs="Times New Roman"/>
    </w:rPr>
  </w:style>
  <w:style w:type="character" w:customStyle="1" w:styleId="apple-style-span">
    <w:name w:val="apple-style-span"/>
    <w:basedOn w:val="a1"/>
    <w:qFormat/>
    <w:rsid w:val="00D36A11"/>
    <w:rPr>
      <w:rFonts w:ascii="Times New Roman" w:eastAsia="宋体" w:hAnsi="Times New Roman" w:cs="Times New Roman"/>
    </w:rPr>
  </w:style>
  <w:style w:type="character" w:customStyle="1" w:styleId="Char6">
    <w:name w:val="纯文本 Char"/>
    <w:basedOn w:val="a1"/>
    <w:qFormat/>
    <w:rsid w:val="00D36A11"/>
    <w:rPr>
      <w:rFonts w:ascii="宋体" w:eastAsia="宋体" w:hAnsi="Courier New" w:cs="Times New Roman"/>
      <w:kern w:val="2"/>
      <w:sz w:val="21"/>
      <w:lang w:val="en-US" w:eastAsia="zh-CN" w:bidi="ar-SA"/>
    </w:rPr>
  </w:style>
  <w:style w:type="paragraph" w:customStyle="1" w:styleId="CharCharChar">
    <w:name w:val="Char Char Char"/>
    <w:basedOn w:val="a"/>
    <w:qFormat/>
    <w:rsid w:val="00D36A11"/>
    <w:pPr>
      <w:widowControl/>
      <w:spacing w:after="160" w:line="240" w:lineRule="exact"/>
      <w:jc w:val="left"/>
    </w:pPr>
    <w:rPr>
      <w:rFonts w:ascii="Verdana" w:hAnsi="Verdana"/>
      <w:kern w:val="0"/>
      <w:sz w:val="20"/>
      <w:szCs w:val="20"/>
      <w:lang w:eastAsia="en-US"/>
    </w:rPr>
  </w:style>
  <w:style w:type="character" w:customStyle="1" w:styleId="ca-2">
    <w:name w:val="ca-2"/>
    <w:basedOn w:val="a1"/>
    <w:qFormat/>
    <w:rsid w:val="00D36A11"/>
    <w:rPr>
      <w:rFonts w:ascii="Times New Roman" w:eastAsia="宋体" w:hAnsi="Times New Roman" w:cs="Times New Roman"/>
    </w:rPr>
  </w:style>
  <w:style w:type="paragraph" w:customStyle="1" w:styleId="customunionstyle">
    <w:name w:val="custom_unionstyle"/>
    <w:basedOn w:val="a"/>
    <w:qFormat/>
    <w:rsid w:val="00D36A11"/>
    <w:pPr>
      <w:widowControl/>
      <w:jc w:val="left"/>
    </w:pPr>
    <w:rPr>
      <w:rFonts w:ascii="宋体" w:hAnsi="宋体" w:cs="宋体"/>
      <w:kern w:val="0"/>
      <w:sz w:val="24"/>
      <w:szCs w:val="24"/>
    </w:rPr>
  </w:style>
  <w:style w:type="paragraph" w:customStyle="1" w:styleId="CharCharChar0">
    <w:name w:val="Char Char Char"/>
    <w:basedOn w:val="a"/>
    <w:qFormat/>
    <w:rsid w:val="00D36A11"/>
    <w:pPr>
      <w:widowControl/>
      <w:spacing w:after="160" w:line="240" w:lineRule="exact"/>
      <w:jc w:val="left"/>
    </w:pPr>
    <w:rPr>
      <w:rFonts w:ascii="Verdana" w:hAnsi="Verdana"/>
      <w:kern w:val="0"/>
      <w:sz w:val="20"/>
      <w:szCs w:val="20"/>
      <w:lang w:eastAsia="en-US"/>
    </w:rPr>
  </w:style>
  <w:style w:type="paragraph" w:styleId="af7">
    <w:name w:val="No Spacing"/>
    <w:link w:val="Char7"/>
    <w:qFormat/>
    <w:rsid w:val="00D36A11"/>
    <w:rPr>
      <w:sz w:val="22"/>
      <w:szCs w:val="22"/>
    </w:rPr>
  </w:style>
  <w:style w:type="character" w:customStyle="1" w:styleId="Char7">
    <w:name w:val="无间隔 Char"/>
    <w:basedOn w:val="a1"/>
    <w:link w:val="af7"/>
    <w:qFormat/>
    <w:rsid w:val="00D36A11"/>
    <w:rPr>
      <w:sz w:val="22"/>
      <w:szCs w:val="22"/>
      <w:lang w:val="en-US" w:eastAsia="zh-CN" w:bidi="ar-SA"/>
    </w:rPr>
  </w:style>
  <w:style w:type="character" w:customStyle="1" w:styleId="Char10">
    <w:name w:val="页脚 Char1"/>
    <w:basedOn w:val="a1"/>
    <w:uiPriority w:val="99"/>
    <w:semiHidden/>
    <w:qFormat/>
    <w:rsid w:val="00D36A11"/>
    <w:rPr>
      <w:rFonts w:ascii="Times New Roman" w:eastAsia="宋体" w:hAnsi="Times New Roman" w:cs="Times New Roman"/>
      <w:sz w:val="18"/>
      <w:szCs w:val="18"/>
    </w:rPr>
  </w:style>
  <w:style w:type="paragraph" w:customStyle="1" w:styleId="Char11">
    <w:name w:val="Char1"/>
    <w:basedOn w:val="a"/>
    <w:uiPriority w:val="99"/>
    <w:qFormat/>
    <w:rsid w:val="00D36A11"/>
    <w:pPr>
      <w:tabs>
        <w:tab w:val="left" w:pos="840"/>
      </w:tabs>
      <w:ind w:left="840" w:hanging="420"/>
    </w:pPr>
    <w:rPr>
      <w:rFonts w:ascii="Times New Roman" w:eastAsia="仿宋_GB2312" w:hAnsi="Times New Roman"/>
      <w:sz w:val="24"/>
      <w:szCs w:val="24"/>
    </w:rPr>
  </w:style>
  <w:style w:type="character" w:customStyle="1" w:styleId="font11">
    <w:name w:val="font11"/>
    <w:basedOn w:val="a1"/>
    <w:qFormat/>
    <w:rsid w:val="00D36A11"/>
    <w:rPr>
      <w:rFonts w:ascii="宋体" w:eastAsia="宋体" w:hAnsi="宋体" w:cs="宋体" w:hint="eastAsia"/>
      <w:color w:val="000000"/>
      <w:sz w:val="24"/>
      <w:szCs w:val="24"/>
      <w:u w:val="none"/>
    </w:rPr>
  </w:style>
  <w:style w:type="character" w:customStyle="1" w:styleId="font01">
    <w:name w:val="font01"/>
    <w:basedOn w:val="a1"/>
    <w:qFormat/>
    <w:rsid w:val="00D36A11"/>
    <w:rPr>
      <w:rFonts w:ascii="Times New Roman" w:eastAsia="宋体" w:hAnsi="Times New Roman" w:cs="Times New Roman" w:hint="default"/>
      <w:color w:val="000000"/>
      <w:sz w:val="24"/>
      <w:szCs w:val="24"/>
      <w:u w:val="none"/>
    </w:rPr>
  </w:style>
  <w:style w:type="character" w:customStyle="1" w:styleId="font91">
    <w:name w:val="font91"/>
    <w:basedOn w:val="a1"/>
    <w:qFormat/>
    <w:rsid w:val="00D36A11"/>
    <w:rPr>
      <w:rFonts w:ascii="Times New Roman" w:eastAsia="宋体" w:hAnsi="Times New Roman" w:cs="Times New Roman" w:hint="default"/>
      <w:color w:val="000000"/>
      <w:sz w:val="20"/>
      <w:szCs w:val="20"/>
      <w:u w:val="none"/>
    </w:rPr>
  </w:style>
  <w:style w:type="character" w:customStyle="1" w:styleId="font81">
    <w:name w:val="font81"/>
    <w:basedOn w:val="a1"/>
    <w:qFormat/>
    <w:rsid w:val="00D36A11"/>
    <w:rPr>
      <w:rFonts w:ascii="宋体" w:eastAsia="宋体" w:hAnsi="宋体" w:cs="宋体" w:hint="eastAsia"/>
      <w:color w:val="000000"/>
      <w:sz w:val="20"/>
      <w:szCs w:val="20"/>
      <w:u w:val="none"/>
    </w:rPr>
  </w:style>
  <w:style w:type="character" w:customStyle="1" w:styleId="font61">
    <w:name w:val="font61"/>
    <w:basedOn w:val="a1"/>
    <w:qFormat/>
    <w:rsid w:val="00D36A11"/>
    <w:rPr>
      <w:rFonts w:ascii="宋体" w:eastAsia="宋体" w:hAnsi="宋体" w:cs="宋体" w:hint="eastAsia"/>
      <w:color w:val="000000"/>
      <w:sz w:val="20"/>
      <w:szCs w:val="20"/>
      <w:u w:val="none"/>
    </w:rPr>
  </w:style>
  <w:style w:type="character" w:customStyle="1" w:styleId="font51">
    <w:name w:val="font51"/>
    <w:basedOn w:val="a1"/>
    <w:qFormat/>
    <w:rsid w:val="00D36A11"/>
    <w:rPr>
      <w:rFonts w:ascii="Times New Roman" w:eastAsia="宋体"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1015</Words>
  <Characters>5786</Characters>
  <Application>Microsoft Office Word</Application>
  <DocSecurity>0</DocSecurity>
  <Lines>48</Lines>
  <Paragraphs>13</Paragraphs>
  <ScaleCrop>false</ScaleCrop>
  <Company>CHINA</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陕西省农业厅办公室</dc:title>
  <dc:creator>user</dc:creator>
  <cp:lastModifiedBy>江芳</cp:lastModifiedBy>
  <cp:revision>3</cp:revision>
  <cp:lastPrinted>2022-08-08T01:34:00Z</cp:lastPrinted>
  <dcterms:created xsi:type="dcterms:W3CDTF">2022-08-30T01:40:00Z</dcterms:created>
  <dcterms:modified xsi:type="dcterms:W3CDTF">2022-08-30T01:41:00Z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文种">
    <vt:lpwstr/>
  </property>
</Properties>
</file>