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0C503">
      <w:pPr>
        <w:spacing w:line="5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eastAsia="zh-CN"/>
        </w:rPr>
        <w:t>：</w:t>
      </w:r>
    </w:p>
    <w:p w14:paraId="5C7C6DE6">
      <w:pPr>
        <w:pStyle w:val="2"/>
        <w:ind w:firstLine="420"/>
      </w:pPr>
    </w:p>
    <w:p w14:paraId="2CE059AC">
      <w:pPr>
        <w:jc w:val="center"/>
        <w:rPr>
          <w:rFonts w:ascii="方正小标宋简体" w:hAnsi="方正小标宋简体" w:eastAsia="方正小标宋简体" w:cs="方正小标宋简体"/>
          <w:w w:val="90"/>
          <w:sz w:val="48"/>
          <w:szCs w:val="48"/>
        </w:rPr>
      </w:pPr>
      <w:r>
        <w:rPr>
          <w:rFonts w:hint="eastAsia" w:ascii="方正小标宋简体" w:hAnsi="方正小标宋简体" w:eastAsia="方正小标宋简体" w:cs="方正小标宋简体"/>
          <w:w w:val="90"/>
          <w:sz w:val="48"/>
          <w:szCs w:val="48"/>
        </w:rPr>
        <w:t>陕西省道地药材良种繁育基地建设指南</w:t>
      </w:r>
    </w:p>
    <w:p w14:paraId="35366659">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为促进中药资源普查成果更好运用</w:t>
      </w:r>
      <w:bookmarkStart w:id="0" w:name="_GoBack"/>
      <w:bookmarkEnd w:id="0"/>
      <w:r>
        <w:rPr>
          <w:rFonts w:hint="eastAsia" w:ascii="Times New Roman" w:hAnsi="Times New Roman" w:eastAsia="仿宋_GB2312"/>
          <w:kern w:val="0"/>
          <w:sz w:val="32"/>
          <w:szCs w:val="32"/>
        </w:rPr>
        <w:t>于中药材生产种植，加快中药材品种良种繁育基地的建设，为中药材生产提供优良种子种苗，提高中药材质量的保障水平，制定本指南。</w:t>
      </w:r>
    </w:p>
    <w:p w14:paraId="1E54410B">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一、总则</w:t>
      </w:r>
    </w:p>
    <w:p w14:paraId="27F539C6">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陕西省中医药管理局道地药材良种繁育基地（以下简称基地）应该具有较好的自然条件和生产潜力，具有一定的良种选育和推广能力，具备规模化、规范化和较高科技水平作用。</w:t>
      </w:r>
    </w:p>
    <w:p w14:paraId="76C616CC">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基地按照中药材种子种苗繁育单位提出申请，县级卫健委（中医药主管部门）、农业农村局、</w:t>
      </w:r>
      <w:r>
        <w:rPr>
          <w:rFonts w:hint="eastAsia" w:ascii="Times New Roman" w:hAnsi="Times New Roman" w:eastAsia="仿宋_GB2312"/>
          <w:color w:val="auto"/>
          <w:kern w:val="0"/>
          <w:sz w:val="32"/>
          <w:szCs w:val="32"/>
        </w:rPr>
        <w:t>林业局行</w:t>
      </w:r>
      <w:r>
        <w:rPr>
          <w:rFonts w:hint="eastAsia" w:ascii="Times New Roman" w:hAnsi="Times New Roman" w:eastAsia="仿宋_GB2312"/>
          <w:kern w:val="0"/>
          <w:sz w:val="32"/>
          <w:szCs w:val="32"/>
        </w:rPr>
        <w:t>政主管部门初审核、推荐；市级卫健委（中医药管理局）主管部门审核；省中医药管理局确认程序产生。</w:t>
      </w:r>
    </w:p>
    <w:p w14:paraId="68634DE2">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二、基地建设的基本条件</w:t>
      </w:r>
    </w:p>
    <w:p w14:paraId="1C5A8963">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（一）自然条件适合中药材种子种苗繁育，区域布局合理，当地或者生态条件相似地区对繁育的种子（种苗）有长期或者潜在的需求。</w:t>
      </w:r>
    </w:p>
    <w:p w14:paraId="72DF8BE4">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（二）对拟繁育的中药材具备选育出的优良新品种或经过提纯复壮优于现有生产种的群体，并已繁育应用于生产。应制定相应繁育规程、种子种苗质量标准与检测规范。</w:t>
      </w:r>
    </w:p>
    <w:p w14:paraId="0DF1F95C">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（三）建立管理制度、管理规范，档案资料齐全，保存完整。</w:t>
      </w:r>
    </w:p>
    <w:p w14:paraId="4A033166">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四）具备一定的生产规模和必要的场地和设施（与该品种生产特性相适应），如种子种苗加工必备的干燥保鲜、加工的场地或设施，用于贮藏的仓库或冷库，用于种子种苗质量检测的设施；根据实际需要，建设必要生产性辅助设施，如灌排水系统、田间道路、机井等田间工程等；配备必要的分拣、净选、分级、包装以及检测的机器设备。基地用地规模50-100亩以上</w:t>
      </w:r>
      <w:r>
        <w:rPr>
          <w:rFonts w:hint="eastAsia" w:ascii="Times New Roman" w:hAnsi="Times New Roman" w:eastAsia="仿宋_GB2312"/>
          <w:color w:val="auto"/>
          <w:kern w:val="0"/>
          <w:sz w:val="32"/>
          <w:szCs w:val="32"/>
        </w:rPr>
        <w:t>（</w:t>
      </w:r>
      <w:r>
        <w:rPr>
          <w:rFonts w:hint="eastAsia" w:ascii="仿宋_GB2312" w:eastAsia="仿宋_GB2312" w:cs="Calibri"/>
          <w:color w:val="333333"/>
          <w:sz w:val="32"/>
          <w:szCs w:val="32"/>
        </w:rPr>
        <w:t>林麝人工繁育基地</w:t>
      </w:r>
      <w:r>
        <w:rPr>
          <w:rFonts w:hint="eastAsia" w:ascii="仿宋_GB2312" w:eastAsia="仿宋_GB2312" w:cs="Calibri"/>
          <w:color w:val="333333"/>
          <w:sz w:val="32"/>
          <w:szCs w:val="32"/>
          <w:lang w:eastAsia="zh-CN"/>
        </w:rPr>
        <w:t>养殖数目在</w:t>
      </w:r>
      <w:r>
        <w:rPr>
          <w:rFonts w:hint="eastAsia" w:ascii="仿宋_GB2312" w:eastAsia="仿宋_GB2312" w:cs="Calibri"/>
          <w:color w:val="333333"/>
          <w:sz w:val="32"/>
          <w:szCs w:val="32"/>
          <w:lang w:val="en-US" w:eastAsia="zh-CN"/>
        </w:rPr>
        <w:t>200只以上</w:t>
      </w:r>
      <w:r>
        <w:rPr>
          <w:rFonts w:hint="eastAsia" w:ascii="Times New Roman" w:hAnsi="Times New Roman" w:eastAsia="仿宋_GB2312"/>
          <w:color w:val="auto"/>
          <w:kern w:val="0"/>
          <w:sz w:val="32"/>
          <w:szCs w:val="32"/>
        </w:rPr>
        <w:t>）</w:t>
      </w:r>
      <w:r>
        <w:rPr>
          <w:rFonts w:hint="eastAsia" w:ascii="Times New Roman" w:hAnsi="Times New Roman" w:eastAsia="仿宋_GB2312"/>
          <w:kern w:val="0"/>
          <w:sz w:val="32"/>
          <w:szCs w:val="32"/>
        </w:rPr>
        <w:t>，为自有土地或长期租赁土地。</w:t>
      </w:r>
    </w:p>
    <w:p w14:paraId="54520905">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（五）重视生产与科研相结合，与国家级或省市级科研、教学单位有长期合作关系，有国家级或省级专业科研单位作为科技支撑单位。</w:t>
      </w:r>
    </w:p>
    <w:p w14:paraId="349823B7">
      <w:pPr>
        <w:pStyle w:val="2"/>
        <w:ind w:firstLine="640"/>
        <w:rPr>
          <w:color w:val="auto"/>
        </w:rPr>
      </w:pPr>
      <w:r>
        <w:rPr>
          <w:rFonts w:hint="eastAsia" w:ascii="Times New Roman" w:hAnsi="Times New Roman"/>
          <w:color w:val="auto"/>
          <w:kern w:val="0"/>
          <w:sz w:val="32"/>
          <w:szCs w:val="32"/>
        </w:rPr>
        <w:t>（六）基地建设符合国家、我省相关法律法规。</w:t>
      </w:r>
    </w:p>
    <w:p w14:paraId="23873D68">
      <w:pPr>
        <w:snapToGrid w:val="0"/>
        <w:spacing w:line="560" w:lineRule="exact"/>
        <w:ind w:firstLine="640" w:firstLineChars="20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三、申报与确定程序</w:t>
      </w:r>
    </w:p>
    <w:p w14:paraId="1BC3D20B">
      <w:pPr>
        <w:rPr>
          <w:rFonts w:ascii="Times New Roman" w:hAnsi="Times New Roman" w:eastAsia="仿宋_GB2312"/>
          <w:kern w:val="0"/>
          <w:sz w:val="32"/>
          <w:szCs w:val="32"/>
        </w:rPr>
      </w:pPr>
      <w:r>
        <w:rPr>
          <w:rFonts w:hint="eastAsia" w:ascii="Times New Roman" w:hAnsi="Times New Roman" w:eastAsia="仿宋_GB2312"/>
          <w:kern w:val="0"/>
          <w:sz w:val="32"/>
          <w:szCs w:val="32"/>
        </w:rPr>
        <w:t>（一）根据文件的要求，提出书面申请报告（包括本单位基本情况、基础设施建设、科研及生产的开展情况、主要成果等内容），填写《道地药材良种繁育基地项目申报书》，并附基地照片等图片材料，报</w:t>
      </w:r>
      <w:r>
        <w:rPr>
          <w:rFonts w:ascii="Times New Roman" w:hAnsi="Times New Roman" w:eastAsia="仿宋_GB2312"/>
          <w:sz w:val="32"/>
          <w:szCs w:val="32"/>
        </w:rPr>
        <w:t>各县（区）卫生健康局</w:t>
      </w:r>
      <w:r>
        <w:rPr>
          <w:rFonts w:hint="eastAsia" w:ascii="Times New Roman" w:hAnsi="Times New Roman" w:eastAsia="仿宋_GB2312"/>
          <w:sz w:val="32"/>
          <w:szCs w:val="32"/>
        </w:rPr>
        <w:t>（中医药主管部门）、</w:t>
      </w:r>
      <w:r>
        <w:rPr>
          <w:rFonts w:ascii="Times New Roman" w:hAnsi="Times New Roman" w:eastAsia="仿宋_GB2312"/>
          <w:color w:val="auto"/>
          <w:sz w:val="32"/>
          <w:szCs w:val="32"/>
        </w:rPr>
        <w:t>农业农村局</w:t>
      </w:r>
      <w:r>
        <w:rPr>
          <w:rFonts w:hint="eastAsia" w:ascii="Times New Roman" w:hAnsi="Times New Roman" w:eastAsia="仿宋_GB2312"/>
          <w:color w:val="auto"/>
          <w:sz w:val="32"/>
          <w:szCs w:val="32"/>
        </w:rPr>
        <w:t>或林业局</w:t>
      </w:r>
      <w:r>
        <w:rPr>
          <w:rFonts w:ascii="Times New Roman" w:hAnsi="Times New Roman" w:eastAsia="仿宋_GB2312"/>
          <w:color w:val="auto"/>
          <w:sz w:val="32"/>
          <w:szCs w:val="32"/>
        </w:rPr>
        <w:t>初审</w:t>
      </w:r>
      <w:r>
        <w:rPr>
          <w:rFonts w:hint="eastAsia" w:ascii="Times New Roman" w:hAnsi="Times New Roman" w:eastAsia="仿宋_GB2312"/>
          <w:color w:val="auto"/>
          <w:sz w:val="32"/>
          <w:szCs w:val="32"/>
        </w:rPr>
        <w:t>、</w:t>
      </w:r>
      <w:r>
        <w:rPr>
          <w:rFonts w:hint="eastAsia" w:ascii="Times New Roman" w:hAnsi="Times New Roman" w:eastAsia="仿宋_GB2312"/>
          <w:sz w:val="32"/>
          <w:szCs w:val="32"/>
        </w:rPr>
        <w:t>推荐</w:t>
      </w:r>
      <w:r>
        <w:rPr>
          <w:rFonts w:hint="eastAsia" w:ascii="Times New Roman" w:hAnsi="Times New Roman" w:eastAsia="仿宋_GB2312"/>
          <w:kern w:val="0"/>
          <w:sz w:val="32"/>
          <w:szCs w:val="32"/>
        </w:rPr>
        <w:t>。</w:t>
      </w:r>
    </w:p>
    <w:p w14:paraId="2501143A">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（二）市级卫生健康委（中医药管理局）部门对本辖区申报的材料进行审核汇总后，提出推荐意见，报省中医药管理局。</w:t>
      </w:r>
    </w:p>
    <w:p w14:paraId="29D69753">
      <w:pPr>
        <w:snapToGrid w:val="0"/>
        <w:spacing w:line="560" w:lineRule="exact"/>
        <w:ind w:firstLine="640" w:firstLineChars="200"/>
        <w:rPr>
          <w:rFonts w:ascii="仿宋" w:hAnsi="仿宋" w:eastAsia="仿宋" w:cs="仿宋"/>
          <w:sz w:val="32"/>
          <w:szCs w:val="32"/>
        </w:rPr>
      </w:pPr>
      <w:r>
        <w:rPr>
          <w:rFonts w:hint="eastAsia" w:ascii="Times New Roman" w:hAnsi="Times New Roman" w:eastAsia="仿宋_GB2312"/>
          <w:kern w:val="0"/>
          <w:sz w:val="32"/>
          <w:szCs w:val="32"/>
        </w:rPr>
        <w:t>（三）省中医药管理局组织专家进行实地考察和评估，确认</w:t>
      </w:r>
      <w:r>
        <w:rPr>
          <w:rFonts w:hint="eastAsia" w:ascii="Times New Roman" w:hAnsi="Times New Roman" w:eastAsia="仿宋_GB2312"/>
          <w:sz w:val="32"/>
          <w:szCs w:val="32"/>
        </w:rPr>
        <w:t>陕西</w:t>
      </w:r>
      <w:r>
        <w:rPr>
          <w:rFonts w:hint="eastAsia" w:ascii="仿宋" w:hAnsi="仿宋" w:eastAsia="仿宋" w:cs="仿宋"/>
          <w:sz w:val="32"/>
          <w:szCs w:val="32"/>
        </w:rPr>
        <w:t>省道地药材良种繁育基地建设单位。</w:t>
      </w:r>
    </w:p>
    <w:p w14:paraId="701932BF">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四、监督与管理</w:t>
      </w:r>
    </w:p>
    <w:p w14:paraId="3F4819F6">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（一）对基地实行动态管理，坚持合理布局、总量控制、定期评估、优胜劣汰的原则。不定期地组织人员对基地进行抽查。</w:t>
      </w:r>
    </w:p>
    <w:p w14:paraId="2E2D6D3E">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（二）省级中医药主管部门会同相关部门专家组定期对基地进行检查，每年要对辖区内基地当年任务的完成情况做出评价（优秀、合格、不合格）。</w:t>
      </w:r>
    </w:p>
    <w:p w14:paraId="748614D6">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（三）有下列情况之一的，省中医药管理局将取消其基地资格：</w:t>
      </w:r>
    </w:p>
    <w:p w14:paraId="42C82A93">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1．基地已不繁育种子种苗，或繁育的种子种苗已不适应当地或者周边地区中药材生产发展需要的。</w:t>
      </w:r>
    </w:p>
    <w:p w14:paraId="59851396">
      <w:pPr>
        <w:snapToGri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2．在种子种苗生产经营中，出现质量事故的。</w:t>
      </w:r>
    </w:p>
    <w:p w14:paraId="750CB6EE">
      <w:pPr>
        <w:snapToGrid w:val="0"/>
        <w:spacing w:line="560" w:lineRule="exact"/>
        <w:ind w:firstLine="640" w:firstLineChars="200"/>
        <w:rPr>
          <w:rFonts w:ascii="Times New Roman" w:hAnsi="Times New Roman" w:eastAsia="仿宋_GB2312"/>
          <w:color w:val="auto"/>
          <w:kern w:val="0"/>
          <w:sz w:val="32"/>
          <w:szCs w:val="32"/>
        </w:rPr>
      </w:pPr>
      <w:r>
        <w:rPr>
          <w:rFonts w:hint="eastAsia" w:ascii="Times New Roman" w:hAnsi="Times New Roman" w:eastAsia="仿宋_GB2312"/>
          <w:kern w:val="0"/>
          <w:sz w:val="32"/>
          <w:szCs w:val="32"/>
        </w:rPr>
        <w:t>3．</w:t>
      </w:r>
      <w:r>
        <w:rPr>
          <w:rFonts w:hint="eastAsia" w:ascii="Times New Roman" w:hAnsi="Times New Roman" w:eastAsia="仿宋_GB2312"/>
          <w:color w:val="auto"/>
          <w:kern w:val="0"/>
          <w:sz w:val="32"/>
          <w:szCs w:val="32"/>
        </w:rPr>
        <w:t>其他违反有关法律法规规定的。</w:t>
      </w:r>
    </w:p>
    <w:p w14:paraId="18C06AD0">
      <w:pPr>
        <w:snapToGrid w:val="0"/>
        <w:spacing w:line="560" w:lineRule="exact"/>
        <w:ind w:firstLine="640" w:firstLineChars="200"/>
        <w:rPr>
          <w:rFonts w:ascii="Times New Roman" w:hAnsi="Times New Roman" w:eastAsia="仿宋_GB2312"/>
          <w:kern w:val="0"/>
          <w:sz w:val="32"/>
          <w:szCs w:val="32"/>
        </w:rPr>
      </w:pPr>
    </w:p>
    <w:p w14:paraId="57375E8B">
      <w:pPr>
        <w:spacing w:line="500" w:lineRule="exact"/>
        <w:rPr>
          <w:rFonts w:hint="eastAsia" w:ascii="黑体" w:hAnsi="黑体" w:eastAsia="黑体" w:cs="黑体"/>
          <w:sz w:val="32"/>
          <w:szCs w:val="32"/>
        </w:rPr>
      </w:pPr>
    </w:p>
    <w:p w14:paraId="6FCD1D79">
      <w:pPr>
        <w:spacing w:line="500" w:lineRule="exact"/>
        <w:rPr>
          <w:rFonts w:hint="eastAsia" w:ascii="黑体" w:hAnsi="黑体" w:eastAsia="黑体" w:cs="黑体"/>
          <w:sz w:val="32"/>
          <w:szCs w:val="32"/>
        </w:rPr>
      </w:pPr>
    </w:p>
    <w:p w14:paraId="4DFA51B4">
      <w:pPr>
        <w:spacing w:line="500" w:lineRule="exact"/>
        <w:rPr>
          <w:rFonts w:hint="eastAsia" w:ascii="黑体" w:hAnsi="黑体" w:eastAsia="黑体" w:cs="黑体"/>
          <w:sz w:val="32"/>
          <w:szCs w:val="32"/>
        </w:rPr>
      </w:pPr>
    </w:p>
    <w:p w14:paraId="10753677">
      <w:pPr>
        <w:spacing w:line="500" w:lineRule="exact"/>
        <w:rPr>
          <w:rFonts w:hint="eastAsia" w:ascii="黑体" w:hAnsi="黑体" w:eastAsia="黑体" w:cs="黑体"/>
          <w:sz w:val="32"/>
          <w:szCs w:val="32"/>
        </w:rPr>
      </w:pPr>
    </w:p>
    <w:p w14:paraId="0496C922">
      <w:pPr>
        <w:spacing w:line="500" w:lineRule="exact"/>
        <w:rPr>
          <w:rFonts w:hint="eastAsia" w:ascii="黑体" w:hAnsi="黑体" w:eastAsia="黑体" w:cs="黑体"/>
          <w:sz w:val="32"/>
          <w:szCs w:val="32"/>
        </w:rPr>
      </w:pPr>
    </w:p>
    <w:p w14:paraId="3D5E99E9">
      <w:pPr>
        <w:pStyle w:val="2"/>
        <w:ind w:left="0" w:leftChars="0" w:firstLine="0" w:firstLineChars="0"/>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4B8C"/>
    <w:rsid w:val="000C6EAA"/>
    <w:rsid w:val="003A4B8C"/>
    <w:rsid w:val="005834E5"/>
    <w:rsid w:val="00687BAA"/>
    <w:rsid w:val="006A199B"/>
    <w:rsid w:val="008579E1"/>
    <w:rsid w:val="0089351C"/>
    <w:rsid w:val="00954196"/>
    <w:rsid w:val="00B86FD1"/>
    <w:rsid w:val="00BC57DC"/>
    <w:rsid w:val="00C05369"/>
    <w:rsid w:val="00C35893"/>
    <w:rsid w:val="00C608DA"/>
    <w:rsid w:val="00CE46BB"/>
    <w:rsid w:val="00D64DA5"/>
    <w:rsid w:val="00F45352"/>
    <w:rsid w:val="01A37134"/>
    <w:rsid w:val="08571717"/>
    <w:rsid w:val="090D053E"/>
    <w:rsid w:val="10A013BB"/>
    <w:rsid w:val="14E66A48"/>
    <w:rsid w:val="1F7F490D"/>
    <w:rsid w:val="27242FFB"/>
    <w:rsid w:val="29203E1D"/>
    <w:rsid w:val="2E285839"/>
    <w:rsid w:val="36CC7944"/>
    <w:rsid w:val="3CE22830"/>
    <w:rsid w:val="41346985"/>
    <w:rsid w:val="42F71C86"/>
    <w:rsid w:val="473F74EB"/>
    <w:rsid w:val="567D4D11"/>
    <w:rsid w:val="57E027A8"/>
    <w:rsid w:val="615823D3"/>
    <w:rsid w:val="65836EF9"/>
    <w:rsid w:val="658D576D"/>
    <w:rsid w:val="65FF3BBB"/>
    <w:rsid w:val="66F60223"/>
    <w:rsid w:val="67097CE7"/>
    <w:rsid w:val="708653FB"/>
    <w:rsid w:val="72D53D3C"/>
    <w:rsid w:val="733D61D8"/>
    <w:rsid w:val="734C21EA"/>
    <w:rsid w:val="740F0D36"/>
    <w:rsid w:val="79BD4A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before="200" w:after="200" w:line="360" w:lineRule="auto"/>
      <w:jc w:val="left"/>
      <w:outlineLvl w:val="2"/>
    </w:pPr>
    <w:rPr>
      <w:b/>
      <w:bCs/>
      <w:color w:val="000000"/>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jc w:val="left"/>
    </w:pPr>
    <w:rPr>
      <w:rFonts w:eastAsia="仿宋_GB2312"/>
    </w:rPr>
  </w:style>
  <w:style w:type="paragraph" w:styleId="4">
    <w:name w:val="annotation text"/>
    <w:basedOn w:val="1"/>
    <w:link w:val="9"/>
    <w:qFormat/>
    <w:uiPriority w:val="0"/>
    <w:pPr>
      <w:jc w:val="left"/>
    </w:pPr>
  </w:style>
  <w:style w:type="paragraph" w:styleId="5">
    <w:name w:val="Balloon Text"/>
    <w:basedOn w:val="1"/>
    <w:link w:val="10"/>
    <w:unhideWhenUsed/>
    <w:qFormat/>
    <w:uiPriority w:val="99"/>
    <w:rPr>
      <w:sz w:val="18"/>
      <w:szCs w:val="18"/>
    </w:rPr>
  </w:style>
  <w:style w:type="character" w:styleId="8">
    <w:name w:val="annotation reference"/>
    <w:basedOn w:val="7"/>
    <w:unhideWhenUsed/>
    <w:qFormat/>
    <w:uiPriority w:val="0"/>
    <w:rPr>
      <w:sz w:val="21"/>
      <w:szCs w:val="21"/>
    </w:rPr>
  </w:style>
  <w:style w:type="character" w:customStyle="1" w:styleId="9">
    <w:name w:val="批注文字 Char"/>
    <w:basedOn w:val="7"/>
    <w:link w:val="4"/>
    <w:qFormat/>
    <w:uiPriority w:val="0"/>
    <w:rPr>
      <w:rFonts w:ascii="Calibri" w:hAnsi="Calibri" w:eastAsia="宋体" w:cs="Times New Roman"/>
      <w:szCs w:val="24"/>
    </w:rPr>
  </w:style>
  <w:style w:type="character" w:customStyle="1" w:styleId="10">
    <w:name w:val="批注框文本 Char"/>
    <w:basedOn w:val="7"/>
    <w:link w:val="5"/>
    <w:semiHidden/>
    <w:qFormat/>
    <w:uiPriority w:val="99"/>
    <w:rPr>
      <w:rFonts w:ascii="Calibri" w:hAnsi="Calibri" w:eastAsia="宋体" w:cs="Times New Roman"/>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3</Pages>
  <Words>1179</Words>
  <Characters>1186</Characters>
  <Lines>37</Lines>
  <Paragraphs>10</Paragraphs>
  <TotalTime>11</TotalTime>
  <ScaleCrop>false</ScaleCrop>
  <LinksUpToDate>false</LinksUpToDate>
  <CharactersWithSpaces>1186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2022-07-27T09:36:00Z</dcterms:created>
  <dc:creator>Lenovo</dc:creator>
  <cp:lastModifiedBy>艾890</cp:lastModifiedBy>
  <cp:lastPrinted>2022-07-18T02:00:00Z</cp:lastPrinted>
  <dcterms:modified xsi:type="dcterms:W3CDTF">2025-03-24T08:52:23Z</dcterms:modified>
  <dc:title>陕西省中医药管理局 陕西省农业农村厅</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eyJoZGlkIjoiODNmNjk1OWQ5YTQ0YjcwYTlhNGVlZDFkZDRhYTQ5NWIiLCJ1c2VySWQiOiI3OTk2ODk2MTMifQ==</vt:lpwstr>
  </property>
  <property fmtid="{D5CDD505-2E9C-101B-9397-08002B2CF9AE}" pid="4" name="ICV">
    <vt:lpwstr>A56EB95F701842E2B28242D73AEE0321_12</vt:lpwstr>
  </property>
</Properties>
</file>