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outlineLvl w:val="0"/>
        <w:rPr>
          <w:rFonts w:ascii="黑体" w:hAnsi="黑体" w:eastAsia="黑体"/>
          <w:b w:val="0"/>
          <w:bCs w:val="0"/>
          <w:color w:val="000000" w:themeColor="text1"/>
          <w:sz w:val="32"/>
          <w:szCs w:val="32"/>
        </w:rPr>
      </w:pPr>
    </w:p>
    <w:p>
      <w:pPr>
        <w:spacing w:line="460" w:lineRule="exact"/>
        <w:jc w:val="center"/>
        <w:outlineLvl w:val="0"/>
        <w:rPr>
          <w:rFonts w:ascii="方正小标宋简体" w:hAnsi="方正小标宋简体" w:eastAsia="方正小标宋简体"/>
          <w:b w:val="0"/>
          <w:bCs w:val="0"/>
          <w:color w:val="000000" w:themeColor="text1"/>
          <w:sz w:val="44"/>
          <w:szCs w:val="44"/>
        </w:rPr>
      </w:pPr>
      <w:bookmarkStart w:id="0" w:name="_GoBack"/>
      <w:r>
        <w:rPr>
          <w:rFonts w:hint="eastAsia" w:ascii="方正小标宋简体" w:hAnsi="方正小标宋简体" w:eastAsia="方正小标宋简体"/>
          <w:b w:val="0"/>
          <w:bCs w:val="0"/>
          <w:color w:val="000000" w:themeColor="text1"/>
          <w:sz w:val="44"/>
          <w:szCs w:val="44"/>
        </w:rPr>
        <w:t>2022年政务公开工作绩效评估指标〔县（市、区）政府版〕</w:t>
      </w:r>
    </w:p>
    <w:bookmarkEnd w:id="0"/>
    <w:p>
      <w:pPr>
        <w:jc w:val="center"/>
        <w:outlineLvl w:val="0"/>
        <w:rPr>
          <w:rFonts w:ascii="方正小标宋简体" w:hAnsi="方正小标宋简体" w:eastAsia="方正小标宋简体"/>
          <w:b w:val="0"/>
          <w:bCs w:val="0"/>
          <w:color w:val="000000" w:themeColor="text1"/>
          <w:sz w:val="40"/>
          <w:szCs w:val="40"/>
        </w:rPr>
      </w:pPr>
      <w:r>
        <w:rPr>
          <w:rFonts w:hint="eastAsia" w:ascii="方正小标宋简体" w:hAnsi="方正小标宋简体" w:eastAsia="方正小标宋简体"/>
          <w:b w:val="0"/>
          <w:bCs w:val="0"/>
          <w:color w:val="000000" w:themeColor="text1"/>
          <w:sz w:val="40"/>
          <w:szCs w:val="40"/>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5"/>
        <w:gridCol w:w="1564"/>
        <w:gridCol w:w="1830"/>
        <w:gridCol w:w="539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1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rPr>
            </w:pPr>
            <w:r>
              <w:rPr>
                <w:rFonts w:hint="eastAsia" w:ascii="黑体" w:hAnsi="黑体" w:eastAsia="黑体" w:cs="黑体"/>
                <w:b/>
                <w:bCs/>
                <w:color w:val="000000" w:themeColor="text1"/>
                <w:kern w:val="0"/>
                <w:sz w:val="22"/>
                <w:szCs w:val="22"/>
              </w:rPr>
              <w:t>一级指标</w:t>
            </w:r>
          </w:p>
        </w:tc>
        <w:tc>
          <w:tcPr>
            <w:tcW w:w="166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rPr>
            </w:pPr>
            <w:r>
              <w:rPr>
                <w:rFonts w:hint="eastAsia" w:ascii="黑体" w:hAnsi="黑体" w:eastAsia="黑体" w:cs="黑体"/>
                <w:b/>
                <w:bCs/>
                <w:color w:val="000000" w:themeColor="text1"/>
                <w:kern w:val="0"/>
                <w:sz w:val="22"/>
                <w:szCs w:val="22"/>
              </w:rPr>
              <w:t>二级指标</w:t>
            </w:r>
          </w:p>
        </w:tc>
        <w:tc>
          <w:tcPr>
            <w:tcW w:w="156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rPr>
            </w:pPr>
            <w:r>
              <w:rPr>
                <w:rFonts w:hint="eastAsia" w:ascii="黑体" w:hAnsi="黑体" w:eastAsia="黑体" w:cs="黑体"/>
                <w:b/>
                <w:bCs/>
                <w:color w:val="000000" w:themeColor="text1"/>
                <w:kern w:val="0"/>
                <w:sz w:val="22"/>
                <w:szCs w:val="22"/>
              </w:rPr>
              <w:t>三级指标</w:t>
            </w:r>
          </w:p>
        </w:tc>
        <w:tc>
          <w:tcPr>
            <w:tcW w:w="183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rPr>
            </w:pPr>
            <w:r>
              <w:rPr>
                <w:rFonts w:hint="eastAsia" w:ascii="黑体" w:hAnsi="黑体" w:eastAsia="黑体" w:cs="黑体"/>
                <w:b/>
                <w:bCs/>
                <w:color w:val="000000" w:themeColor="text1"/>
                <w:kern w:val="0"/>
                <w:sz w:val="22"/>
                <w:szCs w:val="22"/>
              </w:rPr>
              <w:t>四级指标</w:t>
            </w:r>
          </w:p>
        </w:tc>
        <w:tc>
          <w:tcPr>
            <w:tcW w:w="539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rPr>
            </w:pPr>
            <w:r>
              <w:rPr>
                <w:rFonts w:hint="eastAsia" w:ascii="黑体" w:hAnsi="黑体" w:eastAsia="黑体" w:cs="黑体"/>
                <w:b/>
                <w:bCs/>
                <w:color w:val="000000" w:themeColor="text1"/>
                <w:kern w:val="0"/>
                <w:sz w:val="22"/>
                <w:szCs w:val="22"/>
              </w:rPr>
              <w:t>评估点</w:t>
            </w:r>
          </w:p>
        </w:tc>
        <w:tc>
          <w:tcPr>
            <w:tcW w:w="123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黑体"/>
                <w:b/>
                <w:bCs/>
                <w:color w:val="000000" w:themeColor="text1"/>
                <w:kern w:val="0"/>
                <w:sz w:val="22"/>
                <w:szCs w:val="22"/>
              </w:rPr>
            </w:pPr>
            <w:r>
              <w:rPr>
                <w:rFonts w:hint="eastAsia" w:ascii="黑体" w:hAnsi="黑体" w:eastAsia="黑体" w:cs="黑体"/>
                <w:b/>
                <w:bCs/>
                <w:color w:val="000000" w:themeColor="text1"/>
                <w:kern w:val="0"/>
                <w:sz w:val="22"/>
                <w:szCs w:val="22"/>
              </w:rPr>
              <w:t>采样方式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一、政府信息公开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（40.00）</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（一）主动公开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（28.00）</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信息公开指南</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公开渠道</w:t>
            </w: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指南是否包含线上、线下主动公开渠道信息；所公开的渠道信息是否准确规范</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会议公开</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重大会议公开</w:t>
            </w: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是否公开本级政府全体会议、常务会议召开情况及会议内容</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8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决策预公开</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重大决策预公开</w:t>
            </w: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涉及公共利益和公众权益的重大事项，除依法应当保密的外，是否主动向社会公开决策草案、决策依据、草案解读等</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意见征集渠道</w:t>
            </w: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spacing w:val="-6"/>
                <w:kern w:val="0"/>
                <w:sz w:val="22"/>
                <w:szCs w:val="22"/>
              </w:rPr>
              <w:t>是否公开征求意见的电子邮箱、联系电话、邮寄地址等</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8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意见反馈情况</w:t>
            </w: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对所收集的意见是否进行了整理汇总并公开；意见的采纳情况是否公开，未采纳的是否说明理由</w:t>
            </w:r>
          </w:p>
        </w:tc>
        <w:tc>
          <w:tcPr>
            <w:tcW w:w="123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政策文件</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规范性文件公开多样化解读</w:t>
            </w: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是否依托政府信息公开专栏“行政规范性文件”栏目建立行政规范性文件库，集中统一公开本地区现行有效规范性文件并动态更新</w:t>
            </w:r>
          </w:p>
        </w:tc>
        <w:tc>
          <w:tcPr>
            <w:tcW w:w="123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8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53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是否及时在政府信息公开专栏“行政规范性文件”栏</w:t>
            </w:r>
            <w:r>
              <w:rPr>
                <w:rFonts w:hint="eastAsia" w:ascii="宋体" w:hAnsi="宋体"/>
                <w:b/>
                <w:bCs/>
                <w:color w:val="000000" w:themeColor="text1"/>
                <w:spacing w:val="-6"/>
                <w:kern w:val="0"/>
                <w:sz w:val="22"/>
                <w:szCs w:val="22"/>
              </w:rPr>
              <w:t>目集中统一公开本机关现行有效规范性文件并动态更新</w:t>
            </w: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一、政府信息公开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（40.00）</w:t>
            </w: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（一）主动公开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（28.00）</w:t>
            </w:r>
          </w:p>
        </w:tc>
        <w:tc>
          <w:tcPr>
            <w:tcW w:w="156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规划公开</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规划信息公开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是否公开本地区国土空间规划、专项规划和区域规划</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行政执法</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spacing w:val="-17"/>
                <w:kern w:val="0"/>
                <w:sz w:val="22"/>
              </w:rPr>
              <w:t>“双随机、一公开”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是否依法规范公开随机抽查事项清单；是否及时通过国家企业信用信息公示系统（陕西）、信用中国（陕西延安）“双随机检查结果公开”专栏及其他平台公开抽查结果和查处情况</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行政许可、行政处罚和其他对外</w:t>
            </w:r>
            <w:r>
              <w:rPr>
                <w:rFonts w:hint="eastAsia" w:ascii="宋体" w:hAnsi="宋体"/>
                <w:b/>
                <w:bCs/>
                <w:color w:val="000000" w:themeColor="text1"/>
                <w:spacing w:val="-11"/>
                <w:kern w:val="0"/>
                <w:sz w:val="22"/>
                <w:szCs w:val="22"/>
              </w:rPr>
              <w:t>管理服务信息公开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是否自作出行政决定之日起7个工作日通过信用中国（陕西延安）“行政许可、行政处罚信息公示”专栏公示行政许可、行政处罚信息；线上、线下渠道公开的行政许可和其他对外管理服务信息是否一致</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反不正当竞争执法信息公开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是否及时公开反不正当竞争执法信息</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机构职能</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机构职能</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是否依法公开机关职能、机构设置、办公地址、办公时间、联系方式、负责人姓名等信息</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权责清单</w:t>
            </w:r>
          </w:p>
        </w:tc>
        <w:tc>
          <w:tcPr>
            <w:tcW w:w="1830"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权责清单公开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是否全面公开所辖政府部门的权责清单</w:t>
            </w:r>
          </w:p>
        </w:tc>
        <w:tc>
          <w:tcPr>
            <w:tcW w:w="1238"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spacing w:val="-6"/>
                <w:kern w:val="0"/>
                <w:sz w:val="22"/>
                <w:szCs w:val="22"/>
              </w:rPr>
              <w:t>是否对照法律法规规章更新完善权责清单并按要求公开</w:t>
            </w:r>
          </w:p>
        </w:tc>
        <w:tc>
          <w:tcPr>
            <w:tcW w:w="1238"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公务员招考</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公务员招考</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是否及时公开公务员招考的职位、名额、报考条件等事项以及录用结果等信息</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一、政府信息公开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（40.00）</w:t>
            </w: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（一）主动公开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（28.00）</w:t>
            </w:r>
          </w:p>
        </w:tc>
        <w:tc>
          <w:tcPr>
            <w:tcW w:w="1564"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人大代表建议、政协提案</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办理公开</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栏目设置</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是否设置建议、提案公开栏目</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办理结果公开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是否公开本级政府对同级、上级人大代表建议、政协提案办理结果，并将对市人大代表建议、政协提案的复函信息上传至市政府门户网站“建议提案”专栏</w:t>
            </w:r>
          </w:p>
        </w:tc>
        <w:tc>
          <w:tcPr>
            <w:tcW w:w="1238"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7"/>
                <w:kern w:val="0"/>
                <w:sz w:val="22"/>
              </w:rPr>
            </w:pP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是否公开本级政府对同级、上级人大代表建议、政协提案办理结果</w:t>
            </w:r>
          </w:p>
        </w:tc>
        <w:tc>
          <w:tcPr>
            <w:tcW w:w="1238"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重点领域</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重大项目信息</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 xml:space="preserve">是否及时公开重点项目名单、推进情况，以及举办重点项目观摩、重大项目开工月等活动的信息 </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spacing w:val="-11"/>
                <w:kern w:val="0"/>
                <w:sz w:val="22"/>
                <w:szCs w:val="22"/>
              </w:rPr>
              <w:t>重大项目信息公开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是否依法及时公开重大建设项目的批准服务、批准结果、招标投标、征收土地、重大设计变更、施工、质量安全监督、资金管理、竣工等有关信息</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涉及市场主体</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是否及时公开培育壮大市场主体政策，以及受疫情影响重的餐饮、住宿、零售、文化、旅游、客运等行业帮扶政策</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spacing w:val="-11"/>
                <w:kern w:val="0"/>
                <w:sz w:val="22"/>
                <w:szCs w:val="22"/>
              </w:rPr>
              <w:t>减税降费信息公开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是否系统集成、智能推送减税降费政策特别是大规模增值税留抵退税政策；是否做好骗取税费优惠典型案例公开</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扩大有效投资</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spacing w:val="-4"/>
                <w:kern w:val="0"/>
                <w:sz w:val="22"/>
                <w:szCs w:val="22"/>
              </w:rPr>
            </w:pPr>
            <w:r>
              <w:rPr>
                <w:rFonts w:hint="eastAsia" w:ascii="宋体" w:hAnsi="宋体"/>
                <w:b/>
                <w:bCs/>
                <w:color w:val="000000" w:themeColor="text1"/>
                <w:spacing w:val="-4"/>
                <w:kern w:val="0"/>
                <w:sz w:val="22"/>
                <w:szCs w:val="22"/>
              </w:rPr>
              <w:t>是否做好扩大有效投资相关规划、政策文件公开</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一、政府信息公开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（40.00）</w:t>
            </w: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（一）主动公开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（28.00）</w:t>
            </w:r>
          </w:p>
        </w:tc>
        <w:tc>
          <w:tcPr>
            <w:tcW w:w="1564"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重点领域</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1830"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常态化疫情防控</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设置“疫情防控”类专栏，及时公开疫情防控工作的权威通知公告、重要政策、防疫服务、疫情防控进展等信息；向社会公开发布的信息是否与上级单位对下级单位下达的工作指令相一致；是否进一步规范流调信息发布和管理，保护好个人隐私</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7"/>
                <w:kern w:val="0"/>
                <w:sz w:val="22"/>
              </w:rPr>
            </w:pP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是否公开本级政府突发公共卫生事件应急预案；是否围绕疫情防控开展公共卫生知识普及</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就业稳岗信息公开</w:t>
            </w: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jc w:val="lef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是否及时公开稳就业政策、措施和实施情况，技能培训政策规定及经办流程，以及面向农民工、城镇困难人员、退役军人、高校毕业生等重点群体的就业支持政策</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生态环境信息公开</w:t>
            </w: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是否围绕绿色低碳发展、黄河流域生态保护和高质量发展、污染防治攻坚等重点工作公开环境管理、监督检查情况</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乡村振兴信息公开</w:t>
            </w: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是否围绕保障粮食和重要农产品生产供给、巩固拓展脱贫攻坚成果、推进特色现代农业和乡</w:t>
            </w:r>
            <w:r>
              <w:rPr>
                <w:rFonts w:hint="eastAsia" w:ascii="宋体" w:hAnsi="宋体"/>
                <w:b/>
                <w:bCs/>
                <w:color w:val="000000" w:themeColor="text1"/>
                <w:spacing w:val="-11"/>
                <w:kern w:val="0"/>
                <w:sz w:val="22"/>
                <w:szCs w:val="22"/>
              </w:rPr>
              <w:t>村建设等重点工作公开相关政策、工作进展情况</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基本民生保障</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是否及时公开养老服务、义务教育、医疗卫生等方面的政策措施；是否及时公开食品药品安全、医疗卫生的监督检查情况</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公共企事业单位</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5396" w:type="dxa"/>
            <w:tcBorders>
              <w:top w:val="single" w:color="auto" w:sz="4" w:space="0"/>
              <w:left w:val="nil"/>
              <w:bottom w:val="single" w:color="auto" w:sz="4" w:space="0"/>
              <w:right w:val="single" w:color="auto" w:sz="4" w:space="0"/>
            </w:tcBorders>
            <w:vAlign w:val="center"/>
          </w:tcPr>
          <w:p>
            <w:pPr>
              <w:widowControl/>
              <w:spacing w:line="316" w:lineRule="exact"/>
              <w:jc w:val="lef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是否按照已出台的公共企事业单位信息公开制度，加强对教育、卫生健康、供水、供气、供热、供电、环境保护、公共交通等领域公共企事业单位信息公开指导监督</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一、政府信息公开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（40.00）</w:t>
            </w: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（一）主动公开</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（28.00）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政府信息</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公开工作</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年度报告</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年报发布</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是否按时在“政府信息公开”专栏集中向社会公布本级政府、乡（镇）政府、县区级部门2021年度报告</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年报内容</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格式是否规范、要素是否齐全</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年报质量</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数据是否真实准确，是否存在雷同现象等</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（二）依申请</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公开（12.00）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申请渠道</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栏目设置</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是否设置依申请公开栏目</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渠道多样</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是否开设现场、信函、网络及传真申请渠道</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渠道畅通</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申请接收渠道是否畅通</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答复情况</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答复时限</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是否在法定期限内答复</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答复内容</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是否按照《延安市政府信息依申请公开答复示范文本》依法答复</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答复形式</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是否按照申请人要求的合理形式进行答复</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行政复议、</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行政诉讼</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信息公开类行政复议中是否发生行政行为被撤销、确认违法或责令履行情形；信息公开类行政诉讼是否发生败诉情形</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二、解读回应参与</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（10.00）</w:t>
            </w: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（三）政策解读</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（6.00）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解读形式</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领导解读</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在重要政策出台、重点工作推进、重大事件发生时，单位负责同志是否带头解读政策，主动引导预期</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解读关联</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解读材料与原政策文件是否相互关联</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多样化解读</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是否采用视频、图片图表、文字等多种形式进行解读；是否邀请专家学者进行解读</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二、解读回应参与</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（10.00）</w:t>
            </w: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（三）政策解读</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（6.00）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解读内容</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实质性解读</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是否对政策背景、出台目的、重要举措等方面进行实质性解读</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重点领域政策解读</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是否围绕减税降费、减负稳岗扩就业、优化营商环境、疫情防控、复工复产、激发市场活力、扩大有效投资和基础设施补短板等方面进行解读</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解读时效</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解读材料是否在政策文件发布之日起3个工作日发布</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（四）舆情回应</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（1.00）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回应关切</w:t>
            </w: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主动回应</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是否落实政务舆情回应主体责任，做好政务舆情监测和风险研判，按程序及时发布权威信息，积极回应人民群众和市场主体关切</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回应时效</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特别重大、重大突发事件的政务舆情，是否在5小时内发布权威信息、24小时内举行新闻发布会；其他政务舆情是否在48小时内予以回应</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single" w:color="auto" w:sz="4" w:space="0"/>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（五）公众参与</w:t>
            </w:r>
            <w:r>
              <w:rPr>
                <w:rFonts w:hint="eastAsia" w:ascii="宋体" w:hAnsi="宋体"/>
                <w:b/>
                <w:bCs/>
                <w:color w:val="000000" w:themeColor="text1"/>
                <w:kern w:val="0"/>
                <w:sz w:val="22"/>
                <w:szCs w:val="22"/>
              </w:rPr>
              <w:br w:type="textWrapping"/>
            </w:r>
            <w:r>
              <w:rPr>
                <w:rFonts w:hint="eastAsia" w:ascii="宋体" w:hAnsi="宋体"/>
                <w:b/>
                <w:bCs/>
                <w:color w:val="000000" w:themeColor="text1"/>
                <w:kern w:val="0"/>
                <w:sz w:val="22"/>
                <w:szCs w:val="22"/>
              </w:rPr>
              <w:t>（3.00）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政民互动</w:t>
            </w:r>
          </w:p>
        </w:tc>
        <w:tc>
          <w:tcPr>
            <w:tcW w:w="1830" w:type="dxa"/>
            <w:vMerge w:val="restart"/>
            <w:tcBorders>
              <w:top w:val="single" w:color="auto" w:sz="4" w:space="0"/>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互动渠道</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是否通过政务服务便民热线、实体服务大厅等政策咨询渠道解答生育、上学、就业、创业、养老、医疗、纳税、疫情防控等方面与人民群众切身利益密切相关的问题</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是否在政策问答平台以视频、图解、文字等形式解答咨询事项，并形成政策问答库</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互动效果</w:t>
            </w:r>
          </w:p>
        </w:tc>
        <w:tc>
          <w:tcPr>
            <w:tcW w:w="5396"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是否在5个工作日回复；回复是否具体、详细、有针对性</w:t>
            </w:r>
          </w:p>
        </w:tc>
        <w:tc>
          <w:tcPr>
            <w:tcW w:w="123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restart"/>
            <w:tcBorders>
              <w:top w:val="single" w:color="auto" w:sz="4" w:space="0"/>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三、服务公开</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（10.00）</w:t>
            </w:r>
          </w:p>
        </w:tc>
        <w:tc>
          <w:tcPr>
            <w:tcW w:w="1665" w:type="dxa"/>
            <w:tcBorders>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（六）政务服务统一入口情况（0.50）</w:t>
            </w:r>
          </w:p>
        </w:tc>
        <w:tc>
          <w:tcPr>
            <w:tcW w:w="1564" w:type="dxa"/>
            <w:tcBorders>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1830"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single" w:color="auto" w:sz="4" w:space="0"/>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网站办事栏目是否统一、准确链接至省政务服务网</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tcBorders>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spacing w:val="-11"/>
                <w:kern w:val="0"/>
                <w:sz w:val="22"/>
                <w:szCs w:val="22"/>
              </w:rPr>
              <w:t>（七）政务服务清单公开（0.50）</w:t>
            </w:r>
          </w:p>
        </w:tc>
        <w:tc>
          <w:tcPr>
            <w:tcW w:w="1564" w:type="dxa"/>
            <w:tcBorders>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1830"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single" w:color="auto" w:sz="4" w:space="0"/>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是否集中发布本级政府政务服务清单</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（八）办事指南公开（6.00）</w:t>
            </w:r>
          </w:p>
        </w:tc>
        <w:tc>
          <w:tcPr>
            <w:tcW w:w="1564" w:type="dxa"/>
            <w:vMerge w:val="restart"/>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办事指南</w:t>
            </w:r>
          </w:p>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基本信息</w:t>
            </w:r>
          </w:p>
        </w:tc>
        <w:tc>
          <w:tcPr>
            <w:tcW w:w="1830" w:type="dxa"/>
            <w:vMerge w:val="restart"/>
            <w:tcBorders>
              <w:top w:val="single" w:color="auto" w:sz="4" w:space="0"/>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single" w:color="auto" w:sz="4" w:space="0"/>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网站公开服务事项的，办事指南是否与省政务服务网实现同源</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1830"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5396" w:type="dxa"/>
            <w:tcBorders>
              <w:top w:val="single" w:color="auto" w:sz="4" w:space="0"/>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发布的服务事项是否提供办事指南</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1830"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5396" w:type="dxa"/>
            <w:tcBorders>
              <w:top w:val="single" w:color="auto" w:sz="4" w:space="0"/>
              <w:left w:val="nil"/>
              <w:bottom w:val="single" w:color="auto" w:sz="4" w:space="0"/>
              <w:right w:val="single" w:color="auto" w:sz="4" w:space="0"/>
            </w:tcBorders>
            <w:vAlign w:val="center"/>
          </w:tcPr>
          <w:p>
            <w:pPr>
              <w:widowControl/>
              <w:spacing w:line="30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办事指南重点要素类别（包括事项名称、设定依据、申请条件、办理材料、办理地点、办理机构、收费标准、办理时间、咨询方式/投诉方式、办理流程）是否齐全</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1830"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5396" w:type="dxa"/>
            <w:tcBorders>
              <w:top w:val="single" w:color="auto" w:sz="4" w:space="0"/>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办理材料格式要求是否明确（如未说明原件/复印件、纸质版/电子版、份数等）</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1830" w:type="dxa"/>
            <w:vMerge w:val="continue"/>
            <w:tcBorders>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5396" w:type="dxa"/>
            <w:tcBorders>
              <w:top w:val="single" w:color="auto" w:sz="4" w:space="0"/>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是否存在表述含糊不清的情形（如“根据有关法律法规规定应提交的其他材料”等表述）</w:t>
            </w:r>
          </w:p>
        </w:tc>
        <w:tc>
          <w:tcPr>
            <w:tcW w:w="1238" w:type="dxa"/>
            <w:tcBorders>
              <w:top w:val="single" w:color="auto" w:sz="4" w:space="0"/>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5396" w:type="dxa"/>
            <w:tcBorders>
              <w:top w:val="nil"/>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是否存在办事指南中提到的政策文件仅有名称、未说明具体内容的情形</w:t>
            </w:r>
          </w:p>
        </w:tc>
        <w:tc>
          <w:tcPr>
            <w:tcW w:w="1238" w:type="dxa"/>
            <w:tcBorders>
              <w:top w:val="nil"/>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tcBorders>
              <w:top w:val="nil"/>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办事指南</w:t>
            </w:r>
          </w:p>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内容准确度</w:t>
            </w:r>
          </w:p>
        </w:tc>
        <w:tc>
          <w:tcPr>
            <w:tcW w:w="1830" w:type="dxa"/>
            <w:tcBorders>
              <w:top w:val="nil"/>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服务事项办事指南信息（如咨询电话、投诉电话等）是否存在错误，或与实际办事要求是否保持一致</w:t>
            </w:r>
          </w:p>
        </w:tc>
        <w:tc>
          <w:tcPr>
            <w:tcW w:w="1238" w:type="dxa"/>
            <w:tcBorders>
              <w:top w:val="nil"/>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restart"/>
            <w:tcBorders>
              <w:top w:val="nil"/>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表格样表</w:t>
            </w:r>
          </w:p>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提供情况</w:t>
            </w:r>
          </w:p>
        </w:tc>
        <w:tc>
          <w:tcPr>
            <w:tcW w:w="1830" w:type="dxa"/>
            <w:vMerge w:val="restart"/>
            <w:tcBorders>
              <w:top w:val="nil"/>
              <w:left w:val="nil"/>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服务事项办事指南要求办事人提供申请表、申请书等表格的，是否提供表格获取渠道</w:t>
            </w:r>
          </w:p>
        </w:tc>
        <w:tc>
          <w:tcPr>
            <w:tcW w:w="1238" w:type="dxa"/>
            <w:tcBorders>
              <w:top w:val="nil"/>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p>
        </w:tc>
        <w:tc>
          <w:tcPr>
            <w:tcW w:w="5396" w:type="dxa"/>
            <w:tcBorders>
              <w:top w:val="nil"/>
              <w:left w:val="nil"/>
              <w:bottom w:val="single" w:color="auto" w:sz="4" w:space="0"/>
              <w:right w:val="single" w:color="auto" w:sz="4" w:space="0"/>
            </w:tcBorders>
            <w:vAlign w:val="center"/>
          </w:tcPr>
          <w:p>
            <w:pPr>
              <w:widowControl/>
              <w:spacing w:line="31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提供的申请表、申请书等表格（命名、格式、内容等）是否规范</w:t>
            </w:r>
          </w:p>
        </w:tc>
        <w:tc>
          <w:tcPr>
            <w:tcW w:w="1238" w:type="dxa"/>
            <w:tcBorders>
              <w:top w:val="nil"/>
              <w:left w:val="nil"/>
              <w:bottom w:val="single" w:color="auto" w:sz="4" w:space="0"/>
              <w:right w:val="single" w:color="auto" w:sz="4" w:space="0"/>
            </w:tcBorders>
            <w:vAlign w:val="center"/>
          </w:tcPr>
          <w:p>
            <w:pPr>
              <w:widowControl/>
              <w:spacing w:line="31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三、服务公开</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（10.00）</w:t>
            </w:r>
          </w:p>
        </w:tc>
        <w:tc>
          <w:tcPr>
            <w:tcW w:w="1665"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（九）办理情况公开（0.50）</w:t>
            </w: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办事进展</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注册用户是否能够在全省政务服务网获取服务事项办理进展信息</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（十）办理结果公开（0.50）</w:t>
            </w: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办理结果公开</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是否及时公开办事结果统计数据</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（十一）服务评价公开（1.00）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服务评价</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渠道公开</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线上评价渠道</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是否依托一体化在线政务服务平台“好差评”系统，引导企业和群众对服务进行网上评价</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线下评价渠道</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实体大厅是否在服务窗口醒目位置设置评价器或评价二维码、书面评价表格等，方便办事企业和群众自主评价</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现场测评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服务评价</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情况公开</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是否公开政务服务评价结果</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（十二）政务热线电话运行情况（1.00）</w:t>
            </w: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是否向社会公布统一的热线号码</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热线是否畅通可用；服务效能是否良好</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四、平台建设</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（25.00）</w:t>
            </w: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（十三）政府网站（15.00）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常态化监管</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常态化检查</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公开情况</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是否集中、及时公开本级政府网站每季度政府网站检查结果</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政府网站年度报表公开情况</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是否按要求发布本级政府网站的工作年度报表</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安全运行</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信息内容安全</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是否存在因出现严重表述错误、网站建设管理工作不当引发严重负面舆情或被有关部门通报的情况</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891" w:type="dxa"/>
            <w:vMerge w:val="continue"/>
            <w:tcBorders>
              <w:left w:val="single" w:color="auto" w:sz="4" w:space="0"/>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网站安全漏洞</w:t>
            </w:r>
          </w:p>
        </w:tc>
        <w:tc>
          <w:tcPr>
            <w:tcW w:w="5396" w:type="dxa"/>
            <w:tcBorders>
              <w:top w:val="nil"/>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网站是否存在安全漏洞（如SQL注入漏洞、XSS漏洞、网站组件漏洞、安全配置漏洞等）</w:t>
            </w:r>
          </w:p>
        </w:tc>
        <w:tc>
          <w:tcPr>
            <w:tcW w:w="1238" w:type="dxa"/>
            <w:tcBorders>
              <w:top w:val="nil"/>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四、平台建设</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（25.00）</w:t>
            </w: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（十三）政府网站（15.00）</w:t>
            </w: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网站集约化</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工作情况</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配合市级政府网站集约化平台建设工作情况</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支持互联网</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协议第六版</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支持互联网协议</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第六版情况</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本级政府网站是否支持互联网协议第六版</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网站内容</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协同联动</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内容协同联动</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情况</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本级政府网站对上级政府网站发布的重要政策信息转载情况</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网站展示</w:t>
            </w:r>
          </w:p>
        </w:tc>
        <w:tc>
          <w:tcPr>
            <w:tcW w:w="1830" w:type="dxa"/>
            <w:vMerge w:val="restart"/>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兼容性与内容</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展示情况</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采用主流浏览器访问，网站兼容性是否良好</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页面内容展示是否规范</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vMerge w:val="restart"/>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“我为政府</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网站找错”</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网站底部功能区是否规范添加“我为政府网站找错”入口</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对网民通过“我为政府网站找错”平台提交的留言，是否在3个工作日内规范、高效办结；是否因存在答复内容质量不高，有推诿、敷衍等现象引发严重负面舆情</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1" w:type="dxa"/>
            <w:vMerge w:val="continue"/>
            <w:tcBorders>
              <w:left w:val="single" w:color="auto" w:sz="4" w:space="0"/>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tcBorders>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网站搜索</w:t>
            </w:r>
          </w:p>
        </w:tc>
        <w:tc>
          <w:tcPr>
            <w:tcW w:w="5396" w:type="dxa"/>
            <w:tcBorders>
              <w:top w:val="nil"/>
              <w:left w:val="nil"/>
              <w:bottom w:val="single" w:color="000000"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网站头部标识区是否醒目提供实时可用的全网站搜索功能入口；随机选取4条网站已发布的信息或服务的标题进行测试，在搜索结果第一页是否成功找到该内容；搜索结果是否实现分类展现</w:t>
            </w:r>
          </w:p>
        </w:tc>
        <w:tc>
          <w:tcPr>
            <w:tcW w:w="1238" w:type="dxa"/>
            <w:tcBorders>
              <w:top w:val="nil"/>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四、平台建设</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（25.00）</w:t>
            </w: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（十三）政府网站（15.00）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网站功能建设</w:t>
            </w:r>
          </w:p>
        </w:tc>
        <w:tc>
          <w:tcPr>
            <w:tcW w:w="1830" w:type="dxa"/>
            <w:tcBorders>
              <w:left w:val="nil"/>
              <w:bottom w:val="single" w:color="auto" w:sz="4" w:space="0"/>
              <w:right w:val="single" w:color="auto" w:sz="4" w:space="0"/>
            </w:tcBorders>
            <w:vAlign w:val="center"/>
          </w:tcPr>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一号登录</w:t>
            </w:r>
          </w:p>
        </w:tc>
        <w:tc>
          <w:tcPr>
            <w:tcW w:w="5396" w:type="dxa"/>
            <w:tcBorders>
              <w:top w:val="nil"/>
              <w:left w:val="nil"/>
              <w:bottom w:val="single" w:color="auto" w:sz="4" w:space="0"/>
              <w:right w:val="single" w:color="auto" w:sz="4" w:space="0"/>
            </w:tcBorders>
            <w:vAlign w:val="center"/>
          </w:tcPr>
          <w:p>
            <w:pPr>
              <w:widowControl/>
              <w:spacing w:line="360" w:lineRule="exact"/>
              <w:rPr>
                <w:rFonts w:ascii="宋体" w:hAnsi="宋体"/>
                <w:b/>
                <w:bCs/>
                <w:color w:val="000000" w:themeColor="text1"/>
                <w:kern w:val="0"/>
                <w:sz w:val="22"/>
                <w:szCs w:val="22"/>
              </w:rPr>
            </w:pPr>
            <w:r>
              <w:rPr>
                <w:rFonts w:hint="eastAsia" w:ascii="宋体" w:hAnsi="宋体"/>
                <w:b/>
                <w:bCs/>
                <w:color w:val="000000" w:themeColor="text1"/>
                <w:spacing w:val="6"/>
                <w:kern w:val="0"/>
                <w:sz w:val="22"/>
                <w:szCs w:val="22"/>
              </w:rPr>
              <w:t>政府网站注册用户在各个功能板块（网上信访、纪检举报等专门渠道除外）实现一号登录的情况</w:t>
            </w:r>
          </w:p>
        </w:tc>
        <w:tc>
          <w:tcPr>
            <w:tcW w:w="12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restart"/>
            <w:tcBorders>
              <w:left w:val="nil"/>
              <w:right w:val="single" w:color="auto" w:sz="4" w:space="0"/>
            </w:tcBorders>
            <w:vAlign w:val="center"/>
          </w:tcPr>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政府信息公开</w:t>
            </w:r>
          </w:p>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平台</w:t>
            </w:r>
          </w:p>
        </w:tc>
        <w:tc>
          <w:tcPr>
            <w:tcW w:w="5396" w:type="dxa"/>
            <w:tcBorders>
              <w:top w:val="nil"/>
              <w:left w:val="nil"/>
              <w:bottom w:val="single" w:color="auto" w:sz="4" w:space="0"/>
              <w:right w:val="single" w:color="auto" w:sz="4" w:space="0"/>
            </w:tcBorders>
            <w:vAlign w:val="center"/>
          </w:tcPr>
          <w:p>
            <w:pPr>
              <w:widowControl/>
              <w:spacing w:line="36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在首页设置“政府信息公开”栏目（使用其他名称或者需要点击后显示“政府信息公开”标题的不得分）；平台内容是否全面，包括政府信息公开指南、政府信息公开制度、法定主动公开内容、政府信息公开工作年度报告等；栏目页面设计是否按照国家参考方案进行优化调整</w:t>
            </w:r>
          </w:p>
        </w:tc>
        <w:tc>
          <w:tcPr>
            <w:tcW w:w="12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right w:val="single" w:color="auto" w:sz="4" w:space="0"/>
            </w:tcBorders>
            <w:vAlign w:val="center"/>
          </w:tcPr>
          <w:p>
            <w:pPr>
              <w:widowControl/>
              <w:spacing w:line="360" w:lineRule="exact"/>
              <w:jc w:val="center"/>
              <w:rPr>
                <w:rFonts w:ascii="宋体" w:hAnsi="宋体"/>
                <w:b/>
                <w:bCs/>
                <w:color w:val="000000" w:themeColor="text1"/>
                <w:kern w:val="0"/>
                <w:sz w:val="22"/>
                <w:szCs w:val="22"/>
              </w:rPr>
            </w:pPr>
          </w:p>
        </w:tc>
        <w:tc>
          <w:tcPr>
            <w:tcW w:w="5396" w:type="dxa"/>
            <w:tcBorders>
              <w:top w:val="nil"/>
              <w:left w:val="nil"/>
              <w:bottom w:val="single" w:color="auto" w:sz="4" w:space="0"/>
              <w:right w:val="single" w:color="auto" w:sz="4" w:space="0"/>
            </w:tcBorders>
            <w:vAlign w:val="center"/>
          </w:tcPr>
          <w:p>
            <w:pPr>
              <w:widowControl/>
              <w:spacing w:line="36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是否优化栏目页面设置，多运用列表、超链接等方式呈现相关内容；是否优化栏目检索功能；是否优化栏目下载功能；是否优化栏目数据互联互通功能</w:t>
            </w:r>
          </w:p>
        </w:tc>
        <w:tc>
          <w:tcPr>
            <w:tcW w:w="1238" w:type="dxa"/>
            <w:tcBorders>
              <w:top w:val="nil"/>
              <w:left w:val="nil"/>
              <w:bottom w:val="single" w:color="auto" w:sz="4" w:space="0"/>
              <w:right w:val="single" w:color="auto" w:sz="4" w:space="0"/>
            </w:tcBorders>
            <w:vAlign w:val="center"/>
          </w:tcPr>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891" w:type="dxa"/>
            <w:vMerge w:val="continue"/>
            <w:tcBorders>
              <w:left w:val="single" w:color="auto" w:sz="4" w:space="0"/>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bottom w:val="single" w:color="000000" w:sz="4" w:space="0"/>
              <w:right w:val="single" w:color="auto" w:sz="4" w:space="0"/>
            </w:tcBorders>
            <w:vAlign w:val="center"/>
          </w:tcPr>
          <w:p>
            <w:pPr>
              <w:widowControl/>
              <w:spacing w:line="360" w:lineRule="exact"/>
              <w:jc w:val="center"/>
              <w:rPr>
                <w:rFonts w:ascii="宋体" w:hAnsi="宋体"/>
                <w:b/>
                <w:bCs/>
                <w:color w:val="000000" w:themeColor="text1"/>
                <w:kern w:val="0"/>
                <w:sz w:val="22"/>
                <w:szCs w:val="22"/>
              </w:rPr>
            </w:pPr>
          </w:p>
        </w:tc>
        <w:tc>
          <w:tcPr>
            <w:tcW w:w="5396" w:type="dxa"/>
            <w:tcBorders>
              <w:top w:val="nil"/>
              <w:left w:val="nil"/>
              <w:bottom w:val="single" w:color="000000" w:sz="4" w:space="0"/>
              <w:right w:val="single" w:color="auto" w:sz="4" w:space="0"/>
            </w:tcBorders>
            <w:vAlign w:val="center"/>
          </w:tcPr>
          <w:p>
            <w:pPr>
              <w:widowControl/>
              <w:spacing w:line="36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平台建设是否注重衔接，本级政府网站与网站其他栏目、其他专门网站内容涉及交叉重复的，是否以政府信息公开平台上的数据为基准，最大限度保持数据一致性</w:t>
            </w:r>
          </w:p>
        </w:tc>
        <w:tc>
          <w:tcPr>
            <w:tcW w:w="1238" w:type="dxa"/>
            <w:tcBorders>
              <w:top w:val="nil"/>
              <w:left w:val="nil"/>
              <w:bottom w:val="single" w:color="000000" w:sz="4" w:space="0"/>
              <w:right w:val="single" w:color="auto" w:sz="4" w:space="0"/>
            </w:tcBorders>
            <w:vAlign w:val="center"/>
          </w:tcPr>
          <w:p>
            <w:pPr>
              <w:widowControl/>
              <w:spacing w:line="36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四、平台建设</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（25.00）</w:t>
            </w: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（十四）政务新媒体（8.00）</w:t>
            </w: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常态化监管</w:t>
            </w:r>
          </w:p>
        </w:tc>
        <w:tc>
          <w:tcPr>
            <w:tcW w:w="1830"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开设整合</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spacing w:val="-6"/>
                <w:kern w:val="0"/>
                <w:sz w:val="22"/>
                <w:szCs w:val="22"/>
              </w:rPr>
              <w:t>是否按要求开办、变更、关停、注销本地区政务新媒体</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政务新媒体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所开设的政务新媒体是否与主办单位工作职责相关联，是否在公开认证信息中标明主办单位名称；不同平台上开设的政务新媒体所标明的主办单位名称是否规范；政务新媒体主办单位发生变化时，是否及时注销或变更账号信息，并向社会公告</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政务新媒体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信息内容安全</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是否存在因出现严重表述错误、政务新媒体管理工作不当引发严重负面舆情或被有关部门通报的情况</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政务新媒体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矩阵建设</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矩阵设置</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网站首页显著位置是否集中提供本地区所辖单位有效的政务新媒体链接</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协同联动</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本级政府/本单位政务新媒体对本级政府/本单位网站发布的重要政策信息转载情况</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政务新媒体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restart"/>
            <w:tcBorders>
              <w:left w:val="nil"/>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内容质量</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内容更新</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监测时间点前2周内，本级政府/本单位政务新媒体内容是否更新</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政务新媒体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互动回应</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本级政府/本单位政务新媒体是否提供有效互动功能</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spacing w:val="-11"/>
                <w:kern w:val="0"/>
                <w:sz w:val="22"/>
                <w:szCs w:val="22"/>
              </w:rPr>
            </w:pPr>
            <w:r>
              <w:rPr>
                <w:rFonts w:hint="eastAsia" w:ascii="宋体" w:hAnsi="宋体"/>
                <w:b/>
                <w:bCs/>
                <w:color w:val="000000" w:themeColor="text1"/>
                <w:spacing w:val="-11"/>
                <w:kern w:val="0"/>
                <w:sz w:val="22"/>
                <w:szCs w:val="22"/>
              </w:rPr>
              <w:t>政务新媒体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（十五）政府公报（1.00）</w:t>
            </w:r>
          </w:p>
        </w:tc>
        <w:tc>
          <w:tcPr>
            <w:tcW w:w="1564"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政府公报</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（电子版）</w:t>
            </w:r>
          </w:p>
        </w:tc>
        <w:tc>
          <w:tcPr>
            <w:tcW w:w="1830" w:type="dxa"/>
            <w:tcBorders>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政府公报功能</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可用性、实用性情况</w:t>
            </w:r>
          </w:p>
        </w:tc>
        <w:tc>
          <w:tcPr>
            <w:tcW w:w="5396"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是否按要求设立政府公报专栏，线上展示政府公报电子版；是否提供目录导航和可用的内容检索等服务</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tcBorders>
              <w:top w:val="nil"/>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（十六）“互联网+监管”（1.00）</w:t>
            </w:r>
          </w:p>
        </w:tc>
        <w:tc>
          <w:tcPr>
            <w:tcW w:w="1564" w:type="dxa"/>
            <w:tcBorders>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“互联网+监管”工作情况</w:t>
            </w:r>
          </w:p>
        </w:tc>
        <w:tc>
          <w:tcPr>
            <w:tcW w:w="1830" w:type="dxa"/>
            <w:tcBorders>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是否按要求完成本地区监管事项认领，实施清单填报，风险核查处置工作</w:t>
            </w:r>
          </w:p>
        </w:tc>
        <w:tc>
          <w:tcPr>
            <w:tcW w:w="1238" w:type="dxa"/>
            <w:tcBorders>
              <w:top w:val="nil"/>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五、基层政务公开标准化规范化</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（10.00）</w:t>
            </w:r>
          </w:p>
        </w:tc>
        <w:tc>
          <w:tcPr>
            <w:tcW w:w="1665"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（十七）统筹推进基层政务公开标准化规范化工作情况（2.00）</w:t>
            </w: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是否按要求统筹推进本地区基层政务公开标准化规范化工作</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nil"/>
              <w:left w:val="nil"/>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（十八）目录公开及落实情况（3.00）</w:t>
            </w: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目录公开</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是否及时编制完成原26个领域及交通运输、统计、广播电视、旅游等新增领域政务公开事项标准目录并向社会公开</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落实情况</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是否按照各领域政务公开事项标准目录落实公开内容</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nil"/>
              <w:left w:val="nil"/>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（十九）财政信息公开（3.00）</w:t>
            </w: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财政资金</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直达基层</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是否设置“财政资金直达基层”专栏，并将重要政策、工作进展、情况总结等信息在专栏中公开</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惠民惠农</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资金发放</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是否及时公开涉农补贴申报信息；是否汇总当年面向农村的各类惠民惠农财政补贴资金实际发放结果，并以村为单位通过村务公开栏公开，相关材料公开期满留存村委会供村民查询</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restart"/>
            <w:tcBorders>
              <w:top w:val="nil"/>
              <w:left w:val="nil"/>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（二十）政务公开专区（2.00）</w:t>
            </w:r>
          </w:p>
        </w:tc>
        <w:tc>
          <w:tcPr>
            <w:tcW w:w="1564" w:type="dxa"/>
            <w:vMerge w:val="restart"/>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1830" w:type="dxa"/>
            <w:vMerge w:val="restart"/>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是否在政务服务大厅、便民服务中心等场所设立政务公开专区，提供政府信息查询、信息公开申请、政策宣传解读、办事咨询、政民互动、自助服务以及其它便民服务</w:t>
            </w:r>
          </w:p>
        </w:tc>
        <w:tc>
          <w:tcPr>
            <w:tcW w:w="1238" w:type="dxa"/>
            <w:tcBorders>
              <w:top w:val="nil"/>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现场测评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91" w:type="dxa"/>
            <w:vMerge w:val="continue"/>
            <w:tcBorders>
              <w:left w:val="single" w:color="auto" w:sz="4" w:space="0"/>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000000" w:sz="4" w:space="0"/>
              <w:right w:val="single" w:color="auto" w:sz="4" w:space="0"/>
            </w:tcBorders>
            <w:vAlign w:val="center"/>
          </w:tcPr>
          <w:p>
            <w:pPr>
              <w:widowControl/>
              <w:spacing w:line="340" w:lineRule="exact"/>
              <w:rPr>
                <w:rFonts w:ascii="宋体" w:hAnsi="宋体"/>
                <w:b/>
                <w:bCs/>
                <w:color w:val="000000" w:themeColor="text1"/>
                <w:kern w:val="0"/>
                <w:sz w:val="22"/>
                <w:szCs w:val="22"/>
              </w:rPr>
            </w:pPr>
          </w:p>
        </w:tc>
        <w:tc>
          <w:tcPr>
            <w:tcW w:w="1564" w:type="dxa"/>
            <w:vMerge w:val="continue"/>
            <w:tcBorders>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vMerge w:val="continue"/>
            <w:tcBorders>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5396" w:type="dxa"/>
            <w:tcBorders>
              <w:top w:val="nil"/>
              <w:left w:val="nil"/>
              <w:bottom w:val="single" w:color="000000"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是否在本地区档案馆、公共图书馆设置政府信息查阅场所，并配备相应的设施、设备</w:t>
            </w:r>
          </w:p>
        </w:tc>
        <w:tc>
          <w:tcPr>
            <w:tcW w:w="1238" w:type="dxa"/>
            <w:tcBorders>
              <w:top w:val="nil"/>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现场测评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六、组织保障</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（5.00）</w:t>
            </w:r>
          </w:p>
        </w:tc>
        <w:tc>
          <w:tcPr>
            <w:tcW w:w="1665" w:type="dxa"/>
            <w:vMerge w:val="restart"/>
            <w:tcBorders>
              <w:top w:val="nil"/>
              <w:left w:val="nil"/>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（二十一）机制建设（3.00）</w:t>
            </w:r>
          </w:p>
        </w:tc>
        <w:tc>
          <w:tcPr>
            <w:tcW w:w="1564" w:type="dxa"/>
            <w:vMerge w:val="restart"/>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队伍建设</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分管领导</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本级政府是否确定一位县级政府领导分管政务公开工作，并在网站上公开其职责</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工作机构</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设置明确的政务公开（政府信息公开）工作机构，是否明确政府办公室为本地区政务公开（政府信息公开）工作主管部门或科室；是否按《中共延安市委机构编制委员会办公室关于调整理顺政务公开机构职能的通知》（延市编办发〔2022〕57号）将各县（市、区)行政审批服务局加挂的政务公开办公室牌子撤销，其政务公开行政职能交由各县（市、区）政府办公室承担</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vMerge w:val="continue"/>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专职人员</w:t>
            </w:r>
          </w:p>
        </w:tc>
        <w:tc>
          <w:tcPr>
            <w:tcW w:w="5396" w:type="dxa"/>
            <w:tcBorders>
              <w:top w:val="nil"/>
              <w:left w:val="nil"/>
              <w:bottom w:val="single" w:color="auto" w:sz="4" w:space="0"/>
              <w:right w:val="single" w:color="auto" w:sz="4" w:space="0"/>
            </w:tcBorders>
            <w:vAlign w:val="center"/>
          </w:tcPr>
          <w:p>
            <w:pPr>
              <w:widowControl/>
              <w:spacing w:line="340" w:lineRule="exact"/>
              <w:jc w:val="left"/>
              <w:rPr>
                <w:rFonts w:ascii="宋体" w:hAnsi="宋体"/>
                <w:b/>
                <w:bCs/>
                <w:color w:val="000000" w:themeColor="text1"/>
                <w:kern w:val="0"/>
                <w:sz w:val="22"/>
                <w:szCs w:val="22"/>
              </w:rPr>
            </w:pPr>
            <w:r>
              <w:rPr>
                <w:rFonts w:hint="eastAsia" w:ascii="宋体" w:hAnsi="宋体"/>
                <w:b/>
                <w:bCs/>
                <w:color w:val="000000" w:themeColor="text1"/>
                <w:kern w:val="0"/>
                <w:sz w:val="22"/>
                <w:szCs w:val="22"/>
              </w:rPr>
              <w:t>是否配备专职工作人员</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电话测评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经费保障</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纳入财政预算</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是否将政务公开工作（含政府网站与政务新媒体监管</w:t>
            </w:r>
            <w:r>
              <w:rPr>
                <w:rFonts w:hint="eastAsia" w:ascii="宋体" w:hAnsi="宋体"/>
                <w:b/>
                <w:bCs/>
                <w:color w:val="000000" w:themeColor="text1"/>
                <w:spacing w:val="-6"/>
                <w:kern w:val="0"/>
                <w:sz w:val="22"/>
                <w:szCs w:val="22"/>
              </w:rPr>
              <w:t>考核、日常运维、安全防护等）经费纳入年度财政预算</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891" w:type="dxa"/>
            <w:vMerge w:val="continue"/>
            <w:tcBorders>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目标责任考核</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纳入考核体系</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spacing w:val="-8"/>
                <w:kern w:val="0"/>
                <w:sz w:val="22"/>
                <w:szCs w:val="22"/>
              </w:rPr>
            </w:pPr>
            <w:r>
              <w:rPr>
                <w:rFonts w:hint="eastAsia" w:ascii="宋体" w:hAnsi="宋体"/>
                <w:b/>
                <w:bCs/>
                <w:color w:val="000000" w:themeColor="text1"/>
                <w:spacing w:val="-8"/>
                <w:kern w:val="0"/>
                <w:sz w:val="22"/>
                <w:szCs w:val="22"/>
              </w:rPr>
              <w:t>是否将政务公开工作纳入年度目标责任考核体系</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1" w:type="dxa"/>
            <w:vMerge w:val="continue"/>
            <w:tcBorders>
              <w:left w:val="single" w:color="auto" w:sz="4" w:space="0"/>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vMerge w:val="continue"/>
            <w:tcBorders>
              <w:left w:val="nil"/>
              <w:bottom w:val="single" w:color="000000"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564" w:type="dxa"/>
            <w:tcBorders>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业务培训</w:t>
            </w:r>
          </w:p>
        </w:tc>
        <w:tc>
          <w:tcPr>
            <w:tcW w:w="1830" w:type="dxa"/>
            <w:tcBorders>
              <w:left w:val="nil"/>
              <w:bottom w:val="single" w:color="000000"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培训开展情况</w:t>
            </w:r>
          </w:p>
        </w:tc>
        <w:tc>
          <w:tcPr>
            <w:tcW w:w="5396" w:type="dxa"/>
            <w:tcBorders>
              <w:top w:val="nil"/>
              <w:left w:val="nil"/>
              <w:bottom w:val="single" w:color="000000"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是否开展政务公开培训</w:t>
            </w:r>
          </w:p>
        </w:tc>
        <w:tc>
          <w:tcPr>
            <w:tcW w:w="1238" w:type="dxa"/>
            <w:tcBorders>
              <w:top w:val="nil"/>
              <w:left w:val="nil"/>
              <w:bottom w:val="single" w:color="000000"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891" w:type="dxa"/>
            <w:vMerge w:val="restart"/>
            <w:tcBorders>
              <w:top w:val="nil"/>
              <w:left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六、组织保障</w:t>
            </w:r>
          </w:p>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（5.00）</w:t>
            </w:r>
          </w:p>
        </w:tc>
        <w:tc>
          <w:tcPr>
            <w:tcW w:w="1665"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（二十二）制度建设（1.00）</w:t>
            </w: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制度建设</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信息公开制度建设情况</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是否根据新修订的《政府信息公开条例》，修订完善、及时更新本级政府政府信息公开工作考核制度、社会评议制度、责任追究制度、保密审查制度等信息公开制度</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91" w:type="dxa"/>
            <w:vMerge w:val="continue"/>
            <w:tcBorders>
              <w:left w:val="single" w:color="auto" w:sz="4" w:space="0"/>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p>
        </w:tc>
        <w:tc>
          <w:tcPr>
            <w:tcW w:w="1665" w:type="dxa"/>
            <w:tcBorders>
              <w:top w:val="nil"/>
              <w:left w:val="nil"/>
              <w:bottom w:val="single" w:color="auto" w:sz="4" w:space="0"/>
              <w:right w:val="single" w:color="auto" w:sz="4" w:space="0"/>
            </w:tcBorders>
            <w:vAlign w:val="center"/>
          </w:tcPr>
          <w:p>
            <w:pPr>
              <w:widowControl/>
              <w:spacing w:line="32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（二十三）主管部门检查（1.00）</w:t>
            </w:r>
          </w:p>
        </w:tc>
        <w:tc>
          <w:tcPr>
            <w:tcW w:w="1564"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主管部门</w:t>
            </w:r>
          </w:p>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日常检查</w:t>
            </w:r>
          </w:p>
        </w:tc>
        <w:tc>
          <w:tcPr>
            <w:tcW w:w="1830" w:type="dxa"/>
            <w:tcBorders>
              <w:left w:val="nil"/>
              <w:bottom w:val="single" w:color="auto" w:sz="4" w:space="0"/>
              <w:right w:val="single" w:color="auto" w:sz="4" w:space="0"/>
            </w:tcBorders>
            <w:vAlign w:val="center"/>
          </w:tcPr>
          <w:p>
            <w:pPr>
              <w:widowControl/>
              <w:spacing w:line="34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政务公开日常工作落实情况</w:t>
            </w:r>
          </w:p>
        </w:tc>
        <w:tc>
          <w:tcPr>
            <w:tcW w:w="5396" w:type="dxa"/>
            <w:tcBorders>
              <w:top w:val="nil"/>
              <w:left w:val="nil"/>
              <w:bottom w:val="single" w:color="auto" w:sz="4" w:space="0"/>
              <w:right w:val="single" w:color="auto" w:sz="4" w:space="0"/>
            </w:tcBorders>
            <w:vAlign w:val="center"/>
          </w:tcPr>
          <w:p>
            <w:pPr>
              <w:widowControl/>
              <w:spacing w:line="34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政务公开日常工作落实、参加会议情况</w:t>
            </w:r>
          </w:p>
        </w:tc>
        <w:tc>
          <w:tcPr>
            <w:tcW w:w="1238"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themeColor="text1"/>
                <w:kern w:val="0"/>
                <w:sz w:val="22"/>
                <w:szCs w:val="22"/>
              </w:rPr>
            </w:pPr>
            <w:r>
              <w:rPr>
                <w:rFonts w:hint="eastAsia" w:ascii="宋体" w:hAnsi="宋体"/>
                <w:b/>
                <w:bCs/>
                <w:color w:val="000000" w:themeColor="text1"/>
                <w:kern w:val="0"/>
                <w:sz w:val="22"/>
                <w:szCs w:val="22"/>
              </w:rPr>
              <w:t>主管单位考核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3584" w:type="dxa"/>
            <w:gridSpan w:val="6"/>
            <w:tcBorders>
              <w:top w:val="nil"/>
              <w:left w:val="single" w:color="auto" w:sz="4" w:space="0"/>
              <w:bottom w:val="single" w:color="auto" w:sz="4" w:space="0"/>
              <w:right w:val="single" w:color="auto" w:sz="4" w:space="0"/>
            </w:tcBorders>
            <w:vAlign w:val="center"/>
          </w:tcPr>
          <w:p>
            <w:pPr>
              <w:widowControl/>
              <w:spacing w:line="380" w:lineRule="exact"/>
              <w:rPr>
                <w:rFonts w:ascii="宋体" w:hAnsi="宋体"/>
                <w:b/>
                <w:bCs/>
                <w:color w:val="000000" w:themeColor="text1"/>
                <w:kern w:val="0"/>
                <w:sz w:val="22"/>
                <w:szCs w:val="22"/>
              </w:rPr>
            </w:pPr>
            <w:r>
              <w:rPr>
                <w:rFonts w:hint="eastAsia" w:ascii="宋体" w:hAnsi="宋体"/>
                <w:b/>
                <w:bCs/>
                <w:color w:val="000000" w:themeColor="text1"/>
                <w:kern w:val="0"/>
                <w:sz w:val="22"/>
                <w:szCs w:val="22"/>
              </w:rPr>
              <w:t>备注：1.以上工作出现问题被国家通报的，在评估总得分基础上扣5分；被省上通报的，扣1分。</w:t>
            </w:r>
          </w:p>
          <w:p>
            <w:pPr>
              <w:widowControl/>
              <w:spacing w:line="380" w:lineRule="exact"/>
              <w:ind w:firstLine="663" w:firstLineChars="300"/>
              <w:rPr>
                <w:rFonts w:ascii="宋体" w:hAnsi="宋体"/>
                <w:b/>
                <w:bCs/>
                <w:color w:val="000000" w:themeColor="text1"/>
                <w:kern w:val="0"/>
                <w:sz w:val="22"/>
                <w:szCs w:val="22"/>
              </w:rPr>
            </w:pPr>
            <w:r>
              <w:rPr>
                <w:rFonts w:hint="eastAsia" w:ascii="宋体" w:hAnsi="宋体"/>
                <w:b/>
                <w:bCs/>
                <w:color w:val="000000" w:themeColor="text1"/>
                <w:kern w:val="0"/>
                <w:sz w:val="22"/>
                <w:szCs w:val="22"/>
              </w:rPr>
              <w:t>2.以上工作经验材料被国务院办公厅《政务公开工作交流》选用的，在评估总得分的基础上加3分。</w:t>
            </w:r>
          </w:p>
          <w:p>
            <w:pPr>
              <w:widowControl/>
              <w:spacing w:line="380" w:lineRule="exact"/>
              <w:ind w:firstLine="663" w:firstLineChars="300"/>
              <w:rPr>
                <w:rFonts w:ascii="宋体" w:hAnsi="宋体"/>
                <w:b/>
                <w:bCs/>
                <w:color w:val="000000" w:themeColor="text1"/>
                <w:kern w:val="0"/>
                <w:sz w:val="22"/>
                <w:szCs w:val="22"/>
              </w:rPr>
            </w:pPr>
            <w:r>
              <w:rPr>
                <w:rFonts w:hint="eastAsia" w:ascii="宋体" w:hAnsi="宋体"/>
                <w:b/>
                <w:bCs/>
                <w:color w:val="000000" w:themeColor="text1"/>
                <w:kern w:val="0"/>
                <w:sz w:val="22"/>
                <w:szCs w:val="22"/>
              </w:rPr>
              <w:t>3.政务公开工作被省上通报表扬的，在评估总得分基础上加1分。</w:t>
            </w:r>
          </w:p>
        </w:tc>
      </w:tr>
    </w:tbl>
    <w:p>
      <w:pPr>
        <w:rPr>
          <w:b w:val="0"/>
          <w:bCs w:val="0"/>
          <w:color w:val="000000" w:themeColor="text1"/>
        </w:rPr>
      </w:pPr>
      <w:r>
        <w:rPr>
          <w:b w:val="0"/>
          <w:bCs w:val="0"/>
          <w:color w:val="000000" w:themeColor="text1"/>
        </w:rPr>
        <w:t xml:space="preserve"> </w:t>
      </w:r>
    </w:p>
    <w:p>
      <w:pPr>
        <w:rPr>
          <w:b w:val="0"/>
          <w:bCs w:val="0"/>
          <w:color w:val="000000" w:themeColor="text1"/>
        </w:rPr>
      </w:pPr>
      <w:r>
        <w:rPr>
          <w:b w:val="0"/>
          <w:bCs w:val="0"/>
          <w:color w:val="000000" w:themeColor="text1"/>
        </w:rPr>
        <w:t xml:space="preserve"> </w:t>
      </w:r>
    </w:p>
    <w:p>
      <w:pPr>
        <w:topLinePunct/>
        <w:spacing w:line="580" w:lineRule="exact"/>
        <w:textAlignment w:val="baseline"/>
        <w:rPr>
          <w:rFonts w:ascii="楷体_GB2312" w:eastAsia="楷体_GB2312"/>
          <w:b w:val="0"/>
          <w:bCs w:val="0"/>
          <w:color w:val="000000" w:themeColor="text1"/>
          <w:kern w:val="0"/>
          <w:sz w:val="32"/>
          <w:szCs w:val="32"/>
        </w:rPr>
        <w:sectPr>
          <w:footerReference r:id="rId6" w:type="first"/>
          <w:footerReference r:id="rId4" w:type="default"/>
          <w:headerReference r:id="rId3" w:type="even"/>
          <w:footerReference r:id="rId5" w:type="even"/>
          <w:pgSz w:w="16838" w:h="11905" w:orient="landscape"/>
          <w:pgMar w:top="1531" w:right="1701" w:bottom="1531" w:left="1701" w:header="1134" w:footer="1417" w:gutter="0"/>
          <w:cols w:space="0" w:num="1"/>
          <w:titlePg/>
        </w:sectPr>
      </w:pPr>
    </w:p>
    <w:p>
      <w:pPr>
        <w:spacing w:line="460" w:lineRule="exact"/>
        <w:ind w:firstLine="1257" w:firstLineChars="393"/>
        <w:jc w:val="left"/>
        <w:rPr>
          <w:rFonts w:ascii="楷体_GB2312" w:eastAsia="楷体_GB2312"/>
          <w:b w:val="0"/>
          <w:bCs w:val="0"/>
          <w:color w:val="000000" w:themeColor="text1"/>
          <w:kern w:val="0"/>
          <w:sz w:val="32"/>
          <w:szCs w:val="32"/>
        </w:rPr>
      </w:pPr>
    </w:p>
    <w:sectPr>
      <w:footerReference r:id="rId9" w:type="first"/>
      <w:footerReference r:id="rId7" w:type="default"/>
      <w:footerReference r:id="rId8" w:type="even"/>
      <w:pgSz w:w="16838" w:h="11905" w:orient="landscape"/>
      <w:pgMar w:top="1531" w:right="1871" w:bottom="1531" w:left="1984" w:header="1412" w:footer="1491"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center"/>
      <w:rPr>
        <w:rFonts w:ascii="宋体" w:hAnsi="宋体"/>
        <w:sz w:val="28"/>
        <w:szCs w:val="28"/>
      </w:rPr>
    </w:pPr>
    <w:r>
      <w:rPr>
        <w:rFonts w:hint="eastAsia" w:ascii="宋体" w:hAnsi="宋体"/>
        <w:b/>
        <w:bCs/>
        <w:sz w:val="28"/>
        <w:szCs w:val="28"/>
      </w:rPr>
      <w:t xml:space="preserve">— </w:t>
    </w:r>
    <w:r>
      <w:rPr>
        <w:rFonts w:hint="eastAsia" w:ascii="宋体" w:hAnsi="宋体"/>
        <w:b/>
        <w:bCs/>
        <w:sz w:val="28"/>
        <w:szCs w:val="28"/>
      </w:rPr>
      <w:fldChar w:fldCharType="begin"/>
    </w:r>
    <w:r>
      <w:rPr>
        <w:rFonts w:hint="eastAsia" w:ascii="宋体" w:hAnsi="宋体"/>
        <w:b/>
        <w:bCs/>
        <w:sz w:val="28"/>
        <w:szCs w:val="28"/>
      </w:rPr>
      <w:instrText xml:space="preserve"> PAGE  \* MERGEFORMAT </w:instrText>
    </w:r>
    <w:r>
      <w:rPr>
        <w:rFonts w:hint="eastAsia" w:ascii="宋体" w:hAnsi="宋体"/>
        <w:b/>
        <w:bCs/>
        <w:sz w:val="28"/>
        <w:szCs w:val="28"/>
      </w:rPr>
      <w:fldChar w:fldCharType="separate"/>
    </w:r>
    <w:r>
      <w:rPr>
        <w:rFonts w:ascii="宋体" w:hAnsi="宋体"/>
        <w:b/>
        <w:bCs/>
        <w:sz w:val="28"/>
        <w:szCs w:val="28"/>
      </w:rPr>
      <w:t>33</w:t>
    </w:r>
    <w:r>
      <w:rPr>
        <w:rFonts w:hint="eastAsia" w:ascii="宋体" w:hAnsi="宋体"/>
        <w:b/>
        <w:bCs/>
        <w:sz w:val="28"/>
        <w:szCs w:val="28"/>
      </w:rPr>
      <w:fldChar w:fldCharType="end"/>
    </w:r>
    <w:r>
      <w:rPr>
        <w:rFonts w:hint="eastAsia" w:ascii="宋体" w:hAnsi="宋体"/>
        <w:b/>
        <w:bCs/>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center"/>
      <w:rPr>
        <w:rFonts w:ascii="宋体" w:hAnsi="宋体"/>
        <w:sz w:val="28"/>
        <w:szCs w:val="28"/>
      </w:rPr>
    </w:pPr>
    <w:r>
      <w:rPr>
        <w:rFonts w:hint="eastAsia" w:ascii="宋体" w:hAnsi="宋体"/>
        <w:b/>
        <w:bCs/>
        <w:sz w:val="28"/>
        <w:szCs w:val="28"/>
      </w:rPr>
      <w:t xml:space="preserve">— </w:t>
    </w:r>
    <w:r>
      <w:rPr>
        <w:rFonts w:hint="eastAsia" w:ascii="宋体" w:hAnsi="宋体"/>
        <w:b/>
        <w:bCs/>
        <w:sz w:val="28"/>
        <w:szCs w:val="28"/>
      </w:rPr>
      <w:fldChar w:fldCharType="begin"/>
    </w:r>
    <w:r>
      <w:rPr>
        <w:rFonts w:hint="eastAsia" w:ascii="宋体" w:hAnsi="宋体"/>
        <w:b/>
        <w:bCs/>
        <w:sz w:val="28"/>
        <w:szCs w:val="28"/>
      </w:rPr>
      <w:instrText xml:space="preserve"> PAGE  \* MERGEFORMAT </w:instrText>
    </w:r>
    <w:r>
      <w:rPr>
        <w:rFonts w:hint="eastAsia" w:ascii="宋体" w:hAnsi="宋体"/>
        <w:b/>
        <w:bCs/>
        <w:sz w:val="28"/>
        <w:szCs w:val="28"/>
      </w:rPr>
      <w:fldChar w:fldCharType="separate"/>
    </w:r>
    <w:r>
      <w:rPr>
        <w:rFonts w:ascii="宋体" w:hAnsi="宋体"/>
        <w:b/>
        <w:bCs/>
        <w:sz w:val="28"/>
        <w:szCs w:val="28"/>
      </w:rPr>
      <w:t>32</w:t>
    </w:r>
    <w:r>
      <w:rPr>
        <w:rFonts w:hint="eastAsia" w:ascii="宋体" w:hAnsi="宋体"/>
        <w:b/>
        <w:bCs/>
        <w:sz w:val="28"/>
        <w:szCs w:val="28"/>
      </w:rPr>
      <w:fldChar w:fldCharType="end"/>
    </w:r>
    <w:r>
      <w:rPr>
        <w:rFonts w:hint="eastAsia" w:ascii="宋体" w:hAnsi="宋体"/>
        <w:b/>
        <w:bCs/>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center"/>
    </w:pPr>
    <w:r>
      <w:rPr>
        <w:rFonts w:hint="eastAsia" w:ascii="宋体" w:hAnsi="宋体"/>
        <w:b/>
        <w:bCs/>
        <w:sz w:val="28"/>
        <w:szCs w:val="28"/>
      </w:rPr>
      <w:t xml:space="preserve">— </w:t>
    </w:r>
    <w:r>
      <w:rPr>
        <w:rFonts w:hint="eastAsia" w:ascii="宋体" w:hAnsi="宋体"/>
        <w:b/>
        <w:bCs/>
        <w:sz w:val="28"/>
        <w:szCs w:val="28"/>
      </w:rPr>
      <w:fldChar w:fldCharType="begin"/>
    </w:r>
    <w:r>
      <w:rPr>
        <w:rFonts w:hint="eastAsia" w:ascii="宋体" w:hAnsi="宋体"/>
        <w:b/>
        <w:bCs/>
        <w:sz w:val="28"/>
        <w:szCs w:val="28"/>
      </w:rPr>
      <w:instrText xml:space="preserve"> PAGE  \* MERGEFORMAT </w:instrText>
    </w:r>
    <w:r>
      <w:rPr>
        <w:rFonts w:hint="eastAsia" w:ascii="宋体" w:hAnsi="宋体"/>
        <w:b/>
        <w:bCs/>
        <w:sz w:val="28"/>
        <w:szCs w:val="28"/>
      </w:rPr>
      <w:fldChar w:fldCharType="separate"/>
    </w:r>
    <w:r>
      <w:rPr>
        <w:rFonts w:ascii="宋体" w:hAnsi="宋体"/>
        <w:b/>
        <w:bCs/>
        <w:sz w:val="28"/>
        <w:szCs w:val="28"/>
      </w:rPr>
      <w:t>10</w:t>
    </w:r>
    <w:r>
      <w:rPr>
        <w:rFonts w:hint="eastAsia" w:ascii="宋体" w:hAnsi="宋体"/>
        <w:b/>
        <w:bCs/>
        <w:sz w:val="28"/>
        <w:szCs w:val="28"/>
      </w:rPr>
      <w:fldChar w:fldCharType="end"/>
    </w:r>
    <w:r>
      <w:rPr>
        <w:rFonts w:hint="eastAsia" w:ascii="宋体" w:hAnsi="宋体"/>
        <w:b/>
        <w:bCs/>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980" w:firstLineChars="2850"/>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sz w:val="28"/>
        <w:szCs w:val="28"/>
      </w:rPr>
    </w:pPr>
    <w:r>
      <w:rPr>
        <w:sz w:val="2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kY2MzMmU1ZGU5OGRhOGUzNmZmZTZkMDUwNTg4ZmQifQ=="/>
  </w:docVars>
  <w:rsids>
    <w:rsidRoot w:val="00F46D69"/>
    <w:rsid w:val="0004618A"/>
    <w:rsid w:val="000B53DC"/>
    <w:rsid w:val="000C4DF8"/>
    <w:rsid w:val="00160C58"/>
    <w:rsid w:val="00167266"/>
    <w:rsid w:val="001B41D9"/>
    <w:rsid w:val="00200B5D"/>
    <w:rsid w:val="002975B0"/>
    <w:rsid w:val="002B53B0"/>
    <w:rsid w:val="003D24A2"/>
    <w:rsid w:val="003E0270"/>
    <w:rsid w:val="00404315"/>
    <w:rsid w:val="00414068"/>
    <w:rsid w:val="004E69BA"/>
    <w:rsid w:val="00531D17"/>
    <w:rsid w:val="00581177"/>
    <w:rsid w:val="0063068D"/>
    <w:rsid w:val="006A0467"/>
    <w:rsid w:val="006A2E63"/>
    <w:rsid w:val="00771E7C"/>
    <w:rsid w:val="007D046F"/>
    <w:rsid w:val="008B2501"/>
    <w:rsid w:val="008E3CFE"/>
    <w:rsid w:val="008F3084"/>
    <w:rsid w:val="00943965"/>
    <w:rsid w:val="00995B42"/>
    <w:rsid w:val="00A4730A"/>
    <w:rsid w:val="00A9692E"/>
    <w:rsid w:val="00AA1DE8"/>
    <w:rsid w:val="00B23749"/>
    <w:rsid w:val="00BB52C0"/>
    <w:rsid w:val="00DA7E51"/>
    <w:rsid w:val="00E06503"/>
    <w:rsid w:val="00ED5D52"/>
    <w:rsid w:val="00F249F0"/>
    <w:rsid w:val="00F46D69"/>
    <w:rsid w:val="00F70449"/>
    <w:rsid w:val="00F718F1"/>
    <w:rsid w:val="0A491D68"/>
    <w:rsid w:val="156F75E8"/>
    <w:rsid w:val="553F147A"/>
    <w:rsid w:val="5BEC1AF3"/>
    <w:rsid w:val="62804468"/>
    <w:rsid w:val="6B2729E9"/>
    <w:rsid w:val="729D70A3"/>
    <w:rsid w:val="783675E9"/>
    <w:rsid w:val="7B3C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3"/>
    <w:qFormat/>
    <w:uiPriority w:val="0"/>
    <w:pPr>
      <w:spacing w:before="240" w:after="60"/>
      <w:jc w:val="center"/>
      <w:outlineLvl w:val="0"/>
    </w:pPr>
    <w:rPr>
      <w:rFonts w:ascii="Arial" w:hAnsi="Arial"/>
      <w:b/>
      <w:sz w:val="4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semiHidden/>
    <w:qFormat/>
    <w:uiPriority w:val="99"/>
    <w:rPr>
      <w:rFonts w:ascii="Calibri" w:hAnsi="Calibri" w:eastAsia="宋体" w:cs="宋体"/>
      <w:sz w:val="18"/>
      <w:szCs w:val="18"/>
    </w:rPr>
  </w:style>
  <w:style w:type="character" w:customStyle="1" w:styleId="11">
    <w:name w:val="页脚 Char"/>
    <w:basedOn w:val="8"/>
    <w:link w:val="3"/>
    <w:qFormat/>
    <w:uiPriority w:val="99"/>
    <w:rPr>
      <w:rFonts w:ascii="Calibri" w:hAnsi="Calibri" w:eastAsia="宋体" w:cs="宋体"/>
      <w:sz w:val="18"/>
      <w:szCs w:val="18"/>
    </w:rPr>
  </w:style>
  <w:style w:type="character" w:customStyle="1" w:styleId="12">
    <w:name w:val="批注框文本 Char"/>
    <w:basedOn w:val="8"/>
    <w:link w:val="2"/>
    <w:semiHidden/>
    <w:qFormat/>
    <w:uiPriority w:val="99"/>
    <w:rPr>
      <w:rFonts w:ascii="Calibri" w:hAnsi="Calibri" w:eastAsia="宋体" w:cs="宋体"/>
      <w:kern w:val="2"/>
      <w:sz w:val="18"/>
      <w:szCs w:val="18"/>
    </w:rPr>
  </w:style>
  <w:style w:type="character" w:customStyle="1" w:styleId="13">
    <w:name w:val="标题 Char"/>
    <w:basedOn w:val="8"/>
    <w:link w:val="5"/>
    <w:uiPriority w:val="0"/>
    <w:rPr>
      <w:rFonts w:ascii="Arial" w:hAnsi="Arial" w:eastAsia="宋体" w:cs="宋体"/>
      <w:b/>
      <w:kern w:val="2"/>
      <w:sz w:val="4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015D8-72B7-4DE3-8582-0767A85061D8}">
  <ds:schemaRefs/>
</ds:datastoreItem>
</file>

<file path=docProps/app.xml><?xml version="1.0" encoding="utf-8"?>
<Properties xmlns="http://schemas.openxmlformats.org/officeDocument/2006/extended-properties" xmlns:vt="http://schemas.openxmlformats.org/officeDocument/2006/docPropsVTypes">
  <Template>Normal</Template>
  <Pages>40</Pages>
  <Words>17009</Words>
  <Characters>17400</Characters>
  <Lines>135</Lines>
  <Paragraphs>38</Paragraphs>
  <TotalTime>16</TotalTime>
  <ScaleCrop>false</ScaleCrop>
  <LinksUpToDate>false</LinksUpToDate>
  <CharactersWithSpaces>17476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2022-08-04T07:28:00Z</dcterms:created>
  <dc:creator>Administrator</dc:creator>
  <cp:lastModifiedBy>Administrator</cp:lastModifiedBy>
  <dcterms:modified xsi:type="dcterms:W3CDTF">2022-08-08T08:32:49Z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862F58FD219B4173B9F1F9A09D3D203D</vt:lpwstr>
  </property>
</Properties>
</file>