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7E3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baseline"/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3</w:t>
      </w:r>
    </w:p>
    <w:p w14:paraId="27AF6BD6">
      <w:pPr>
        <w:pStyle w:val="2"/>
        <w:rPr>
          <w:rFonts w:ascii="Calibri" w:hAnsi="Calibri" w:eastAsia="仿宋_GB2312" w:cs="Times New Roman"/>
          <w:sz w:val="32"/>
          <w:szCs w:val="24"/>
        </w:rPr>
      </w:pPr>
    </w:p>
    <w:p w14:paraId="7CFBBB9C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届全国旅游公益广告遴选活动展播安排</w:t>
      </w:r>
    </w:p>
    <w:bookmarkEnd w:id="0"/>
    <w:p w14:paraId="111C2EF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baseline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</w:pPr>
    </w:p>
    <w:p w14:paraId="5E0C3B1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72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为进一步扩大本次旅游公益广告遴选活动的影响力，提升宣传效果，由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广电总局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部署，在全国各级电台、电视台集中展播旅游公益广告，展播时间为202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月至202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月。有关事项如下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</w:p>
    <w:p w14:paraId="2FA51B1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720" w:firstLineChars="200"/>
        <w:textAlignment w:val="baseline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一、优秀旅游公益广告作品可从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广电总局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“全国优秀广播电视公益广告作品库”中下载播出（网址：http://gy.nrta.gov.cn）。各地作品制作完毕后可先行在本地媒体播放。优秀作品将由主办方组织在全国各级播出机构展播，并积极协调新媒体等平台集中播出。同时，鼓励各级播出机构自制旅游公益广告作品并播出。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月至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月，各级广播电视播出机构每天播出旅游公益广告数量不少于3次，其中，黄金时段不少于1次。</w:t>
      </w:r>
    </w:p>
    <w:p w14:paraId="0585A73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720" w:firstLineChars="200"/>
        <w:textAlignment w:val="baseline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二、各级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文化和旅游行政部门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要高度重视本次旅游公益广告遴选活动作品展播工作，把旅游公益广告作品展播作为宣传旅游公益性功能的重要途径，加强同广播电视部门的沟通衔接，努力将展播活动做好、做强、做出影响。</w:t>
      </w:r>
    </w:p>
    <w:p w14:paraId="7B8F1B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720" w:firstLineChars="200"/>
        <w:textAlignment w:val="baseline"/>
        <w:rPr>
          <w:rFonts w:ascii="仿宋_GB2312" w:hAnsi="仿宋_GB2312" w:eastAsia="仿宋_GB2312" w:cs="仿宋_GB2312"/>
          <w:b w:val="0"/>
          <w:bCs w:val="0"/>
          <w:color w:val="0000FF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三、各级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文化和旅游行政部门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要积极同本区域内播出机构加强合作，对参与旅游公益广告展播的机构，结合本地区实际，给予适当技术、资金等方面的支持，并积极采用多元方式支持旅游公益广告的设计、制作、宣传、展播等工作。</w:t>
      </w:r>
    </w:p>
    <w:p w14:paraId="0B82A2A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720" w:firstLineChars="200"/>
        <w:textAlignment w:val="baseline"/>
        <w:rPr>
          <w:rFonts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四、各级播出机构负责旅游公益广告播出统计工作，各地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文化和旅游行政部门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负责公益广告播出的监测工作。旅游公益广告遴选作品展播活动结束后，各级播出机构同本地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文化和旅游行政部门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要认真填写《第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届全国旅游公益广告展播情况统计表》（见附件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），经双方签字盖章确认后报省级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文化和旅游行政部门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。省级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文化和旅游行政部门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在汇总统计后，于202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日前将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本年度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统计结果报送至文化和旅游部。</w:t>
      </w:r>
    </w:p>
    <w:p w14:paraId="7AF39C86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ind w:firstLine="72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文化和旅游部联系电话：010-5988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2090</w:t>
      </w:r>
    </w:p>
    <w:p w14:paraId="5BBAF8BB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ind w:firstLine="720" w:firstLineChars="200"/>
        <w:rPr>
          <w:rFonts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广电总局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</w:rPr>
        <w:t>联系电话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</w:rPr>
        <w:t>010-86097013</w:t>
      </w:r>
    </w:p>
    <w:p w14:paraId="0A8B7400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758BA"/>
    <w:rsid w:val="4AA7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2025-07-08T01:09:00Z</dcterms:created>
  <dc:creator>XXZX</dc:creator>
  <cp:lastModifiedBy>XXZX</cp:lastModifiedBy>
  <dcterms:modified xsi:type="dcterms:W3CDTF">2025-07-08T01:12:51Z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77EA6D7682F148599CBB5B502ED0FDF1_11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