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FA8B6">
      <w:pPr>
        <w:rPr>
          <w:rFonts w:hint="eastAsia" w:ascii="黑体" w:hAnsi="黑体" w:eastAsia="黑体" w:cs="黑体"/>
          <w:sz w:val="32"/>
          <w:szCs w:val="32"/>
          <w:highlight w:val="green"/>
          <w:lang w:eastAsia="zh-CN"/>
        </w:rPr>
      </w:pPr>
      <w:bookmarkStart w:id="0" w:name="_GoBack"/>
      <w:bookmarkEnd w:id="0"/>
      <w:r>
        <w:rPr>
          <w:rFonts w:hint="eastAsia" w:ascii="黑体" w:hAnsi="黑体" w:eastAsia="黑体" w:cs="黑体"/>
          <w:sz w:val="32"/>
          <w:szCs w:val="32"/>
          <w:lang w:eastAsia="zh-CN"/>
        </w:rPr>
        <w:t>附件</w:t>
      </w:r>
    </w:p>
    <w:p w14:paraId="5BEAB264">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2025年全国中小企业服务月活动清单</w:t>
      </w:r>
    </w:p>
    <w:p w14:paraId="2ED99014"/>
    <w:p w14:paraId="418B2C47">
      <w:pPr>
        <w:rPr>
          <w:rFonts w:hint="eastAsia"/>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75"/>
        <w:gridCol w:w="2007"/>
        <w:gridCol w:w="9130"/>
        <w:gridCol w:w="1661"/>
      </w:tblGrid>
      <w:tr w14:paraId="30C5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Header/>
          <w:jc w:val="center"/>
        </w:trPr>
        <w:tc>
          <w:tcPr>
            <w:tcW w:w="1375" w:type="dxa"/>
            <w:noWrap w:val="0"/>
            <w:vAlign w:val="center"/>
          </w:tcPr>
          <w:p w14:paraId="12648A89">
            <w:pPr>
              <w:jc w:val="center"/>
              <w:rPr>
                <w:rFonts w:hint="eastAsia" w:ascii="黑体" w:hAnsi="黑体" w:eastAsia="黑体" w:cs="黑体"/>
                <w:sz w:val="24"/>
                <w:szCs w:val="24"/>
              </w:rPr>
            </w:pPr>
            <w:r>
              <w:rPr>
                <w:rFonts w:hint="eastAsia" w:ascii="黑体" w:hAnsi="黑体" w:eastAsia="黑体" w:cs="黑体"/>
                <w:sz w:val="24"/>
                <w:szCs w:val="24"/>
                <w:lang w:val="en-US" w:eastAsia="zh-CN"/>
              </w:rPr>
              <w:t>服务领域</w:t>
            </w:r>
          </w:p>
        </w:tc>
        <w:tc>
          <w:tcPr>
            <w:tcW w:w="2007" w:type="dxa"/>
            <w:noWrap w:val="0"/>
            <w:vAlign w:val="center"/>
          </w:tcPr>
          <w:p w14:paraId="2E732E20">
            <w:pPr>
              <w:jc w:val="center"/>
              <w:rPr>
                <w:rFonts w:hint="eastAsia" w:ascii="黑体" w:hAnsi="黑体" w:eastAsia="黑体" w:cs="黑体"/>
                <w:sz w:val="24"/>
                <w:szCs w:val="24"/>
              </w:rPr>
            </w:pPr>
            <w:r>
              <w:rPr>
                <w:rFonts w:hint="eastAsia" w:ascii="黑体" w:hAnsi="黑体" w:eastAsia="黑体" w:cs="黑体"/>
                <w:sz w:val="24"/>
                <w:szCs w:val="24"/>
                <w:lang w:val="en-US" w:eastAsia="zh-CN"/>
              </w:rPr>
              <w:t>单位</w:t>
            </w:r>
          </w:p>
        </w:tc>
        <w:tc>
          <w:tcPr>
            <w:tcW w:w="9130" w:type="dxa"/>
            <w:noWrap w:val="0"/>
            <w:vAlign w:val="center"/>
          </w:tcPr>
          <w:p w14:paraId="4135C969">
            <w:pPr>
              <w:jc w:val="center"/>
              <w:rPr>
                <w:rFonts w:hint="eastAsia" w:ascii="黑体" w:hAnsi="黑体" w:eastAsia="黑体" w:cs="黑体"/>
                <w:sz w:val="24"/>
                <w:szCs w:val="24"/>
              </w:rPr>
            </w:pPr>
            <w:r>
              <w:rPr>
                <w:rFonts w:hint="eastAsia" w:ascii="黑体" w:hAnsi="黑体" w:eastAsia="黑体" w:cs="黑体"/>
                <w:sz w:val="24"/>
                <w:szCs w:val="24"/>
                <w:lang w:val="en-US" w:eastAsia="zh-CN"/>
              </w:rPr>
              <w:t>活动内容</w:t>
            </w:r>
          </w:p>
        </w:tc>
        <w:tc>
          <w:tcPr>
            <w:tcW w:w="1661" w:type="dxa"/>
            <w:noWrap w:val="0"/>
            <w:vAlign w:val="center"/>
          </w:tcPr>
          <w:p w14:paraId="1A117561">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联系人及</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联系方式</w:t>
            </w:r>
          </w:p>
        </w:tc>
      </w:tr>
      <w:tr w14:paraId="23E3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restart"/>
            <w:noWrap w:val="0"/>
            <w:vAlign w:val="center"/>
          </w:tcPr>
          <w:p w14:paraId="5F89E19C">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市场拓展</w:t>
            </w:r>
          </w:p>
        </w:tc>
        <w:tc>
          <w:tcPr>
            <w:tcW w:w="2007" w:type="dxa"/>
            <w:noWrap w:val="0"/>
            <w:vAlign w:val="center"/>
          </w:tcPr>
          <w:p w14:paraId="62DB283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中国中小企业发展促进中心</w:t>
            </w:r>
          </w:p>
        </w:tc>
        <w:tc>
          <w:tcPr>
            <w:tcW w:w="9130" w:type="dxa"/>
            <w:noWrap w:val="0"/>
            <w:vAlign w:val="center"/>
          </w:tcPr>
          <w:p w14:paraId="2ECFEF53">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1.在青岛举办2场分行业沙龙对接活动，通过主题分享、产业链代表企业需求发布、企业路演响应、主题研讨等环节，推动专精特新中小企业与行业专家、金融机构、服务机构开展面对面交流，挖掘合作机遇。</w:t>
            </w:r>
          </w:p>
        </w:tc>
        <w:tc>
          <w:tcPr>
            <w:tcW w:w="1661" w:type="dxa"/>
            <w:noWrap w:val="0"/>
            <w:vAlign w:val="center"/>
          </w:tcPr>
          <w:p w14:paraId="4EBBBCC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张楠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010-82292062</w:t>
            </w:r>
          </w:p>
        </w:tc>
      </w:tr>
      <w:tr w14:paraId="7F4F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0EEA1D79">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6A9CB44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53BA8D3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网络安全产业发展中心</w:t>
            </w:r>
          </w:p>
        </w:tc>
        <w:tc>
          <w:tcPr>
            <w:tcW w:w="9130" w:type="dxa"/>
            <w:noWrap w:val="0"/>
            <w:vAlign w:val="center"/>
          </w:tcPr>
          <w:p w14:paraId="2A0603C3">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2.开展2025年“创客中国”供需对接重点城市行，在江西、四川、重庆、浙江等地组织开展“创客中国”优质参赛企业供需对接座谈活动。</w:t>
            </w:r>
          </w:p>
        </w:tc>
        <w:tc>
          <w:tcPr>
            <w:tcW w:w="1661" w:type="dxa"/>
            <w:noWrap w:val="0"/>
            <w:vAlign w:val="center"/>
          </w:tcPr>
          <w:p w14:paraId="7384FCC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黄贺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010-68200397</w:t>
            </w:r>
          </w:p>
        </w:tc>
      </w:tr>
      <w:tr w14:paraId="13EC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33D96AD7">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7B74C62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7AA4117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国际经济技术合作中心</w:t>
            </w:r>
          </w:p>
        </w:tc>
        <w:tc>
          <w:tcPr>
            <w:tcW w:w="9130" w:type="dxa"/>
            <w:noWrap w:val="0"/>
            <w:vAlign w:val="center"/>
          </w:tcPr>
          <w:p w14:paraId="32C9CB80">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3.6月25日举办上海国际绕线、线圈、绝缘材料、磁性材料及电机变压器制造展览会，聚焦“低空经济之电动航空产业前沿技术”“机器人及高效节能电机的创新与实践”“电气装备绿色低碳创新发展”等热点议题，帮助中小企业了解前沿技术、开拓市场。</w:t>
            </w:r>
          </w:p>
        </w:tc>
        <w:tc>
          <w:tcPr>
            <w:tcW w:w="1661" w:type="dxa"/>
            <w:noWrap w:val="0"/>
            <w:vAlign w:val="center"/>
          </w:tcPr>
          <w:p w14:paraId="4BDFC3E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熊喆</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010-68200629</w:t>
            </w:r>
          </w:p>
        </w:tc>
      </w:tr>
      <w:tr w14:paraId="3EA3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5" w:hRule="atLeast"/>
          <w:jc w:val="center"/>
        </w:trPr>
        <w:tc>
          <w:tcPr>
            <w:tcW w:w="1375" w:type="dxa"/>
            <w:vMerge w:val="restart"/>
            <w:noWrap w:val="0"/>
            <w:vAlign w:val="center"/>
          </w:tcPr>
          <w:p w14:paraId="1FE2330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引才育才</w:t>
            </w:r>
          </w:p>
        </w:tc>
        <w:tc>
          <w:tcPr>
            <w:tcW w:w="2007" w:type="dxa"/>
            <w:noWrap w:val="0"/>
            <w:vAlign w:val="center"/>
          </w:tcPr>
          <w:p w14:paraId="76185B1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中国电子信息产业发展研究院</w:t>
            </w:r>
          </w:p>
        </w:tc>
        <w:tc>
          <w:tcPr>
            <w:tcW w:w="9130" w:type="dxa"/>
            <w:noWrap w:val="0"/>
            <w:vAlign w:val="center"/>
          </w:tcPr>
          <w:p w14:paraId="608ADD7D">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开展数字化物流仿真专题研讨会，邀请物流仿真领域资深工程师、重点高校科研团队，针对制造企业仓储管理痛点，面向技术人员开展“理论讲解+软件实操”专项培训，培训内容包括：“物流仿真大模型构建方法论”“数字孪生技术在仓储规划中的应用”“AGV路径优化仿真案例演练”等，并通过现场操作工业仿真软件，帮助企业掌握物流仿真工具使用技巧。</w:t>
            </w:r>
          </w:p>
        </w:tc>
        <w:tc>
          <w:tcPr>
            <w:tcW w:w="1661" w:type="dxa"/>
            <w:noWrap w:val="0"/>
            <w:vAlign w:val="center"/>
          </w:tcPr>
          <w:p w14:paraId="70F65DF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安然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0512-66585035</w:t>
            </w:r>
          </w:p>
        </w:tc>
      </w:tr>
      <w:tr w14:paraId="50C4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75" w:type="dxa"/>
            <w:vMerge w:val="continue"/>
            <w:noWrap w:val="0"/>
            <w:vAlign w:val="center"/>
          </w:tcPr>
          <w:p w14:paraId="25DE8EF5">
            <w:pPr>
              <w:jc w:val="center"/>
              <w:rPr>
                <w:rFonts w:hint="default" w:ascii="Times New Roman" w:hAnsi="Times New Roman" w:eastAsia="仿宋_GB2312" w:cs="Times New Roman"/>
                <w:sz w:val="24"/>
                <w:szCs w:val="24"/>
                <w:lang w:val="en-US" w:eastAsia="zh-CN"/>
              </w:rPr>
            </w:pPr>
          </w:p>
        </w:tc>
        <w:tc>
          <w:tcPr>
            <w:tcW w:w="2007" w:type="dxa"/>
            <w:vMerge w:val="restart"/>
            <w:noWrap w:val="0"/>
            <w:vAlign w:val="center"/>
          </w:tcPr>
          <w:p w14:paraId="040E74C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中国电子技术标准化研究院</w:t>
            </w:r>
          </w:p>
        </w:tc>
        <w:tc>
          <w:tcPr>
            <w:tcW w:w="9130" w:type="dxa"/>
            <w:vMerge w:val="restart"/>
            <w:noWrap w:val="0"/>
            <w:vAlign w:val="center"/>
          </w:tcPr>
          <w:p w14:paraId="02490FA4">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5.开展数字人才培养与评价研讨活动，邀请数字人才培养领域专家，分享人才培养政策、标准、案例，提供人才培养服务目录。</w:t>
            </w:r>
          </w:p>
        </w:tc>
        <w:tc>
          <w:tcPr>
            <w:tcW w:w="1661" w:type="dxa"/>
            <w:vMerge w:val="restart"/>
            <w:noWrap w:val="0"/>
            <w:vAlign w:val="center"/>
          </w:tcPr>
          <w:p w14:paraId="036B013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付铮</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010-64102627</w:t>
            </w:r>
          </w:p>
        </w:tc>
      </w:tr>
      <w:tr w14:paraId="2C7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75" w:type="dxa"/>
            <w:vMerge w:val="continue"/>
            <w:noWrap w:val="0"/>
            <w:vAlign w:val="center"/>
          </w:tcPr>
          <w:p w14:paraId="4A6ECCA3">
            <w:pPr>
              <w:jc w:val="center"/>
              <w:rPr>
                <w:rFonts w:hint="default" w:ascii="Times New Roman" w:hAnsi="Times New Roman" w:eastAsia="仿宋_GB2312" w:cs="Times New Roman"/>
                <w:sz w:val="24"/>
                <w:szCs w:val="24"/>
                <w:lang w:val="en-US" w:eastAsia="zh-CN"/>
              </w:rPr>
            </w:pPr>
          </w:p>
        </w:tc>
        <w:tc>
          <w:tcPr>
            <w:tcW w:w="2007" w:type="dxa"/>
            <w:vMerge w:val="continue"/>
            <w:noWrap w:val="0"/>
            <w:vAlign w:val="center"/>
          </w:tcPr>
          <w:p w14:paraId="52AA5E25">
            <w:pPr>
              <w:jc w:val="center"/>
              <w:rPr>
                <w:rFonts w:hint="default" w:ascii="Times New Roman" w:hAnsi="Times New Roman" w:eastAsia="仿宋_GB2312" w:cs="Times New Roman"/>
                <w:sz w:val="24"/>
                <w:szCs w:val="24"/>
                <w:lang w:val="en-US" w:eastAsia="zh-CN"/>
              </w:rPr>
            </w:pPr>
          </w:p>
        </w:tc>
        <w:tc>
          <w:tcPr>
            <w:tcW w:w="9130" w:type="dxa"/>
            <w:vMerge w:val="continue"/>
            <w:noWrap w:val="0"/>
            <w:vAlign w:val="center"/>
          </w:tcPr>
          <w:p w14:paraId="6CBD6A24">
            <w:pPr>
              <w:rPr>
                <w:rFonts w:hint="default" w:ascii="Times New Roman" w:hAnsi="Times New Roman" w:eastAsia="仿宋_GB2312" w:cs="Times New Roman"/>
                <w:sz w:val="24"/>
                <w:szCs w:val="24"/>
                <w:lang w:val="en-US" w:eastAsia="zh-CN"/>
              </w:rPr>
            </w:pPr>
          </w:p>
        </w:tc>
        <w:tc>
          <w:tcPr>
            <w:tcW w:w="1661" w:type="dxa"/>
            <w:vMerge w:val="continue"/>
            <w:noWrap w:val="0"/>
            <w:vAlign w:val="center"/>
          </w:tcPr>
          <w:p w14:paraId="5DECBD07">
            <w:pPr>
              <w:jc w:val="center"/>
              <w:rPr>
                <w:rFonts w:hint="default" w:ascii="Times New Roman" w:hAnsi="Times New Roman" w:eastAsia="仿宋_GB2312" w:cs="Times New Roman"/>
                <w:sz w:val="24"/>
                <w:szCs w:val="24"/>
                <w:lang w:val="en-US" w:eastAsia="zh-CN"/>
              </w:rPr>
            </w:pPr>
          </w:p>
        </w:tc>
      </w:tr>
      <w:tr w14:paraId="1358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6" w:hRule="atLeast"/>
          <w:jc w:val="center"/>
        </w:trPr>
        <w:tc>
          <w:tcPr>
            <w:tcW w:w="1375" w:type="dxa"/>
            <w:vMerge w:val="continue"/>
            <w:noWrap w:val="0"/>
            <w:vAlign w:val="center"/>
          </w:tcPr>
          <w:p w14:paraId="7FE14492">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507873A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中国中小企业发展促进中心</w:t>
            </w:r>
          </w:p>
        </w:tc>
        <w:tc>
          <w:tcPr>
            <w:tcW w:w="9130" w:type="dxa"/>
            <w:noWrap w:val="0"/>
            <w:vAlign w:val="center"/>
          </w:tcPr>
          <w:p w14:paraId="33EECEEB">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6.在2025年全国中小企业网上百日招聘高校毕业生活动期间，结合“优企进校 招才引智”专项行动和“访企拓岗”行动，鼓励企业和高校通过线上对接、入校招聘、入企体验、直播带岗、就业指导、实习培训等形式，推动校企加强人才交流对接。</w:t>
            </w:r>
          </w:p>
        </w:tc>
        <w:tc>
          <w:tcPr>
            <w:tcW w:w="1661" w:type="dxa"/>
            <w:noWrap w:val="0"/>
            <w:vAlign w:val="center"/>
          </w:tcPr>
          <w:p w14:paraId="02F6C154">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刘晓西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010-82292048</w:t>
            </w:r>
          </w:p>
        </w:tc>
      </w:tr>
      <w:tr w14:paraId="59F7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6859F2C0">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65B4942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27C74DC8">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人才交流中心</w:t>
            </w:r>
          </w:p>
        </w:tc>
        <w:tc>
          <w:tcPr>
            <w:tcW w:w="9130" w:type="dxa"/>
            <w:noWrap w:val="0"/>
            <w:vAlign w:val="center"/>
          </w:tcPr>
          <w:p w14:paraId="465294DD">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7.6月中旬在深圳组织开展2025年度中小企业经营管理领军人才第一期培训；6月中旬在北京航空航天大学、北京理工大学组织开展中小企业“高校对接深度行”活动，促进优质中小企业与高校深度对接；6月在“企业微课”平台征集2025年中小企业人才培训“名师优课”公益课程，供广大中小企业免费使用。</w:t>
            </w:r>
          </w:p>
        </w:tc>
        <w:tc>
          <w:tcPr>
            <w:tcW w:w="1661" w:type="dxa"/>
            <w:noWrap w:val="0"/>
            <w:vAlign w:val="center"/>
          </w:tcPr>
          <w:p w14:paraId="7BE435F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李宗陈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010-68207860</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贾越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010-68207843</w:t>
            </w:r>
          </w:p>
        </w:tc>
      </w:tr>
      <w:tr w14:paraId="42B3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63BB6E53">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405113C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65CDE104">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教育与考试中心</w:t>
            </w:r>
          </w:p>
        </w:tc>
        <w:tc>
          <w:tcPr>
            <w:tcW w:w="9130" w:type="dxa"/>
            <w:noWrap w:val="0"/>
            <w:vAlign w:val="center"/>
          </w:tcPr>
          <w:p w14:paraId="18C9D1D8">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在工业和信息化技术技能人才网上学习平台开设“2025年全国中小企业服务月线上大课堂”专题栏目，免费向社会开放，帮助中小企业了解政策、前沿技术、行业发展趋势等信息，并邀请专家、管理和技术骨干，在微信视频号开展6-8期线上直播授课，为中小企业讲解数字化转型创新应用、人才建设路径方法等。</w:t>
            </w:r>
          </w:p>
        </w:tc>
        <w:tc>
          <w:tcPr>
            <w:tcW w:w="1661" w:type="dxa"/>
            <w:noWrap w:val="0"/>
            <w:vAlign w:val="center"/>
          </w:tcPr>
          <w:p w14:paraId="44EA7E1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陈穆珩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010-68607726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穆步洲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010-68607723</w:t>
            </w:r>
          </w:p>
        </w:tc>
      </w:tr>
      <w:tr w14:paraId="27DA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restart"/>
            <w:noWrap w:val="0"/>
            <w:vAlign w:val="center"/>
          </w:tcPr>
          <w:p w14:paraId="2A366DC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融资促进</w:t>
            </w:r>
          </w:p>
        </w:tc>
        <w:tc>
          <w:tcPr>
            <w:tcW w:w="2007" w:type="dxa"/>
            <w:noWrap w:val="0"/>
            <w:vAlign w:val="center"/>
          </w:tcPr>
          <w:p w14:paraId="4419281C">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国家工业信息安全发展研究中心</w:t>
            </w:r>
          </w:p>
        </w:tc>
        <w:tc>
          <w:tcPr>
            <w:tcW w:w="9130" w:type="dxa"/>
            <w:noWrap w:val="0"/>
            <w:vAlign w:val="center"/>
          </w:tcPr>
          <w:p w14:paraId="17A772EF">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9.开展硬科技企业金融与产品对接路演，帮助匹配金融机构和潜在客户，推进硬科技企业产品产业化应用。</w:t>
            </w:r>
          </w:p>
        </w:tc>
        <w:tc>
          <w:tcPr>
            <w:tcW w:w="1661" w:type="dxa"/>
            <w:noWrap w:val="0"/>
            <w:vAlign w:val="center"/>
          </w:tcPr>
          <w:p w14:paraId="37AB230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万小竹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010-88681187</w:t>
            </w:r>
          </w:p>
        </w:tc>
      </w:tr>
      <w:tr w14:paraId="6FBF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47F33799">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781C024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3315791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火炬高技术产业开发中心</w:t>
            </w:r>
          </w:p>
        </w:tc>
        <w:tc>
          <w:tcPr>
            <w:tcW w:w="9130" w:type="dxa"/>
            <w:noWrap w:val="0"/>
            <w:vAlign w:val="center"/>
          </w:tcPr>
          <w:p w14:paraId="0CB260CA">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10.举办火炬高新优企系列座谈会，在历届中国创新创业大赛优胜企业中，分批次、分领域邀请相关企业、地方承办单位、银行、创投机构，帮助解决企业阶段性融资需求。</w:t>
            </w:r>
          </w:p>
        </w:tc>
        <w:tc>
          <w:tcPr>
            <w:tcW w:w="1661" w:type="dxa"/>
            <w:noWrap w:val="0"/>
            <w:vAlign w:val="center"/>
          </w:tcPr>
          <w:p w14:paraId="7C4B3F83">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杨竣臣</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010-68209142</w:t>
            </w:r>
          </w:p>
        </w:tc>
      </w:tr>
      <w:tr w14:paraId="5E49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1DA11A1D">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54C81BB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5843D43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产业发展促进中心</w:t>
            </w:r>
          </w:p>
        </w:tc>
        <w:tc>
          <w:tcPr>
            <w:tcW w:w="9130" w:type="dxa"/>
            <w:noWrap w:val="0"/>
            <w:vAlign w:val="center"/>
          </w:tcPr>
          <w:p w14:paraId="25FFF442">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11.开展产融一体·创新益企活动，通过项目路演、技术交流、投融资对接等方式，围绕地方重点产业领域优质中小企业的技术、资金、市场等需求，针对性汇聚高校院所、银行、创投基金、行业龙头企业等资源，为中小企业搭建展示与交流合作平台。</w:t>
            </w:r>
          </w:p>
        </w:tc>
        <w:tc>
          <w:tcPr>
            <w:tcW w:w="1661" w:type="dxa"/>
            <w:noWrap w:val="0"/>
            <w:vAlign w:val="center"/>
          </w:tcPr>
          <w:p w14:paraId="14671CA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李睿龙</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020-82111566</w:t>
            </w:r>
          </w:p>
        </w:tc>
      </w:tr>
      <w:tr w14:paraId="6C9D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5B77115A">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6151D4D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中国通信学会</w:t>
            </w:r>
          </w:p>
        </w:tc>
        <w:tc>
          <w:tcPr>
            <w:tcW w:w="9130" w:type="dxa"/>
            <w:noWrap w:val="0"/>
            <w:vAlign w:val="center"/>
          </w:tcPr>
          <w:p w14:paraId="2521F78C">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12.6月27日举办第七届中国数字普惠金融大会，邀请政府部门、权威专家解读数字普惠金融相关政策，分享数字普惠金融成功案例和实践经验等。</w:t>
            </w:r>
          </w:p>
        </w:tc>
        <w:tc>
          <w:tcPr>
            <w:tcW w:w="1661" w:type="dxa"/>
            <w:noWrap w:val="0"/>
            <w:vAlign w:val="center"/>
          </w:tcPr>
          <w:p w14:paraId="0A1AB44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江艾芸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13301189133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刘璇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18610311896</w:t>
            </w:r>
          </w:p>
        </w:tc>
      </w:tr>
      <w:tr w14:paraId="22F5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restart"/>
            <w:noWrap w:val="0"/>
            <w:vAlign w:val="center"/>
          </w:tcPr>
          <w:p w14:paraId="2C21DB14">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数字化转型</w:t>
            </w:r>
          </w:p>
        </w:tc>
        <w:tc>
          <w:tcPr>
            <w:tcW w:w="2007" w:type="dxa"/>
            <w:noWrap w:val="0"/>
            <w:vAlign w:val="center"/>
          </w:tcPr>
          <w:p w14:paraId="616E5D0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中国电子信息产业发展研究院</w:t>
            </w:r>
          </w:p>
        </w:tc>
        <w:tc>
          <w:tcPr>
            <w:tcW w:w="9130" w:type="dxa"/>
            <w:noWrap w:val="0"/>
            <w:vAlign w:val="center"/>
          </w:tcPr>
          <w:p w14:paraId="22A0729D">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13.开展灯塔工厂数字化建设游学活动，遴选3家国家级灯塔工厂作为参访对象，组织中小企业实地考察智能车间、数字孪生控制中心等场景。</w:t>
            </w:r>
          </w:p>
        </w:tc>
        <w:tc>
          <w:tcPr>
            <w:tcW w:w="1661" w:type="dxa"/>
            <w:noWrap w:val="0"/>
            <w:vAlign w:val="center"/>
          </w:tcPr>
          <w:p w14:paraId="222CC61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安然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0512-66585035</w:t>
            </w:r>
          </w:p>
        </w:tc>
      </w:tr>
      <w:tr w14:paraId="330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312659F7">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6E9D80E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国家工业信息安全发展研究中心</w:t>
            </w:r>
          </w:p>
        </w:tc>
        <w:tc>
          <w:tcPr>
            <w:tcW w:w="9130" w:type="dxa"/>
            <w:noWrap w:val="0"/>
            <w:vAlign w:val="center"/>
          </w:tcPr>
          <w:p w14:paraId="11EAA9EF">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14.依托两化融合公共服务平台（www.cspiii.com），面向全国中小企业免费提供数字化转型“评估诊断+对标引导+解决方案+供需对接”的一站式线上服务。</w:t>
            </w:r>
          </w:p>
        </w:tc>
        <w:tc>
          <w:tcPr>
            <w:tcW w:w="1661" w:type="dxa"/>
            <w:noWrap w:val="0"/>
            <w:vAlign w:val="center"/>
          </w:tcPr>
          <w:p w14:paraId="57808B4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马路遥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010-88686448</w:t>
            </w:r>
          </w:p>
        </w:tc>
      </w:tr>
      <w:tr w14:paraId="2CE7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688CCE82">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3A62EE1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中国电子技术标准化研究院</w:t>
            </w:r>
          </w:p>
        </w:tc>
        <w:tc>
          <w:tcPr>
            <w:tcW w:w="9130" w:type="dxa"/>
            <w:noWrap w:val="0"/>
            <w:vAlign w:val="center"/>
          </w:tcPr>
          <w:p w14:paraId="7DCC7242">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15.开展数字化转型与信安技术应用服务体验活动，举办4场公益课堂，聚焦制造业、电子信息行业数字化转型、制造业质量能力评估、信息安全开展惠企政策宣贯。</w:t>
            </w:r>
          </w:p>
        </w:tc>
        <w:tc>
          <w:tcPr>
            <w:tcW w:w="1661" w:type="dxa"/>
            <w:noWrap w:val="0"/>
            <w:vAlign w:val="center"/>
          </w:tcPr>
          <w:p w14:paraId="00FA543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王盈盈</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010-64102688</w:t>
            </w:r>
          </w:p>
        </w:tc>
      </w:tr>
      <w:tr w14:paraId="2630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16CA0C94">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2B545B0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中国电子产品可靠性与环境试验研究所</w:t>
            </w:r>
          </w:p>
        </w:tc>
        <w:tc>
          <w:tcPr>
            <w:tcW w:w="9130" w:type="dxa"/>
            <w:noWrap w:val="0"/>
            <w:vAlign w:val="center"/>
          </w:tcPr>
          <w:p w14:paraId="7213CB19">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举办产业链供需对接会，聚焦中小企业数字化转型的痛点难点，围绕人工智能、工业软件、机器人等重点领域，搭建“技术交流—需求对接—成果转化”的一站式平台，促进产业链上中下游企业、科研机构、金融机构等各方深度合作与协同创新。</w:t>
            </w:r>
          </w:p>
        </w:tc>
        <w:tc>
          <w:tcPr>
            <w:tcW w:w="1661" w:type="dxa"/>
            <w:noWrap w:val="0"/>
            <w:vAlign w:val="center"/>
          </w:tcPr>
          <w:p w14:paraId="0F8C94C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张来平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020-87234641</w:t>
            </w:r>
          </w:p>
        </w:tc>
      </w:tr>
      <w:tr w14:paraId="6633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5DB8E74B">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11CFBDE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中国机电设备招标中心</w:t>
            </w:r>
          </w:p>
        </w:tc>
        <w:tc>
          <w:tcPr>
            <w:tcW w:w="9130" w:type="dxa"/>
            <w:noWrap w:val="0"/>
            <w:vAlign w:val="center"/>
          </w:tcPr>
          <w:p w14:paraId="0181F632">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17.在湖北组织中小企业数字化转型专题活动，邀请专家、重点企业、服务机构等介绍数字化转型相关政策、应用场景、解决方案，并组织开展数字化转型服务供需对接，提供专家咨询、测试评价、人才培训等服务。</w:t>
            </w:r>
          </w:p>
        </w:tc>
        <w:tc>
          <w:tcPr>
            <w:tcW w:w="1661" w:type="dxa"/>
            <w:noWrap w:val="0"/>
            <w:vAlign w:val="center"/>
          </w:tcPr>
          <w:p w14:paraId="03ED50D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谢士琴</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010-88485011</w:t>
            </w:r>
          </w:p>
        </w:tc>
      </w:tr>
      <w:tr w14:paraId="3832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43456EDC">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117B18A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中国互联网络信息中心</w:t>
            </w:r>
          </w:p>
        </w:tc>
        <w:tc>
          <w:tcPr>
            <w:tcW w:w="9130" w:type="dxa"/>
            <w:noWrap w:val="0"/>
            <w:vAlign w:val="center"/>
          </w:tcPr>
          <w:p w14:paraId="3AF822FA">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18.开展互联网基础资源益企惠企活动，2025年6月至2026年12月，国内中小企业可免费新注册国家顶级域名，同时可免费申请国家顶级域名相关配套服务，并联合国家顶级域名注册服务机构以优惠价格提供主机、建站、邮箱等数字化产品和服务。</w:t>
            </w:r>
          </w:p>
        </w:tc>
        <w:tc>
          <w:tcPr>
            <w:tcW w:w="1661" w:type="dxa"/>
            <w:noWrap w:val="0"/>
            <w:vAlign w:val="center"/>
          </w:tcPr>
          <w:p w14:paraId="360E10CC">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李珂</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010-59116303</w:t>
            </w:r>
          </w:p>
        </w:tc>
      </w:tr>
      <w:tr w14:paraId="176A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5469DF08">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7AB5D17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工业和信息化部威海电子信息技术综合研究中心</w:t>
            </w:r>
          </w:p>
        </w:tc>
        <w:tc>
          <w:tcPr>
            <w:tcW w:w="9130" w:type="dxa"/>
            <w:noWrap w:val="0"/>
            <w:vAlign w:val="center"/>
          </w:tcPr>
          <w:p w14:paraId="15BC354F">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19.开展中小企业政策解读，举办3场活动，线下线上同步直播，通过专家答疑、“一对一”诊断咨询等形式，对中小企业数字化转型、绿色工厂等政策进行解读。</w:t>
            </w:r>
          </w:p>
        </w:tc>
        <w:tc>
          <w:tcPr>
            <w:tcW w:w="1661" w:type="dxa"/>
            <w:noWrap w:val="0"/>
            <w:vAlign w:val="center"/>
          </w:tcPr>
          <w:p w14:paraId="6CB3CC9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崔洪涛</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0631-3809899</w:t>
            </w:r>
          </w:p>
        </w:tc>
      </w:tr>
      <w:tr w14:paraId="09C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restart"/>
            <w:noWrap w:val="0"/>
            <w:vAlign w:val="center"/>
          </w:tcPr>
          <w:p w14:paraId="3AF35918">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技术赋能</w:t>
            </w:r>
          </w:p>
        </w:tc>
        <w:tc>
          <w:tcPr>
            <w:tcW w:w="2007" w:type="dxa"/>
            <w:noWrap w:val="0"/>
            <w:vAlign w:val="center"/>
          </w:tcPr>
          <w:p w14:paraId="0646F2E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中国电子信息产业发展研究院</w:t>
            </w:r>
          </w:p>
        </w:tc>
        <w:tc>
          <w:tcPr>
            <w:tcW w:w="9130" w:type="dxa"/>
            <w:noWrap w:val="0"/>
            <w:vAlign w:val="center"/>
          </w:tcPr>
          <w:p w14:paraId="59D4E17F">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20.开展“智造未来：AI技术赋能制造业”主题沙龙，邀请行业专家，聚焦AI质检、预测性维护、智能排产等核心技术，围绕“AI+制造”应用场景开展政策解读与技术研讨。</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21.举办人工智能标杆企业考察和经验推广活动，联合标杆企业在杭州人工智能小镇设立专题展区，帮助企业直观了解AI技术应用价值，并举办“AI技术需求诊断”专场，邀请专家团队提供免费咨询服务。</w:t>
            </w:r>
          </w:p>
        </w:tc>
        <w:tc>
          <w:tcPr>
            <w:tcW w:w="1661" w:type="dxa"/>
            <w:noWrap w:val="0"/>
            <w:vAlign w:val="center"/>
          </w:tcPr>
          <w:p w14:paraId="0A84365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安然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0512-66585035</w:t>
            </w:r>
          </w:p>
        </w:tc>
      </w:tr>
      <w:tr w14:paraId="3F19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52889E63">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1D8C97D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中国电子产品可靠性与环境试验研究所</w:t>
            </w:r>
          </w:p>
        </w:tc>
        <w:tc>
          <w:tcPr>
            <w:tcW w:w="9130" w:type="dxa"/>
            <w:noWrap w:val="0"/>
            <w:vAlign w:val="center"/>
          </w:tcPr>
          <w:p w14:paraId="449F5273">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22.依托电子信息中小企业公共服务平台等，开放共享检验检测设备、科研数据等实验室资源，为中小企业提供可靠性设计、质量检测、试验、认证等综合性技术服务。依托质量品牌公共服务平台、云上赛宝等，举办公益技术培训活动，支撑企业质量提升、技术创新。</w:t>
            </w:r>
          </w:p>
        </w:tc>
        <w:tc>
          <w:tcPr>
            <w:tcW w:w="1661" w:type="dxa"/>
            <w:noWrap w:val="0"/>
            <w:vAlign w:val="center"/>
          </w:tcPr>
          <w:p w14:paraId="48E54BE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张来平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020-87234641</w:t>
            </w:r>
          </w:p>
        </w:tc>
      </w:tr>
      <w:tr w14:paraId="3EB0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3087CFF6">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4689BB9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2051D1C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国际经济技术合作中心</w:t>
            </w:r>
          </w:p>
        </w:tc>
        <w:tc>
          <w:tcPr>
            <w:tcW w:w="9130" w:type="dxa"/>
            <w:noWrap w:val="0"/>
            <w:vAlign w:val="center"/>
          </w:tcPr>
          <w:p w14:paraId="5FD90A54">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23.在河北、山东、江西、海南、甘肃、福建等地组织“工业设计服务地方行”活动，进地方、进园区、进企业，通过政策宣贯、企业对接、出海服务推介等方式，引导支持企业提升工业设计能力。</w:t>
            </w:r>
          </w:p>
        </w:tc>
        <w:tc>
          <w:tcPr>
            <w:tcW w:w="1661" w:type="dxa"/>
            <w:noWrap w:val="0"/>
            <w:vAlign w:val="center"/>
          </w:tcPr>
          <w:p w14:paraId="1603A54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田斌</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010-68200616</w:t>
            </w:r>
          </w:p>
        </w:tc>
      </w:tr>
      <w:tr w14:paraId="57A6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5728251C">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20529A4C">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中国电子学会</w:t>
            </w:r>
          </w:p>
        </w:tc>
        <w:tc>
          <w:tcPr>
            <w:tcW w:w="9130" w:type="dxa"/>
            <w:noWrap w:val="0"/>
            <w:vAlign w:val="center"/>
          </w:tcPr>
          <w:p w14:paraId="5C825476">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24.开展消费电子产品检验检测服务活动，通过线下沙龙等方式为企业提供检验检测、技术研发、计量认证、产业咨询、技术成果转化推广等服务。</w:t>
            </w:r>
          </w:p>
        </w:tc>
        <w:tc>
          <w:tcPr>
            <w:tcW w:w="1661" w:type="dxa"/>
            <w:noWrap w:val="0"/>
            <w:vAlign w:val="center"/>
          </w:tcPr>
          <w:p w14:paraId="32ECC8F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司德昱</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010-59570578</w:t>
            </w:r>
          </w:p>
        </w:tc>
      </w:tr>
      <w:tr w14:paraId="2533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47D3198A">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7EDF7F8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中国中小企业协会</w:t>
            </w:r>
          </w:p>
        </w:tc>
        <w:tc>
          <w:tcPr>
            <w:tcW w:w="9130" w:type="dxa"/>
            <w:noWrap w:val="0"/>
            <w:vAlign w:val="center"/>
          </w:tcPr>
          <w:p w14:paraId="4472743B">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25.开展文心赋能中小企业专项行动计划，联合百度提供文心大模型技术资源包，发布AI线上公开课及线下开发实践workshop，免费为企业提供AI培训。</w:t>
            </w:r>
          </w:p>
        </w:tc>
        <w:tc>
          <w:tcPr>
            <w:tcW w:w="1661" w:type="dxa"/>
            <w:noWrap w:val="0"/>
            <w:vAlign w:val="center"/>
          </w:tcPr>
          <w:p w14:paraId="34007AC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孙佳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010-88653639</w:t>
            </w:r>
          </w:p>
        </w:tc>
      </w:tr>
      <w:tr w14:paraId="2567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restart"/>
            <w:noWrap w:val="0"/>
            <w:vAlign w:val="center"/>
          </w:tcPr>
          <w:p w14:paraId="67F76A2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管理提升</w:t>
            </w:r>
          </w:p>
        </w:tc>
        <w:tc>
          <w:tcPr>
            <w:tcW w:w="2007" w:type="dxa"/>
            <w:noWrap w:val="0"/>
            <w:vAlign w:val="center"/>
          </w:tcPr>
          <w:p w14:paraId="0EB71AC3">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国家工业信息安全发展研究中心</w:t>
            </w:r>
          </w:p>
        </w:tc>
        <w:tc>
          <w:tcPr>
            <w:tcW w:w="9130" w:type="dxa"/>
            <w:noWrap w:val="0"/>
            <w:vAlign w:val="center"/>
          </w:tcPr>
          <w:p w14:paraId="542D74A1">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26.举办中小企业网络安全“充电站”活动，通过网络安全一堂课、一本手册、一系列公益服务，为中小企业解读网络安全形势、政策要求，并提供免费资产暴露面监测、免费漏洞查询等服务，帮助企业筑牢网络安全防护屏障。</w:t>
            </w:r>
          </w:p>
        </w:tc>
        <w:tc>
          <w:tcPr>
            <w:tcW w:w="1661" w:type="dxa"/>
            <w:noWrap w:val="0"/>
            <w:vAlign w:val="center"/>
          </w:tcPr>
          <w:p w14:paraId="79E31A7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陈柯宇</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18813159211</w:t>
            </w:r>
          </w:p>
        </w:tc>
      </w:tr>
      <w:tr w14:paraId="1BFE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48AD0B93">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1A9C915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中国电子产品可靠性与环境试验研究所</w:t>
            </w:r>
          </w:p>
        </w:tc>
        <w:tc>
          <w:tcPr>
            <w:tcW w:w="9130" w:type="dxa"/>
            <w:noWrap w:val="0"/>
            <w:vAlign w:val="center"/>
          </w:tcPr>
          <w:p w14:paraId="07102D0D">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27.通过质量可靠性整体解决方案TSQ免费开展企业“把脉问诊”活动及工业节能诊断服务，组建专家团队深入企业调研诊断，推动中小企业优化管理流程，实现绿色化转型升级和可持续发展。</w:t>
            </w:r>
          </w:p>
        </w:tc>
        <w:tc>
          <w:tcPr>
            <w:tcW w:w="1661" w:type="dxa"/>
            <w:noWrap w:val="0"/>
            <w:vAlign w:val="center"/>
          </w:tcPr>
          <w:p w14:paraId="5CECAFA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张来平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020-87234641</w:t>
            </w:r>
          </w:p>
        </w:tc>
      </w:tr>
      <w:tr w14:paraId="6AD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77717D5F">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238BD67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32F99CC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工业文化发展中心</w:t>
            </w:r>
          </w:p>
        </w:tc>
        <w:tc>
          <w:tcPr>
            <w:tcW w:w="9130" w:type="dxa"/>
            <w:noWrap w:val="0"/>
            <w:vAlign w:val="center"/>
          </w:tcPr>
          <w:p w14:paraId="1756F1D8">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28.开展中小企业管理会计义诊活动，为中小企业搭建“政产学研金服用”综合平台，普及管理会计理念，梳理企业财务管理的痛点难点问题，制定管理提升方案等。</w:t>
            </w:r>
          </w:p>
          <w:p w14:paraId="20F1E851">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29.举办AI驱动中小企业精细化管理特色活动，通过入企调研、专家分享、AI应用案例解读等方式，邀请行业专家与企业高管共同探讨AI在供应链优化、智能决策支持等场景的应用路径，并组织深入标杆企业车间，实地观摩AI驱动的精益生产流程与智能管理系统。</w:t>
            </w:r>
          </w:p>
        </w:tc>
        <w:tc>
          <w:tcPr>
            <w:tcW w:w="1661" w:type="dxa"/>
            <w:noWrap w:val="0"/>
            <w:vAlign w:val="center"/>
          </w:tcPr>
          <w:p w14:paraId="2B569DCC">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石凌雁</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010-68209942</w:t>
            </w:r>
          </w:p>
          <w:p w14:paraId="01ECE0C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周思源</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010-68209942</w:t>
            </w:r>
          </w:p>
        </w:tc>
      </w:tr>
      <w:tr w14:paraId="07AF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2BF159EE">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7C38B66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中国工信出版传媒集团有限责任公司（人民邮电出版社）</w:t>
            </w:r>
          </w:p>
        </w:tc>
        <w:tc>
          <w:tcPr>
            <w:tcW w:w="9130" w:type="dxa"/>
            <w:noWrap w:val="0"/>
            <w:vAlign w:val="center"/>
          </w:tcPr>
          <w:p w14:paraId="48E39323">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30.开展全国中小企业“出版+”知识赋能工程，为中小企业提供出版咨询、出版流程科普、定制发展书单等精准、多元的出版文化服务，并为中小企业提供图书优惠购买活动。</w:t>
            </w:r>
          </w:p>
        </w:tc>
        <w:tc>
          <w:tcPr>
            <w:tcW w:w="1661" w:type="dxa"/>
            <w:noWrap w:val="0"/>
            <w:vAlign w:val="center"/>
          </w:tcPr>
          <w:p w14:paraId="6AF4F2BA">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周葛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010-81055085</w:t>
            </w:r>
          </w:p>
        </w:tc>
      </w:tr>
      <w:tr w14:paraId="00FF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 w:hRule="atLeast"/>
          <w:jc w:val="center"/>
        </w:trPr>
        <w:tc>
          <w:tcPr>
            <w:tcW w:w="1375" w:type="dxa"/>
            <w:vMerge w:val="continue"/>
            <w:noWrap w:val="0"/>
            <w:vAlign w:val="center"/>
          </w:tcPr>
          <w:p w14:paraId="4B16DD00">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7821209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中国中小企业协会</w:t>
            </w:r>
          </w:p>
        </w:tc>
        <w:tc>
          <w:tcPr>
            <w:tcW w:w="9130" w:type="dxa"/>
            <w:noWrap w:val="0"/>
            <w:vAlign w:val="center"/>
          </w:tcPr>
          <w:p w14:paraId="463B8F18">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31.6月中下旬在成都、上海开展知识产权赋能活动，邀请知识产权领域专家解读政策、分享案例，帮助企业筑牢产权保护屏障、运用知识产权实现创新突破。</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32.6月27日在深圳开展研发费管理中的大数据分析与智能应用活动，通过经验分享、互动交流，帮助企业充分挖掘大数据与智能技术在研发费管理中的创新应用场景。</w:t>
            </w:r>
          </w:p>
        </w:tc>
        <w:tc>
          <w:tcPr>
            <w:tcW w:w="1661" w:type="dxa"/>
            <w:noWrap w:val="0"/>
            <w:vAlign w:val="center"/>
          </w:tcPr>
          <w:p w14:paraId="5994906B">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宋绍波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010-88653611</w:t>
            </w:r>
          </w:p>
        </w:tc>
      </w:tr>
      <w:tr w14:paraId="2114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6" w:hRule="atLeast"/>
          <w:jc w:val="center"/>
        </w:trPr>
        <w:tc>
          <w:tcPr>
            <w:tcW w:w="1375" w:type="dxa"/>
            <w:vMerge w:val="restart"/>
            <w:noWrap w:val="0"/>
            <w:vAlign w:val="center"/>
          </w:tcPr>
          <w:p w14:paraId="0B02F67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出海服务</w:t>
            </w:r>
          </w:p>
        </w:tc>
        <w:tc>
          <w:tcPr>
            <w:tcW w:w="2007" w:type="dxa"/>
            <w:noWrap w:val="0"/>
            <w:vAlign w:val="center"/>
          </w:tcPr>
          <w:p w14:paraId="1E5FEBD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中国信息通信研究院</w:t>
            </w:r>
          </w:p>
        </w:tc>
        <w:tc>
          <w:tcPr>
            <w:tcW w:w="9130" w:type="dxa"/>
            <w:noWrap w:val="0"/>
            <w:vAlign w:val="center"/>
          </w:tcPr>
          <w:p w14:paraId="6B1063E3">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33.举办信息通信产品出海认证专场讲座，通过视频直播或录播形式，聚焦信息通信产品出海的主要检测认证体系，解读CE、FCC认证、蓝牙及Wi-Fi相关技术现况与认证要求、USB-C接口电子产品合规要点与出口认证要求，推动企业信息通信产品顺利出海。</w:t>
            </w:r>
          </w:p>
        </w:tc>
        <w:tc>
          <w:tcPr>
            <w:tcW w:w="1661" w:type="dxa"/>
            <w:noWrap w:val="0"/>
            <w:vAlign w:val="center"/>
          </w:tcPr>
          <w:p w14:paraId="7B862F3A">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卢博</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13811272423</w:t>
            </w:r>
          </w:p>
        </w:tc>
      </w:tr>
      <w:tr w14:paraId="2737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78A46D80">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05FF4C9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中国中小企业发展促进中心</w:t>
            </w:r>
          </w:p>
        </w:tc>
        <w:tc>
          <w:tcPr>
            <w:tcW w:w="9130" w:type="dxa"/>
            <w:noWrap w:val="0"/>
            <w:vAlign w:val="center"/>
          </w:tcPr>
          <w:p w14:paraId="34093836">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34.开展中国中小企业“走出去”万帆耘海行动，邀请境内外专家、中小企业，针对出海盲点、痛点、难点开展线下主题宣讲和线上交流直播，并根据活动举办地重点产业，提前收集海外订单向中小企业发布。</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35.在第二十届中国国际中小企业博览会期间，举办国际科技成果交流对接、“一月一链”融资路演、人工智能赋能新型工业化、APEC中小企业产业集群发展对接研讨会等活动。</w:t>
            </w:r>
          </w:p>
        </w:tc>
        <w:tc>
          <w:tcPr>
            <w:tcW w:w="1661" w:type="dxa"/>
            <w:noWrap w:val="0"/>
            <w:vAlign w:val="center"/>
          </w:tcPr>
          <w:p w14:paraId="14812F73">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王洪文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010-82292529</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肖谦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010-82292039</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吴冠妍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010-82292031</w:t>
            </w:r>
          </w:p>
        </w:tc>
      </w:tr>
      <w:tr w14:paraId="42DB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28F99092">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4C1BB203">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工业和信息化部</w:t>
            </w:r>
          </w:p>
          <w:p w14:paraId="6936771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国际经济技术合作中心</w:t>
            </w:r>
          </w:p>
        </w:tc>
        <w:tc>
          <w:tcPr>
            <w:tcW w:w="9130" w:type="dxa"/>
            <w:noWrap w:val="0"/>
            <w:vAlign w:val="center"/>
          </w:tcPr>
          <w:p w14:paraId="7799A369">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36.6月中旬在深圳开展中小企业“走出去”辅导与出海对接会、中小企业融资对接与境外上市研讨会等活动，通过政策解读、主题演讲、分组研讨、资源对接，助力中小企业对接海外资源。</w:t>
            </w:r>
          </w:p>
        </w:tc>
        <w:tc>
          <w:tcPr>
            <w:tcW w:w="1661" w:type="dxa"/>
            <w:noWrap w:val="0"/>
            <w:vAlign w:val="center"/>
          </w:tcPr>
          <w:p w14:paraId="03AF15E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萨楚拉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 010-68207917</w:t>
            </w:r>
          </w:p>
        </w:tc>
      </w:tr>
      <w:tr w14:paraId="792D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40CF34F0">
            <w:pPr>
              <w:jc w:val="center"/>
              <w:rPr>
                <w:rFonts w:hint="default" w:ascii="Times New Roman" w:hAnsi="Times New Roman" w:eastAsia="仿宋_GB2312" w:cs="Times New Roman"/>
                <w:sz w:val="24"/>
                <w:szCs w:val="24"/>
                <w:lang w:val="en-US" w:eastAsia="zh-CN"/>
              </w:rPr>
            </w:pPr>
          </w:p>
        </w:tc>
        <w:tc>
          <w:tcPr>
            <w:tcW w:w="2007" w:type="dxa"/>
            <w:noWrap w:val="0"/>
            <w:vAlign w:val="center"/>
          </w:tcPr>
          <w:p w14:paraId="69D1E71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中国企业评价协会</w:t>
            </w:r>
          </w:p>
        </w:tc>
        <w:tc>
          <w:tcPr>
            <w:tcW w:w="9130" w:type="dxa"/>
            <w:noWrap w:val="0"/>
            <w:vAlign w:val="center"/>
          </w:tcPr>
          <w:p w14:paraId="69A54CA8">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37.开展中小企业出海培训与发展支持活动，线上与线下培训相结合，选派出海领域资深专家、外交事务专家，开展出海实战培训与出海能力评估，帮助企业提升国际化意识和能力。</w:t>
            </w:r>
          </w:p>
        </w:tc>
        <w:tc>
          <w:tcPr>
            <w:tcW w:w="1661" w:type="dxa"/>
            <w:noWrap w:val="0"/>
            <w:vAlign w:val="center"/>
          </w:tcPr>
          <w:p w14:paraId="3AF900A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王鑫</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010-52932023转727</w:t>
            </w:r>
          </w:p>
        </w:tc>
      </w:tr>
      <w:tr w14:paraId="6F5F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restart"/>
            <w:noWrap w:val="0"/>
            <w:vAlign w:val="center"/>
          </w:tcPr>
          <w:p w14:paraId="221DDA9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合规管理</w:t>
            </w:r>
          </w:p>
        </w:tc>
        <w:tc>
          <w:tcPr>
            <w:tcW w:w="2007" w:type="dxa"/>
            <w:noWrap w:val="0"/>
            <w:vAlign w:val="center"/>
          </w:tcPr>
          <w:p w14:paraId="519D1E1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中国信息通信研究院</w:t>
            </w:r>
          </w:p>
        </w:tc>
        <w:tc>
          <w:tcPr>
            <w:tcW w:w="9130" w:type="dxa"/>
            <w:noWrap w:val="0"/>
            <w:vAlign w:val="center"/>
          </w:tcPr>
          <w:p w14:paraId="3A131196">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38.开展突发环境事件的管理和要求培训，采用线上培训的方式，帮助企业了解企业突发环境事件基本知识、风险评估及预案管理。</w:t>
            </w:r>
          </w:p>
        </w:tc>
        <w:tc>
          <w:tcPr>
            <w:tcW w:w="1661" w:type="dxa"/>
            <w:noWrap w:val="0"/>
            <w:vAlign w:val="center"/>
          </w:tcPr>
          <w:p w14:paraId="41D3BACA">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王红娟</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010-82051623</w:t>
            </w:r>
          </w:p>
        </w:tc>
      </w:tr>
      <w:tr w14:paraId="684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375" w:type="dxa"/>
            <w:vMerge w:val="continue"/>
            <w:noWrap w:val="0"/>
            <w:vAlign w:val="center"/>
          </w:tcPr>
          <w:p w14:paraId="472B7FFC">
            <w:pPr>
              <w:rPr>
                <w:rFonts w:hint="default" w:ascii="Times New Roman" w:hAnsi="Times New Roman" w:eastAsia="仿宋_GB2312" w:cs="Times New Roman"/>
                <w:sz w:val="24"/>
                <w:szCs w:val="24"/>
                <w:lang w:val="en-US" w:eastAsia="zh-CN"/>
              </w:rPr>
            </w:pPr>
          </w:p>
        </w:tc>
        <w:tc>
          <w:tcPr>
            <w:tcW w:w="2007" w:type="dxa"/>
            <w:noWrap w:val="0"/>
            <w:vAlign w:val="center"/>
          </w:tcPr>
          <w:p w14:paraId="3775AAC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中国中小企业协会</w:t>
            </w:r>
          </w:p>
        </w:tc>
        <w:tc>
          <w:tcPr>
            <w:tcW w:w="9130" w:type="dxa"/>
            <w:noWrap w:val="0"/>
            <w:vAlign w:val="center"/>
          </w:tcPr>
          <w:p w14:paraId="11E62EA7">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39.开展金财赋能中小企业财务合规专项计划，聚焦会计合规、资金合规、税务合规、内控合规四个领域，通过10场公益直播培训，促进企业提升财务合规水平。</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40.开展用好破产法纾困中小企业债务困境主题沙龙，邀请知名破产法专家、投行专业人士在线讲解“企业破产法”如何帮助中小企业债务纾困、“投行重整”模式如何助力中小企业破茧重生等内容，并开通企业咨询服务热线。</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41.开展“中小企业法律财税风险防范与合规管理”知识讲座，通过案例分析和专业指导，对金税四期解读，帮助中小企业了解法律财税风险，提供风险防范策略。</w:t>
            </w:r>
          </w:p>
        </w:tc>
        <w:tc>
          <w:tcPr>
            <w:tcW w:w="1661" w:type="dxa"/>
            <w:noWrap w:val="0"/>
            <w:vAlign w:val="center"/>
          </w:tcPr>
          <w:p w14:paraId="2DB2C93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孙佳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010-88653639</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侯萌萌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010-88653592</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张少苹 </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010-88653663</w:t>
            </w:r>
          </w:p>
        </w:tc>
      </w:tr>
      <w:tr w14:paraId="2FE9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75" w:type="dxa"/>
            <w:vMerge w:val="continue"/>
            <w:noWrap w:val="0"/>
            <w:vAlign w:val="center"/>
          </w:tcPr>
          <w:p w14:paraId="1E23DF0C">
            <w:pPr>
              <w:rPr>
                <w:rFonts w:hint="default" w:ascii="Times New Roman" w:hAnsi="Times New Roman" w:eastAsia="仿宋_GB2312" w:cs="Times New Roman"/>
                <w:sz w:val="24"/>
                <w:szCs w:val="24"/>
                <w:lang w:val="en-US" w:eastAsia="zh-CN"/>
              </w:rPr>
            </w:pPr>
          </w:p>
        </w:tc>
        <w:tc>
          <w:tcPr>
            <w:tcW w:w="2007" w:type="dxa"/>
            <w:vMerge w:val="restart"/>
            <w:noWrap w:val="0"/>
            <w:vAlign w:val="center"/>
          </w:tcPr>
          <w:p w14:paraId="13D368B4">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中国企业评价协会</w:t>
            </w:r>
          </w:p>
        </w:tc>
        <w:tc>
          <w:tcPr>
            <w:tcW w:w="9130" w:type="dxa"/>
            <w:vMerge w:val="restart"/>
            <w:noWrap w:val="0"/>
            <w:vAlign w:val="center"/>
          </w:tcPr>
          <w:p w14:paraId="250E4466">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42.开展中小企业合规管理提升专项服务，组织中小企业合规管理公益培训，解读劳动用工、数据安全、反商业贿赂等常见领域合规风险及案例，并开展中小企业合规管理体系公益诊断。</w:t>
            </w:r>
          </w:p>
        </w:tc>
        <w:tc>
          <w:tcPr>
            <w:tcW w:w="1661" w:type="dxa"/>
            <w:vMerge w:val="restart"/>
            <w:noWrap w:val="0"/>
            <w:vAlign w:val="center"/>
          </w:tcPr>
          <w:p w14:paraId="5586F308">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王鑫</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010-52932023转727</w:t>
            </w:r>
          </w:p>
        </w:tc>
      </w:tr>
      <w:tr w14:paraId="0798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75" w:type="dxa"/>
            <w:vMerge w:val="continue"/>
            <w:noWrap w:val="0"/>
            <w:vAlign w:val="center"/>
          </w:tcPr>
          <w:p w14:paraId="2CBB72B4">
            <w:pPr>
              <w:jc w:val="center"/>
              <w:rPr>
                <w:rFonts w:hint="default" w:ascii="Times New Roman" w:hAnsi="Times New Roman" w:eastAsia="仿宋_GB2312" w:cs="Times New Roman"/>
                <w:sz w:val="24"/>
                <w:szCs w:val="24"/>
              </w:rPr>
            </w:pPr>
          </w:p>
        </w:tc>
        <w:tc>
          <w:tcPr>
            <w:tcW w:w="2007" w:type="dxa"/>
            <w:vMerge w:val="continue"/>
            <w:noWrap w:val="0"/>
            <w:vAlign w:val="center"/>
          </w:tcPr>
          <w:p w14:paraId="3A4C90AD">
            <w:pPr>
              <w:jc w:val="center"/>
              <w:rPr>
                <w:rFonts w:hint="default" w:ascii="Times New Roman" w:hAnsi="Times New Roman" w:eastAsia="仿宋_GB2312" w:cs="Times New Roman"/>
                <w:sz w:val="24"/>
                <w:szCs w:val="24"/>
              </w:rPr>
            </w:pPr>
          </w:p>
        </w:tc>
        <w:tc>
          <w:tcPr>
            <w:tcW w:w="9130" w:type="dxa"/>
            <w:vMerge w:val="continue"/>
            <w:noWrap w:val="0"/>
            <w:vAlign w:val="center"/>
          </w:tcPr>
          <w:p w14:paraId="587BF9AB">
            <w:pPr>
              <w:jc w:val="both"/>
              <w:rPr>
                <w:rFonts w:hint="default" w:ascii="Times New Roman" w:hAnsi="Times New Roman" w:eastAsia="仿宋_GB2312" w:cs="Times New Roman"/>
                <w:sz w:val="24"/>
                <w:szCs w:val="24"/>
              </w:rPr>
            </w:pPr>
          </w:p>
        </w:tc>
        <w:tc>
          <w:tcPr>
            <w:tcW w:w="1661" w:type="dxa"/>
            <w:vMerge w:val="continue"/>
            <w:noWrap w:val="0"/>
            <w:vAlign w:val="center"/>
          </w:tcPr>
          <w:p w14:paraId="42F744C4">
            <w:pPr>
              <w:jc w:val="center"/>
              <w:rPr>
                <w:rFonts w:hint="default" w:ascii="Times New Roman" w:hAnsi="Times New Roman" w:eastAsia="仿宋_GB2312" w:cs="Times New Roman"/>
                <w:sz w:val="24"/>
                <w:szCs w:val="24"/>
              </w:rPr>
            </w:pPr>
          </w:p>
        </w:tc>
      </w:tr>
      <w:tr w14:paraId="791D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75" w:type="dxa"/>
            <w:vMerge w:val="continue"/>
            <w:noWrap w:val="0"/>
            <w:vAlign w:val="center"/>
          </w:tcPr>
          <w:p w14:paraId="651BF986">
            <w:pPr>
              <w:jc w:val="center"/>
              <w:rPr>
                <w:rFonts w:hint="default" w:ascii="Times New Roman" w:hAnsi="Times New Roman" w:eastAsia="仿宋_GB2312" w:cs="Times New Roman"/>
                <w:sz w:val="24"/>
                <w:szCs w:val="24"/>
              </w:rPr>
            </w:pPr>
          </w:p>
        </w:tc>
        <w:tc>
          <w:tcPr>
            <w:tcW w:w="2007" w:type="dxa"/>
            <w:vMerge w:val="continue"/>
            <w:noWrap w:val="0"/>
            <w:vAlign w:val="center"/>
          </w:tcPr>
          <w:p w14:paraId="3D4B9EF1">
            <w:pPr>
              <w:jc w:val="center"/>
              <w:rPr>
                <w:rFonts w:hint="default" w:ascii="Times New Roman" w:hAnsi="Times New Roman" w:eastAsia="仿宋_GB2312" w:cs="Times New Roman"/>
                <w:sz w:val="24"/>
                <w:szCs w:val="24"/>
              </w:rPr>
            </w:pPr>
          </w:p>
        </w:tc>
        <w:tc>
          <w:tcPr>
            <w:tcW w:w="9130" w:type="dxa"/>
            <w:vMerge w:val="continue"/>
            <w:noWrap w:val="0"/>
            <w:vAlign w:val="center"/>
          </w:tcPr>
          <w:p w14:paraId="1CA1F62F">
            <w:pPr>
              <w:jc w:val="both"/>
              <w:rPr>
                <w:rFonts w:hint="default" w:ascii="Times New Roman" w:hAnsi="Times New Roman" w:eastAsia="仿宋_GB2312" w:cs="Times New Roman"/>
                <w:sz w:val="24"/>
                <w:szCs w:val="24"/>
              </w:rPr>
            </w:pPr>
          </w:p>
        </w:tc>
        <w:tc>
          <w:tcPr>
            <w:tcW w:w="1661" w:type="dxa"/>
            <w:vMerge w:val="continue"/>
            <w:noWrap w:val="0"/>
            <w:vAlign w:val="center"/>
          </w:tcPr>
          <w:p w14:paraId="226B2D26">
            <w:pPr>
              <w:jc w:val="center"/>
              <w:rPr>
                <w:rFonts w:hint="default" w:ascii="Times New Roman" w:hAnsi="Times New Roman" w:eastAsia="仿宋_GB2312" w:cs="Times New Roman"/>
                <w:sz w:val="24"/>
                <w:szCs w:val="24"/>
              </w:rPr>
            </w:pPr>
          </w:p>
        </w:tc>
      </w:tr>
      <w:tr w14:paraId="56F7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75" w:type="dxa"/>
            <w:vMerge w:val="continue"/>
            <w:noWrap w:val="0"/>
            <w:vAlign w:val="center"/>
          </w:tcPr>
          <w:p w14:paraId="67E0A442">
            <w:pPr>
              <w:jc w:val="center"/>
              <w:rPr>
                <w:rFonts w:hint="default" w:ascii="Times New Roman" w:hAnsi="Times New Roman" w:eastAsia="仿宋_GB2312" w:cs="Times New Roman"/>
                <w:sz w:val="24"/>
                <w:szCs w:val="24"/>
              </w:rPr>
            </w:pPr>
          </w:p>
        </w:tc>
        <w:tc>
          <w:tcPr>
            <w:tcW w:w="2007" w:type="dxa"/>
            <w:vMerge w:val="continue"/>
            <w:noWrap w:val="0"/>
            <w:vAlign w:val="center"/>
          </w:tcPr>
          <w:p w14:paraId="1C773A11">
            <w:pPr>
              <w:jc w:val="center"/>
              <w:rPr>
                <w:rFonts w:hint="default" w:ascii="Times New Roman" w:hAnsi="Times New Roman" w:eastAsia="仿宋_GB2312" w:cs="Times New Roman"/>
                <w:sz w:val="24"/>
                <w:szCs w:val="24"/>
              </w:rPr>
            </w:pPr>
          </w:p>
        </w:tc>
        <w:tc>
          <w:tcPr>
            <w:tcW w:w="9130" w:type="dxa"/>
            <w:vMerge w:val="continue"/>
            <w:noWrap w:val="0"/>
            <w:vAlign w:val="center"/>
          </w:tcPr>
          <w:p w14:paraId="551C7844">
            <w:pPr>
              <w:jc w:val="both"/>
              <w:rPr>
                <w:rFonts w:hint="default" w:ascii="Times New Roman" w:hAnsi="Times New Roman" w:eastAsia="仿宋_GB2312" w:cs="Times New Roman"/>
                <w:sz w:val="24"/>
                <w:szCs w:val="24"/>
              </w:rPr>
            </w:pPr>
          </w:p>
        </w:tc>
        <w:tc>
          <w:tcPr>
            <w:tcW w:w="1661" w:type="dxa"/>
            <w:vMerge w:val="continue"/>
            <w:noWrap w:val="0"/>
            <w:vAlign w:val="center"/>
          </w:tcPr>
          <w:p w14:paraId="4025205C">
            <w:pPr>
              <w:jc w:val="center"/>
              <w:rPr>
                <w:rFonts w:hint="default" w:ascii="Times New Roman" w:hAnsi="Times New Roman" w:eastAsia="仿宋_GB2312" w:cs="Times New Roman"/>
                <w:sz w:val="24"/>
                <w:szCs w:val="24"/>
              </w:rPr>
            </w:pPr>
          </w:p>
        </w:tc>
      </w:tr>
    </w:tbl>
    <w:p w14:paraId="7D039FE1"/>
    <w:sectPr>
      <w:headerReference r:id="rId3" w:type="default"/>
      <w:footerReference r:id="rId4" w:type="default"/>
      <w:pgSz w:w="16838" w:h="11906" w:orient="landscape"/>
      <w:pgMar w:top="1440" w:right="1800" w:bottom="1134" w:left="1800" w:header="851" w:footer="850"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AB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6EDF5D">
                          <w:pPr>
                            <w:pStyle w:val="2"/>
                            <w:rPr>
                              <w:rFonts w:hint="default" w:ascii="Times New Roman" w:hAnsi="Times New Roman" w:eastAsia="宋体" w:cs="Times New Roman"/>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3A6EDF5D">
                    <w:pPr>
                      <w:pStyle w:val="2"/>
                      <w:rPr>
                        <w:rFonts w:hint="default" w:ascii="Times New Roman" w:hAnsi="Times New Roman" w:eastAsia="宋体" w:cs="Times New Roman"/>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53E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CE4AF"/>
    <w:rsid w:val="037E8CDE"/>
    <w:rsid w:val="1FAB92E5"/>
    <w:rsid w:val="1FD56599"/>
    <w:rsid w:val="1FECE4AF"/>
    <w:rsid w:val="2ADA2DF7"/>
    <w:rsid w:val="2F7FAAD8"/>
    <w:rsid w:val="3ABDF79E"/>
    <w:rsid w:val="3CE342AB"/>
    <w:rsid w:val="3F1F7698"/>
    <w:rsid w:val="553F7ABA"/>
    <w:rsid w:val="5ADE4A33"/>
    <w:rsid w:val="5BDB9423"/>
    <w:rsid w:val="5DE7D556"/>
    <w:rsid w:val="5F391A03"/>
    <w:rsid w:val="5F5F4D3D"/>
    <w:rsid w:val="5F6E0EAE"/>
    <w:rsid w:val="5FFFB02E"/>
    <w:rsid w:val="67FF355A"/>
    <w:rsid w:val="6EC5260F"/>
    <w:rsid w:val="6FF5AF92"/>
    <w:rsid w:val="6FF7C44F"/>
    <w:rsid w:val="73A702E6"/>
    <w:rsid w:val="76FBD206"/>
    <w:rsid w:val="77FB44FF"/>
    <w:rsid w:val="78FA8BB4"/>
    <w:rsid w:val="79CE3E79"/>
    <w:rsid w:val="7B7DD59D"/>
    <w:rsid w:val="7DA90337"/>
    <w:rsid w:val="7EFF9419"/>
    <w:rsid w:val="7FDEA1D8"/>
    <w:rsid w:val="7FFF43E4"/>
    <w:rsid w:val="9ADE9F9C"/>
    <w:rsid w:val="9EBD16DC"/>
    <w:rsid w:val="9FFF1BA9"/>
    <w:rsid w:val="AFF95D54"/>
    <w:rsid w:val="BB7D7A48"/>
    <w:rsid w:val="BEB34727"/>
    <w:rsid w:val="BF7BE3E1"/>
    <w:rsid w:val="BFEF8344"/>
    <w:rsid w:val="BFF7955D"/>
    <w:rsid w:val="D97BB913"/>
    <w:rsid w:val="DEF59EA9"/>
    <w:rsid w:val="EFFF8634"/>
    <w:rsid w:val="F33FD4C1"/>
    <w:rsid w:val="F9DA5F21"/>
    <w:rsid w:val="FAF3B04F"/>
    <w:rsid w:val="FBFF831E"/>
    <w:rsid w:val="FC3D2AB3"/>
    <w:rsid w:val="FD8B8348"/>
    <w:rsid w:val="FDF9F481"/>
    <w:rsid w:val="FDFDCCEE"/>
    <w:rsid w:val="FE3DD691"/>
    <w:rsid w:val="FEF9A76C"/>
    <w:rsid w:val="FF37184F"/>
    <w:rsid w:val="FF6FC9CF"/>
    <w:rsid w:val="FFD91AEE"/>
    <w:rsid w:val="FFF91E2E"/>
    <w:rsid w:val="FFFE8CD3"/>
    <w:rsid w:val="FFFEE7D8"/>
    <w:rsid w:val="FFFF336E"/>
    <w:rsid w:val="FFFFD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customStyle="1" w:styleId="6">
    <w:name w:val="font01"/>
    <w:basedOn w:val="5"/>
    <w:uiPriority w:val="0"/>
    <w:rPr>
      <w:rFonts w:hint="eastAsia" w:ascii="仿宋_GB2312" w:eastAsia="仿宋_GB2312" w:cs="仿宋_GB2312"/>
      <w:color w:val="000000"/>
      <w:sz w:val="28"/>
      <w:szCs w:val="28"/>
      <w:u w:val="none"/>
    </w:rPr>
  </w:style>
  <w:style w:type="character" w:customStyle="1" w:styleId="7">
    <w:name w:val="font51"/>
    <w:basedOn w:val="5"/>
    <w:uiPriority w:val="0"/>
    <w:rPr>
      <w:rFonts w:hint="eastAsia" w:ascii="黑体" w:hAnsi="宋体" w:eastAsia="黑体" w:cs="黑体"/>
      <w:color w:val="000000"/>
      <w:sz w:val="28"/>
      <w:szCs w:val="28"/>
      <w:u w:val="none"/>
    </w:rPr>
  </w:style>
  <w:style w:type="character" w:customStyle="1" w:styleId="8">
    <w:name w:val="font121"/>
    <w:basedOn w:val="5"/>
    <w:uiPriority w:val="0"/>
    <w:rPr>
      <w:rFonts w:hint="default" w:ascii="Times New Roman" w:hAnsi="Times New Roman" w:cs="Times New Roman"/>
      <w:color w:val="000000"/>
      <w:sz w:val="28"/>
      <w:szCs w:val="28"/>
      <w:u w:val="none"/>
    </w:rPr>
  </w:style>
  <w:style w:type="character" w:customStyle="1" w:styleId="9">
    <w:name w:val="font131"/>
    <w:basedOn w:val="5"/>
    <w:uiPriority w:val="0"/>
    <w:rPr>
      <w:rFonts w:hint="default" w:ascii="Times New Roman" w:hAnsi="Times New Roman" w:cs="Times New Roman"/>
      <w:color w:val="000000"/>
      <w:sz w:val="28"/>
      <w:szCs w:val="28"/>
      <w:u w:val="none"/>
    </w:rPr>
  </w:style>
  <w:style w:type="character" w:customStyle="1" w:styleId="10">
    <w:name w:val="font31"/>
    <w:basedOn w:val="5"/>
    <w:uiPriority w:val="0"/>
    <w:rPr>
      <w:rFonts w:hint="eastAsia" w:ascii="仿宋_GB2312" w:eastAsia="仿宋_GB2312" w:cs="仿宋_GB2312"/>
      <w:color w:val="000000"/>
      <w:sz w:val="28"/>
      <w:szCs w:val="28"/>
      <w:u w:val="none"/>
    </w:rPr>
  </w:style>
  <w:style w:type="character" w:customStyle="1" w:styleId="11">
    <w:name w:val="font151"/>
    <w:basedOn w:val="5"/>
    <w:uiPriority w:val="0"/>
    <w:rPr>
      <w:rFonts w:ascii="仿宋_GB2312" w:eastAsia="仿宋_GB2312" w:cs="仿宋_GB2312"/>
      <w:color w:val="000000"/>
      <w:sz w:val="28"/>
      <w:szCs w:val="28"/>
      <w:u w:val="none"/>
    </w:rPr>
  </w:style>
  <w:style w:type="character" w:customStyle="1" w:styleId="12">
    <w:name w:val="font21"/>
    <w:basedOn w:val="5"/>
    <w:uiPriority w:val="0"/>
    <w:rPr>
      <w:rFonts w:hint="eastAsia" w:ascii="仿宋_GB2312" w:eastAsia="仿宋_GB2312" w:cs="仿宋_GB2312"/>
      <w:color w:val="000000"/>
      <w:sz w:val="28"/>
      <w:szCs w:val="28"/>
      <w:u w:val="none"/>
    </w:rPr>
  </w:style>
  <w:style w:type="character" w:customStyle="1" w:styleId="13">
    <w:name w:val="font11"/>
    <w:basedOn w:val="5"/>
    <w:uiPriority w:val="0"/>
    <w:rPr>
      <w:rFonts w:hint="eastAsia" w:ascii="宋体" w:hAnsi="宋体" w:eastAsia="宋体" w:cs="宋体"/>
      <w:color w:val="000000"/>
      <w:sz w:val="28"/>
      <w:szCs w:val="28"/>
      <w:u w:val="none"/>
    </w:rPr>
  </w:style>
  <w:style w:type="character" w:customStyle="1" w:styleId="14">
    <w:name w:val="font81"/>
    <w:basedOn w:val="5"/>
    <w:uiPriority w:val="0"/>
    <w:rPr>
      <w:rFonts w:hint="eastAsia" w:ascii="仿宋_GB2312" w:eastAsia="仿宋_GB2312" w:cs="仿宋_GB2312"/>
      <w:color w:val="000000"/>
      <w:sz w:val="28"/>
      <w:szCs w:val="28"/>
      <w:u w:val="none"/>
    </w:rPr>
  </w:style>
  <w:style w:type="character" w:customStyle="1" w:styleId="15">
    <w:name w:val="font71"/>
    <w:basedOn w:val="5"/>
    <w:uiPriority w:val="0"/>
    <w:rPr>
      <w:rFonts w:hint="default" w:ascii="Times New Roman" w:hAnsi="Times New Roman" w:cs="Times New Roman"/>
      <w:color w:val="000000"/>
      <w:sz w:val="28"/>
      <w:szCs w:val="28"/>
      <w:u w:val="none"/>
    </w:rPr>
  </w:style>
  <w:style w:type="character" w:customStyle="1" w:styleId="16">
    <w:name w:val="font41"/>
    <w:basedOn w:val="5"/>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4317</Words>
  <Characters>4975</Characters>
  <Lines>0</Lines>
  <Paragraphs>0</Paragraphs>
  <TotalTime>3.66666666666667</TotalTime>
  <ScaleCrop>false</ScaleCrop>
  <LinksUpToDate>false</LinksUpToDate>
  <CharactersWithSpaces>5009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2025-05-28T10:12:00Z</dcterms:created>
  <dc:creator>赵晨宇</dc:creator>
  <cp:lastModifiedBy>卓天网络</cp:lastModifiedBy>
  <dcterms:modified xsi:type="dcterms:W3CDTF">2025-05-31T07:27:23Z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hmcheck_markmode">
    <vt:r8>0</vt:r8>
  </property>
  <property fmtid="{D5CDD505-2E9C-101B-9397-08002B2CF9AE}" pid="4" name="hmcheck_taskpanetype">
    <vt:r8>1</vt:r8>
  </property>
  <property fmtid="{D5CDD505-2E9C-101B-9397-08002B2CF9AE}" pid="5" name="ICV">
    <vt:lpwstr>F6EBD3CA33CE4CD7BB510AE77AF77EE5_13</vt:lpwstr>
  </property>
</Properties>
</file>