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AF9B6">
      <w:pPr>
        <w:rPr>
          <w:rFonts w:hint="default" w:ascii="Nimbus Roman" w:hAnsi="Nimbus Roman" w:eastAsia="黑体" w:cs="Nimbus Roman"/>
        </w:rPr>
      </w:pPr>
      <w:bookmarkStart w:id="9" w:name="_GoBack"/>
      <w:bookmarkEnd w:id="9"/>
      <w:r>
        <w:rPr>
          <w:rFonts w:hint="default" w:ascii="Nimbus Roman" w:hAnsi="Nimbus Roman" w:eastAsia="黑体" w:cs="Nimbus Roman"/>
        </w:rPr>
        <w:t>附件1</w:t>
      </w:r>
    </w:p>
    <w:p w14:paraId="3115F19F">
      <w:pPr>
        <w:rPr>
          <w:rFonts w:hint="default" w:ascii="Nimbus Roman" w:hAnsi="Nimbus Roman" w:cs="Nimbus Roman"/>
        </w:rPr>
      </w:pPr>
    </w:p>
    <w:p w14:paraId="35918948">
      <w:pPr>
        <w:adjustRightInd w:val="0"/>
        <w:snapToGrid w:val="0"/>
        <w:spacing w:line="600" w:lineRule="exact"/>
        <w:jc w:val="center"/>
        <w:rPr>
          <w:rFonts w:hint="default" w:ascii="Nimbus Roman" w:hAnsi="Nimbus Roman" w:eastAsia="方正小标宋简体" w:cs="Nimbus Roman"/>
          <w:spacing w:val="-6"/>
          <w:sz w:val="44"/>
          <w:szCs w:val="44"/>
        </w:rPr>
      </w:pPr>
      <w:r>
        <w:rPr>
          <w:rFonts w:hint="default" w:ascii="Nimbus Roman" w:hAnsi="Nimbus Roman" w:eastAsia="方正小标宋简体" w:cs="Nimbus Roman"/>
          <w:sz w:val="44"/>
          <w:szCs w:val="44"/>
        </w:rPr>
        <w:t>第十届“创客中国”陕西省中小企业</w:t>
      </w:r>
      <w:r>
        <w:rPr>
          <w:rFonts w:hint="default" w:ascii="Nimbus Roman" w:hAnsi="Nimbus Roman" w:eastAsia="方正小标宋简体" w:cs="Nimbus Roman"/>
          <w:spacing w:val="-6"/>
          <w:sz w:val="44"/>
          <w:szCs w:val="44"/>
        </w:rPr>
        <w:t>创新</w:t>
      </w:r>
    </w:p>
    <w:p w14:paraId="7F7463EA">
      <w:pPr>
        <w:adjustRightInd w:val="0"/>
        <w:snapToGrid w:val="0"/>
        <w:spacing w:line="600" w:lineRule="exact"/>
        <w:jc w:val="center"/>
        <w:rPr>
          <w:rFonts w:hint="default" w:ascii="Nimbus Roman" w:hAnsi="Nimbus Roman" w:eastAsia="方正小标宋简体" w:cs="Nimbus Roman"/>
          <w:spacing w:val="-12"/>
          <w:sz w:val="44"/>
          <w:szCs w:val="44"/>
        </w:rPr>
      </w:pPr>
      <w:r>
        <w:rPr>
          <w:rFonts w:hint="default" w:ascii="Nimbus Roman" w:hAnsi="Nimbus Roman" w:eastAsia="方正小标宋简体" w:cs="Nimbus Roman"/>
          <w:spacing w:val="-12"/>
          <w:sz w:val="44"/>
          <w:szCs w:val="44"/>
        </w:rPr>
        <w:t>创业大赛暨第七届“创客陕西”中小企业</w:t>
      </w:r>
    </w:p>
    <w:p w14:paraId="5A6CF2A3">
      <w:pPr>
        <w:adjustRightInd w:val="0"/>
        <w:snapToGrid w:val="0"/>
        <w:spacing w:line="600" w:lineRule="exact"/>
        <w:jc w:val="center"/>
        <w:rPr>
          <w:rFonts w:hint="default" w:ascii="Nimbus Roman" w:hAnsi="Nimbus Roman" w:eastAsia="方正小标宋简体" w:cs="Nimbus Roman"/>
          <w:sz w:val="44"/>
          <w:szCs w:val="44"/>
        </w:rPr>
      </w:pPr>
      <w:r>
        <w:rPr>
          <w:rFonts w:hint="default" w:ascii="Nimbus Roman" w:hAnsi="Nimbus Roman" w:eastAsia="方正小标宋简体" w:cs="Nimbus Roman"/>
          <w:sz w:val="44"/>
          <w:szCs w:val="44"/>
        </w:rPr>
        <w:t>创新创业大赛活动方案</w:t>
      </w:r>
    </w:p>
    <w:p w14:paraId="0A8AAF89">
      <w:pPr>
        <w:adjustRightInd w:val="0"/>
        <w:snapToGrid w:val="0"/>
        <w:spacing w:line="600" w:lineRule="exact"/>
        <w:ind w:firstLine="640" w:firstLineChars="200"/>
        <w:rPr>
          <w:rFonts w:hint="default" w:ascii="Nimbus Roman" w:hAnsi="Nimbus Roman" w:eastAsia="仿宋_GB2312" w:cs="Nimbus Roman"/>
        </w:rPr>
      </w:pPr>
    </w:p>
    <w:p w14:paraId="2D773454">
      <w:pPr>
        <w:snapToGrid w:val="0"/>
        <w:spacing w:line="600" w:lineRule="exact"/>
        <w:ind w:firstLine="640" w:firstLineChars="200"/>
        <w:rPr>
          <w:rFonts w:hint="default" w:ascii="Nimbus Roman" w:hAnsi="Nimbus Roman" w:eastAsia="黑体" w:cs="Nimbus Roman"/>
        </w:rPr>
      </w:pPr>
      <w:r>
        <w:rPr>
          <w:rFonts w:hint="default" w:ascii="Nimbus Roman" w:hAnsi="Nimbus Roman" w:eastAsia="黑体" w:cs="Nimbus Roman"/>
        </w:rPr>
        <w:t>一、大赛主旨</w:t>
      </w:r>
    </w:p>
    <w:p w14:paraId="6329E61C">
      <w:pPr>
        <w:snapToGrid w:val="0"/>
        <w:spacing w:line="600" w:lineRule="exact"/>
        <w:ind w:firstLine="640" w:firstLineChars="200"/>
        <w:rPr>
          <w:rFonts w:hint="default" w:ascii="Nimbus Roman" w:hAnsi="Nimbus Roman" w:eastAsia="仿宋_GB2312" w:cs="Nimbus Roman"/>
        </w:rPr>
      </w:pPr>
      <w:r>
        <w:rPr>
          <w:rFonts w:hint="default" w:ascii="Nimbus Roman" w:hAnsi="Nimbus Roman" w:eastAsia="仿宋_GB2312" w:cs="Nimbus Roman"/>
        </w:rPr>
        <w:t>围绕产业链，部署创新链，配置资金链，培育人才链</w:t>
      </w:r>
    </w:p>
    <w:p w14:paraId="6588AE48">
      <w:pPr>
        <w:snapToGrid w:val="0"/>
        <w:spacing w:line="600" w:lineRule="exact"/>
        <w:ind w:firstLine="640" w:firstLineChars="200"/>
        <w:rPr>
          <w:rFonts w:hint="default" w:ascii="Nimbus Roman" w:hAnsi="Nimbus Roman" w:eastAsia="黑体" w:cs="Nimbus Roman"/>
        </w:rPr>
      </w:pPr>
      <w:r>
        <w:rPr>
          <w:rFonts w:hint="default" w:ascii="Nimbus Roman" w:hAnsi="Nimbus Roman" w:eastAsia="黑体" w:cs="Nimbus Roman"/>
        </w:rPr>
        <w:t>二、组织机构</w:t>
      </w:r>
    </w:p>
    <w:p w14:paraId="2C684CC9">
      <w:pPr>
        <w:snapToGrid w:val="0"/>
        <w:spacing w:line="600" w:lineRule="exact"/>
        <w:ind w:firstLine="640" w:firstLineChars="200"/>
        <w:rPr>
          <w:rFonts w:hint="default" w:ascii="Nimbus Roman" w:hAnsi="Nimbus Roman" w:eastAsia="仿宋_GB2312" w:cs="Nimbus Roman"/>
        </w:rPr>
      </w:pPr>
      <w:r>
        <w:rPr>
          <w:rFonts w:hint="default" w:ascii="Nimbus Roman" w:hAnsi="Nimbus Roman" w:eastAsia="仿宋_GB2312" w:cs="Nimbus Roman"/>
        </w:rPr>
        <w:t>大赛成立领导小组，负责赛事的组织实施。组长单位为省工业和信息化厅、省财政厅，成员单位包括各设区市工信局、财政局，杨凌示范区工业和商务局、财政局。</w:t>
      </w:r>
    </w:p>
    <w:p w14:paraId="4BD376AD">
      <w:pPr>
        <w:pStyle w:val="2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hint="default" w:ascii="Nimbus Roman" w:hAnsi="Nimbus Roman" w:eastAsia="仿宋_GB2312" w:cs="Nimbus Roman"/>
          <w:sz w:val="32"/>
          <w:szCs w:val="32"/>
        </w:rPr>
      </w:pPr>
      <w:r>
        <w:rPr>
          <w:rFonts w:hint="default" w:ascii="Nimbus Roman" w:hAnsi="Nimbus Roman" w:eastAsia="仿宋_GB2312" w:cs="Nimbus Roman"/>
          <w:sz w:val="32"/>
          <w:szCs w:val="32"/>
        </w:rPr>
        <w:t>领导小组下设秘书处，设在省工业和信息化厅县域工业处，负责统筹推进大赛相关事项，联系专家评审委员会，承担赛事组织协调、宣传推广、技术保障和成果转化等工作。</w:t>
      </w:r>
    </w:p>
    <w:p w14:paraId="17E576C9">
      <w:pPr>
        <w:pStyle w:val="2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hint="default" w:ascii="Nimbus Roman" w:hAnsi="Nimbus Roman" w:eastAsia="仿宋_GB2312" w:cs="Nimbus Roman"/>
          <w:sz w:val="32"/>
          <w:szCs w:val="32"/>
        </w:rPr>
      </w:pPr>
      <w:r>
        <w:rPr>
          <w:rFonts w:hint="default" w:ascii="Nimbus Roman" w:hAnsi="Nimbus Roman" w:eastAsia="仿宋_GB2312" w:cs="Nimbus Roman"/>
          <w:sz w:val="32"/>
          <w:szCs w:val="32"/>
        </w:rPr>
        <w:t>大赛设立专家评审委员会，负责提供咨询服务、完善项目评审规则等工作。</w:t>
      </w:r>
    </w:p>
    <w:p w14:paraId="636D337E">
      <w:pPr>
        <w:snapToGrid w:val="0"/>
        <w:spacing w:line="600" w:lineRule="exact"/>
        <w:ind w:firstLine="640" w:firstLineChars="200"/>
        <w:rPr>
          <w:rFonts w:hint="default" w:ascii="Nimbus Roman" w:hAnsi="Nimbus Roman" w:eastAsia="黑体" w:cs="Nimbus Roman"/>
        </w:rPr>
      </w:pPr>
      <w:r>
        <w:rPr>
          <w:rFonts w:hint="default" w:ascii="Nimbus Roman" w:hAnsi="Nimbus Roman" w:eastAsia="黑体" w:cs="Nimbus Roman"/>
        </w:rPr>
        <w:t>三、组织单位</w:t>
      </w:r>
    </w:p>
    <w:p w14:paraId="32229CC6">
      <w:pPr>
        <w:snapToGrid w:val="0"/>
        <w:spacing w:line="600" w:lineRule="exact"/>
        <w:ind w:firstLine="643" w:firstLineChars="200"/>
        <w:rPr>
          <w:rFonts w:hint="default" w:ascii="Nimbus Roman" w:hAnsi="Nimbus Roman" w:eastAsia="楷体_GB2312" w:cs="Nimbus Roman"/>
          <w:b/>
        </w:rPr>
      </w:pPr>
      <w:r>
        <w:rPr>
          <w:rFonts w:hint="default" w:ascii="Nimbus Roman" w:hAnsi="Nimbus Roman" w:eastAsia="楷体_GB2312" w:cs="Nimbus Roman"/>
          <w:b/>
        </w:rPr>
        <w:t>（一）省级初赛、复赛及决赛组织单位</w:t>
      </w:r>
    </w:p>
    <w:p w14:paraId="422DFF88">
      <w:pPr>
        <w:snapToGrid w:val="0"/>
        <w:spacing w:line="600" w:lineRule="exact"/>
        <w:ind w:firstLine="640" w:firstLineChars="200"/>
        <w:rPr>
          <w:rFonts w:hint="default" w:ascii="Nimbus Roman" w:hAnsi="Nimbus Roman" w:eastAsia="仿宋_GB2312" w:cs="Nimbus Roman"/>
        </w:rPr>
      </w:pPr>
      <w:r>
        <w:rPr>
          <w:rFonts w:hint="default" w:ascii="Nimbus Roman" w:hAnsi="Nimbus Roman" w:eastAsia="仿宋_GB2312" w:cs="Nimbus Roman"/>
        </w:rPr>
        <w:t>主办单位：省工业和信息化厅、省财政厅</w:t>
      </w:r>
    </w:p>
    <w:p w14:paraId="66EB8AE4">
      <w:pPr>
        <w:snapToGrid w:val="0"/>
        <w:spacing w:line="600" w:lineRule="exact"/>
        <w:ind w:firstLine="643" w:firstLineChars="200"/>
        <w:rPr>
          <w:rFonts w:hint="default" w:ascii="Nimbus Roman" w:hAnsi="Nimbus Roman" w:eastAsia="楷体_GB2312" w:cs="Nimbus Roman"/>
          <w:b/>
        </w:rPr>
      </w:pPr>
      <w:r>
        <w:rPr>
          <w:rFonts w:hint="default" w:ascii="Nimbus Roman" w:hAnsi="Nimbus Roman" w:eastAsia="楷体_GB2312" w:cs="Nimbus Roman"/>
          <w:b/>
        </w:rPr>
        <w:t>（二）区域赛组织单位</w:t>
      </w:r>
    </w:p>
    <w:p w14:paraId="3A401B75">
      <w:pPr>
        <w:snapToGrid w:val="0"/>
        <w:spacing w:line="600" w:lineRule="exact"/>
        <w:ind w:firstLine="640" w:firstLineChars="200"/>
        <w:rPr>
          <w:rFonts w:hint="default" w:ascii="Nimbus Roman" w:hAnsi="Nimbus Roman" w:eastAsia="仿宋_GB2312" w:cs="Nimbus Roman"/>
        </w:rPr>
      </w:pPr>
      <w:r>
        <w:rPr>
          <w:rFonts w:hint="default" w:ascii="Nimbus Roman" w:hAnsi="Nimbus Roman" w:eastAsia="仿宋_GB2312" w:cs="Nimbus Roman"/>
        </w:rPr>
        <w:t>指导单位：省工业和信息化厅、省财政厅</w:t>
      </w:r>
    </w:p>
    <w:p w14:paraId="1765F938">
      <w:pPr>
        <w:snapToGrid w:val="0"/>
        <w:spacing w:line="600" w:lineRule="exact"/>
        <w:ind w:firstLine="640" w:firstLineChars="200"/>
        <w:rPr>
          <w:rFonts w:hint="default" w:ascii="Nimbus Roman" w:hAnsi="Nimbus Roman" w:eastAsia="仿宋_GB2312" w:cs="Nimbus Roman"/>
        </w:rPr>
      </w:pPr>
      <w:r>
        <w:rPr>
          <w:rFonts w:hint="default" w:ascii="Nimbus Roman" w:hAnsi="Nimbus Roman" w:eastAsia="仿宋_GB2312" w:cs="Nimbus Roman"/>
        </w:rPr>
        <w:t>主办单位：各设区市工业和信息化局、财政局，杨凌示范区工业和商务局、财政局</w:t>
      </w:r>
    </w:p>
    <w:p w14:paraId="14FE62B4">
      <w:pPr>
        <w:snapToGrid w:val="0"/>
        <w:spacing w:line="600" w:lineRule="exact"/>
        <w:ind w:firstLine="643" w:firstLineChars="200"/>
        <w:rPr>
          <w:rFonts w:hint="default" w:ascii="Nimbus Roman" w:hAnsi="Nimbus Roman" w:eastAsia="楷体_GB2312" w:cs="Nimbus Roman"/>
          <w:b/>
        </w:rPr>
      </w:pPr>
      <w:r>
        <w:rPr>
          <w:rFonts w:hint="default" w:ascii="Nimbus Roman" w:hAnsi="Nimbus Roman" w:eastAsia="楷体_GB2312" w:cs="Nimbus Roman"/>
          <w:b/>
        </w:rPr>
        <w:t>（三）专题赛组织单位</w:t>
      </w:r>
    </w:p>
    <w:p w14:paraId="4E6F763F">
      <w:pPr>
        <w:snapToGrid w:val="0"/>
        <w:spacing w:line="600" w:lineRule="exact"/>
        <w:ind w:firstLine="640" w:firstLineChars="200"/>
        <w:rPr>
          <w:rFonts w:hint="default" w:ascii="Nimbus Roman" w:hAnsi="Nimbus Roman" w:eastAsia="仿宋_GB2312" w:cs="Nimbus Roman"/>
        </w:rPr>
      </w:pPr>
      <w:r>
        <w:rPr>
          <w:rFonts w:hint="default" w:ascii="Nimbus Roman" w:hAnsi="Nimbus Roman" w:eastAsia="仿宋_GB2312" w:cs="Nimbus Roman"/>
        </w:rPr>
        <w:t>指导单位：省工业和信息化厅、省财政厅</w:t>
      </w:r>
    </w:p>
    <w:p w14:paraId="3966F3F9">
      <w:pPr>
        <w:snapToGrid w:val="0"/>
        <w:spacing w:line="600" w:lineRule="exact"/>
        <w:ind w:firstLine="640" w:firstLineChars="200"/>
        <w:rPr>
          <w:rFonts w:hint="default" w:ascii="Nimbus Roman" w:hAnsi="Nimbus Roman" w:eastAsia="仿宋_GB2312" w:cs="Nimbus Roman"/>
        </w:rPr>
      </w:pPr>
      <w:r>
        <w:rPr>
          <w:rFonts w:hint="default" w:ascii="Nimbus Roman" w:hAnsi="Nimbus Roman" w:eastAsia="仿宋_GB2312" w:cs="Nimbus Roman"/>
        </w:rPr>
        <w:t>主办单位：省内相关科研院所、大专院校、行业协会、社会组织、大型企业，工业园区和小型微型企业创业创新基地等。</w:t>
      </w:r>
    </w:p>
    <w:p w14:paraId="7CA4C7AA">
      <w:pPr>
        <w:snapToGrid w:val="0"/>
        <w:spacing w:line="600" w:lineRule="exact"/>
        <w:ind w:firstLine="640" w:firstLineChars="200"/>
        <w:rPr>
          <w:rFonts w:hint="default" w:ascii="Nimbus Roman" w:hAnsi="Nimbus Roman" w:eastAsia="黑体" w:cs="Nimbus Roman"/>
        </w:rPr>
      </w:pPr>
      <w:r>
        <w:rPr>
          <w:rFonts w:hint="default" w:ascii="Nimbus Roman" w:hAnsi="Nimbus Roman" w:eastAsia="黑体" w:cs="Nimbus Roman"/>
        </w:rPr>
        <w:t>四、赛事安排</w:t>
      </w:r>
    </w:p>
    <w:p w14:paraId="7DE4E4D6">
      <w:pPr>
        <w:snapToGrid w:val="0"/>
        <w:spacing w:line="600" w:lineRule="exact"/>
        <w:ind w:firstLine="643" w:firstLineChars="200"/>
        <w:rPr>
          <w:rFonts w:hint="default" w:ascii="Nimbus Roman" w:hAnsi="Nimbus Roman" w:eastAsia="楷体_GB2312" w:cs="Nimbus Roman"/>
          <w:b/>
        </w:rPr>
      </w:pPr>
      <w:r>
        <w:rPr>
          <w:rFonts w:hint="default" w:ascii="Nimbus Roman" w:hAnsi="Nimbus Roman" w:eastAsia="楷体_GB2312" w:cs="Nimbus Roman"/>
          <w:b/>
        </w:rPr>
        <w:t>（一）赛事组成</w:t>
      </w:r>
    </w:p>
    <w:p w14:paraId="1DC5F767">
      <w:pPr>
        <w:snapToGrid w:val="0"/>
        <w:spacing w:line="600" w:lineRule="exact"/>
        <w:ind w:firstLine="640" w:firstLineChars="200"/>
        <w:rPr>
          <w:rFonts w:hint="default" w:ascii="Nimbus Roman" w:hAnsi="Nimbus Roman" w:eastAsia="仿宋_GB2312" w:cs="Nimbus Roman"/>
        </w:rPr>
      </w:pPr>
      <w:r>
        <w:rPr>
          <w:rFonts w:hint="default" w:ascii="Nimbus Roman" w:hAnsi="Nimbus Roman" w:eastAsia="仿宋_GB2312" w:cs="Nimbus Roman"/>
        </w:rPr>
        <w:t>大赛由市级区域赛、专题赛和省级初赛、复赛、决赛组成。</w:t>
      </w:r>
    </w:p>
    <w:p w14:paraId="37FE69C8">
      <w:pPr>
        <w:snapToGrid w:val="0"/>
        <w:spacing w:line="600" w:lineRule="exact"/>
        <w:ind w:firstLine="640" w:firstLineChars="200"/>
        <w:rPr>
          <w:rFonts w:hint="default" w:ascii="Nimbus Roman" w:hAnsi="Nimbus Roman" w:eastAsia="仿宋_GB2312" w:cs="Nimbus Roman"/>
        </w:rPr>
      </w:pPr>
      <w:r>
        <w:rPr>
          <w:rFonts w:hint="default" w:ascii="Nimbus Roman" w:hAnsi="Nimbus Roman" w:eastAsia="仿宋_GB2312" w:cs="Nimbus Roman"/>
        </w:rPr>
        <w:t>1．市级区域赛着力发掘和推荐各市（区）创新能力较强、发展潜力较大的中小微企业和创业团队。区域赛命名规则：第十届“创客中国”陕西省XX市中小企业创新创业区域赛。</w:t>
      </w:r>
    </w:p>
    <w:p w14:paraId="1B1668FF">
      <w:pPr>
        <w:snapToGrid w:val="0"/>
        <w:spacing w:line="600" w:lineRule="exact"/>
        <w:ind w:firstLine="640" w:firstLineChars="200"/>
        <w:rPr>
          <w:rFonts w:hint="default" w:ascii="Nimbus Roman" w:hAnsi="Nimbus Roman" w:eastAsia="仿宋_GB2312" w:cs="Nimbus Roman"/>
        </w:rPr>
      </w:pPr>
      <w:r>
        <w:rPr>
          <w:rFonts w:hint="default" w:ascii="Nimbus Roman" w:hAnsi="Nimbus Roman" w:eastAsia="仿宋_GB2312" w:cs="Nimbus Roman"/>
        </w:rPr>
        <w:t>2．专题赛围绕智能制造、航空航天、电子信息、新材料等重点的行业，聚焦实体经济和制造业等重点领域关键技术类创新项目。专题赛命名规则：第十届“创客中国”陕西省XX行业/产业 /专题/企业中小企业创新创业大赛。</w:t>
      </w:r>
    </w:p>
    <w:p w14:paraId="25106E61">
      <w:pPr>
        <w:snapToGrid w:val="0"/>
        <w:spacing w:line="600" w:lineRule="exact"/>
        <w:ind w:firstLine="640" w:firstLineChars="200"/>
        <w:rPr>
          <w:rFonts w:hint="default" w:ascii="Nimbus Roman" w:hAnsi="Nimbus Roman" w:eastAsia="仿宋_GB2312" w:cs="Nimbus Roman"/>
        </w:rPr>
      </w:pPr>
      <w:r>
        <w:rPr>
          <w:rFonts w:hint="default" w:ascii="Nimbus Roman" w:hAnsi="Nimbus Roman" w:eastAsia="仿宋_GB2312" w:cs="Nimbus Roman"/>
        </w:rPr>
        <w:t>区域赛和专题赛由主办单位填写《第十届“创客中国”陕西省中小企业创新创业大赛暨第七届“创客陕西”中小企业创新创业大赛申报（备案）表》，于2025年6月15日前向大赛领导小组办公室提出书面申请，经审核同意后纳入大赛。主办单位全权负责赛事赛程、专家评审、奖励激励机制设置及费用筹措等工作，赛事结束后，于2025年8月10日前向领导小组办公室推荐获奖优秀项目。</w:t>
      </w:r>
    </w:p>
    <w:p w14:paraId="3D308D0E">
      <w:pPr>
        <w:snapToGrid w:val="0"/>
        <w:spacing w:line="600" w:lineRule="exact"/>
        <w:ind w:firstLine="640" w:firstLineChars="200"/>
        <w:rPr>
          <w:rFonts w:hint="default" w:ascii="Nimbus Roman" w:hAnsi="Nimbus Roman" w:eastAsia="仿宋_GB2312" w:cs="Nimbus Roman"/>
        </w:rPr>
      </w:pPr>
      <w:r>
        <w:rPr>
          <w:rFonts w:hint="default" w:ascii="Nimbus Roman" w:hAnsi="Nimbus Roman" w:eastAsia="仿宋_GB2312" w:cs="Nimbus Roman"/>
        </w:rPr>
        <w:t>3．省级初（复、决）赛对区域赛和专题赛推荐报名参赛的各类项目进行评审。</w:t>
      </w:r>
    </w:p>
    <w:p w14:paraId="1088EB89">
      <w:pPr>
        <w:snapToGrid w:val="0"/>
        <w:spacing w:line="600" w:lineRule="exact"/>
        <w:ind w:firstLine="643" w:firstLineChars="200"/>
        <w:rPr>
          <w:rFonts w:hint="default" w:ascii="Nimbus Roman" w:hAnsi="Nimbus Roman" w:eastAsia="楷体_GB2312" w:cs="Nimbus Roman"/>
          <w:b/>
        </w:rPr>
      </w:pPr>
      <w:r>
        <w:rPr>
          <w:rFonts w:hint="default" w:ascii="Nimbus Roman" w:hAnsi="Nimbus Roman" w:eastAsia="楷体_GB2312" w:cs="Nimbus Roman"/>
          <w:b/>
        </w:rPr>
        <w:t>（三）时间安排</w:t>
      </w:r>
    </w:p>
    <w:p w14:paraId="2EEF8DED">
      <w:pPr>
        <w:snapToGrid w:val="0"/>
        <w:spacing w:line="600" w:lineRule="exact"/>
        <w:ind w:firstLine="640" w:firstLineChars="200"/>
        <w:rPr>
          <w:rFonts w:hint="default" w:ascii="Nimbus Roman" w:hAnsi="Nimbus Roman" w:eastAsia="仿宋_GB2312" w:cs="Nimbus Roman"/>
        </w:rPr>
      </w:pPr>
      <w:r>
        <w:rPr>
          <w:rFonts w:hint="default" w:ascii="Nimbus Roman" w:hAnsi="Nimbus Roman" w:eastAsia="仿宋_GB2312" w:cs="Nimbus Roman"/>
        </w:rPr>
        <w:t>大赛分为赛前宣传，组织报名，区域（专题）赛，省级初赛、复赛、决赛等阶段进行。</w:t>
      </w:r>
      <w:bookmarkStart w:id="0" w:name="_Toc490731283"/>
    </w:p>
    <w:p w14:paraId="0A1A8D94">
      <w:pPr>
        <w:snapToGrid w:val="0"/>
        <w:spacing w:line="600" w:lineRule="exact"/>
        <w:ind w:firstLine="640" w:firstLineChars="200"/>
        <w:rPr>
          <w:rFonts w:hint="default" w:ascii="Nimbus Roman" w:hAnsi="Nimbus Roman" w:eastAsia="仿宋_GB2312" w:cs="Nimbus Roman"/>
        </w:rPr>
      </w:pPr>
      <w:r>
        <w:rPr>
          <w:rFonts w:hint="default" w:ascii="Nimbus Roman" w:hAnsi="Nimbus Roman" w:eastAsia="仿宋_GB2312" w:cs="Nimbus Roman"/>
        </w:rPr>
        <w:t>1．赛前宣传（2025年5月28日至6月10日）</w:t>
      </w:r>
      <w:bookmarkEnd w:id="0"/>
      <w:r>
        <w:rPr>
          <w:rFonts w:hint="default" w:ascii="Nimbus Roman" w:hAnsi="Nimbus Roman" w:eastAsia="仿宋_GB2312" w:cs="Nimbus Roman"/>
        </w:rPr>
        <w:t>。大赛领导小组办公室依托各类新闻媒体发布信息，大力宣传，鼓励符合条件的企业和创业者踊跃报名。</w:t>
      </w:r>
      <w:bookmarkStart w:id="1" w:name="_Toc490731284"/>
    </w:p>
    <w:p w14:paraId="4B6C5A97">
      <w:pPr>
        <w:snapToGrid w:val="0"/>
        <w:spacing w:line="600" w:lineRule="exact"/>
        <w:ind w:firstLine="640" w:firstLineChars="200"/>
        <w:rPr>
          <w:rFonts w:hint="default" w:ascii="Nimbus Roman" w:hAnsi="Nimbus Roman" w:eastAsia="仿宋_GB2312" w:cs="Nimbus Roman"/>
        </w:rPr>
      </w:pPr>
      <w:r>
        <w:rPr>
          <w:rFonts w:hint="default" w:ascii="Nimbus Roman" w:hAnsi="Nimbus Roman" w:eastAsia="仿宋_GB2312" w:cs="Nimbus Roman"/>
        </w:rPr>
        <w:t>2．组织报名（2025年6月11日至7月10日）</w:t>
      </w:r>
      <w:bookmarkEnd w:id="1"/>
      <w:r>
        <w:rPr>
          <w:rFonts w:hint="default" w:ascii="Nimbus Roman" w:hAnsi="Nimbus Roman" w:eastAsia="仿宋_GB2312" w:cs="Nimbus Roman"/>
        </w:rPr>
        <w:t>。符合条件的企业和创业者均可报名参赛，参赛者通过登陆大赛官网（http://www.cnmaker.org.cn）注册报名。未注册登记的参赛者不得参加大赛。大赛不向参赛者收取任何费用。</w:t>
      </w:r>
      <w:bookmarkStart w:id="2" w:name="_Toc490731285"/>
    </w:p>
    <w:p w14:paraId="56DC6052">
      <w:pPr>
        <w:snapToGrid w:val="0"/>
        <w:spacing w:line="600" w:lineRule="exact"/>
        <w:ind w:firstLine="640" w:firstLineChars="200"/>
        <w:rPr>
          <w:rFonts w:hint="default" w:ascii="Nimbus Roman" w:hAnsi="Nimbus Roman" w:eastAsia="仿宋_GB2312" w:cs="Nimbus Roman"/>
        </w:rPr>
      </w:pPr>
      <w:r>
        <w:rPr>
          <w:rFonts w:hint="default" w:ascii="Nimbus Roman" w:hAnsi="Nimbus Roman" w:eastAsia="仿宋_GB2312" w:cs="Nimbus Roman"/>
        </w:rPr>
        <w:t>3．区域（专题）赛（2025年7月11日至8月10日）</w:t>
      </w:r>
      <w:bookmarkEnd w:id="2"/>
      <w:r>
        <w:rPr>
          <w:rFonts w:hint="default" w:ascii="Nimbus Roman" w:hAnsi="Nimbus Roman" w:eastAsia="仿宋_GB2312" w:cs="Nimbus Roman"/>
        </w:rPr>
        <w:t>。各区域（专题）赛组织赛事，开展赛事实施和执行，向省级大赛推荐项目。</w:t>
      </w:r>
      <w:bookmarkStart w:id="3" w:name="_Toc490731286"/>
    </w:p>
    <w:p w14:paraId="2840F47B">
      <w:pPr>
        <w:snapToGrid w:val="0"/>
        <w:spacing w:line="600" w:lineRule="exact"/>
        <w:ind w:firstLine="640" w:firstLineChars="200"/>
        <w:rPr>
          <w:rFonts w:hint="default" w:ascii="Nimbus Roman" w:hAnsi="Nimbus Roman" w:eastAsia="仿宋_GB2312" w:cs="Nimbus Roman"/>
        </w:rPr>
      </w:pPr>
      <w:r>
        <w:rPr>
          <w:rFonts w:hint="default" w:ascii="Nimbus Roman" w:hAnsi="Nimbus Roman" w:eastAsia="仿宋_GB2312" w:cs="Nimbus Roman"/>
        </w:rPr>
        <w:t>4．省级初赛（复赛）（2024年8月中上旬）</w:t>
      </w:r>
      <w:bookmarkEnd w:id="3"/>
      <w:r>
        <w:rPr>
          <w:rFonts w:hint="default" w:ascii="Nimbus Roman" w:hAnsi="Nimbus Roman" w:eastAsia="仿宋_GB2312" w:cs="Nimbus Roman"/>
        </w:rPr>
        <w:t>。对区域赛和专题赛推荐项目，以及直接报名参加省级初赛的项目，按创业组和企业组通过网评、专家打分形式评出“创客陕西”企业组50强和创业组30强进入复赛。采用“8+4”路演和现场答辩模式进行，即参赛选手项目介绍8分钟，评委提问4分钟。</w:t>
      </w:r>
      <w:bookmarkStart w:id="4" w:name="_Toc490731288"/>
    </w:p>
    <w:p w14:paraId="6198C426">
      <w:pPr>
        <w:widowControl/>
        <w:snapToGrid w:val="0"/>
        <w:spacing w:line="600" w:lineRule="exact"/>
        <w:ind w:firstLine="640" w:firstLineChars="200"/>
        <w:jc w:val="left"/>
        <w:rPr>
          <w:rFonts w:hint="default" w:ascii="Nimbus Roman" w:hAnsi="Nimbus Roman" w:eastAsia="仿宋_GB2312" w:cs="Nimbus Roman"/>
          <w:bCs/>
          <w:kern w:val="0"/>
        </w:rPr>
      </w:pPr>
      <w:r>
        <w:rPr>
          <w:rFonts w:hint="default" w:ascii="Nimbus Roman" w:hAnsi="Nimbus Roman" w:eastAsia="仿宋_GB2312" w:cs="Nimbus Roman"/>
        </w:rPr>
        <w:t>5．省级决赛（2025年8月下旬）</w:t>
      </w:r>
      <w:bookmarkEnd w:id="4"/>
      <w:r>
        <w:rPr>
          <w:rFonts w:hint="default" w:ascii="Nimbus Roman" w:hAnsi="Nimbus Roman" w:eastAsia="仿宋_GB2312" w:cs="Nimbus Roman"/>
        </w:rPr>
        <w:t>。省级复赛企业组前21名，和创业组前15名，共计36个项目进入决赛，决赛通过现场演示和答辩、当场亮分等方式进行项目评审，按得分高低分别产生企业组、创业组一、二、三等奖和优胜奖，</w:t>
      </w:r>
      <w:r>
        <w:rPr>
          <w:rFonts w:hint="default" w:ascii="Nimbus Roman" w:hAnsi="Nimbus Roman" w:eastAsia="仿宋_GB2312" w:cs="Nimbus Roman"/>
          <w:kern w:val="0"/>
          <w:lang w:bidi="ar"/>
        </w:rPr>
        <w:t>并根据全国大赛组委会的要求按照得分名次推荐获奖优秀项目，经组委会秘书处审定后，进入全国企业组500强、创业组300强备选名单</w:t>
      </w:r>
      <w:r>
        <w:rPr>
          <w:rFonts w:hint="default" w:ascii="Nimbus Roman" w:hAnsi="Nimbus Roman" w:eastAsia="仿宋_GB2312" w:cs="Nimbus Roman"/>
          <w:bCs/>
          <w:kern w:val="0"/>
        </w:rPr>
        <w:t>。</w:t>
      </w:r>
    </w:p>
    <w:p w14:paraId="46F221F8">
      <w:pPr>
        <w:snapToGrid w:val="0"/>
        <w:spacing w:line="600" w:lineRule="exact"/>
        <w:ind w:firstLine="640" w:firstLineChars="200"/>
        <w:rPr>
          <w:rFonts w:hint="default" w:ascii="Nimbus Roman" w:hAnsi="Nimbus Roman" w:eastAsia="黑体" w:cs="Nimbus Roman"/>
        </w:rPr>
      </w:pPr>
      <w:bookmarkStart w:id="5" w:name="_Toc4950282"/>
      <w:bookmarkEnd w:id="5"/>
      <w:r>
        <w:rPr>
          <w:rFonts w:hint="default" w:ascii="Nimbus Roman" w:hAnsi="Nimbus Roman" w:eastAsia="黑体" w:cs="Nimbus Roman"/>
        </w:rPr>
        <w:t>五、赛前培训</w:t>
      </w:r>
    </w:p>
    <w:p w14:paraId="308568DD">
      <w:pPr>
        <w:snapToGrid w:val="0"/>
        <w:spacing w:line="600" w:lineRule="exact"/>
        <w:ind w:firstLine="640" w:firstLineChars="200"/>
        <w:rPr>
          <w:rFonts w:hint="default" w:ascii="Nimbus Roman" w:hAnsi="Nimbus Roman" w:eastAsia="仿宋_GB2312" w:cs="Nimbus Roman"/>
        </w:rPr>
      </w:pPr>
      <w:r>
        <w:rPr>
          <w:rFonts w:hint="default" w:ascii="Nimbus Roman" w:hAnsi="Nimbus Roman" w:eastAsia="仿宋_GB2312" w:cs="Nimbus Roman"/>
        </w:rPr>
        <w:t>为确保大赛各参赛项目有良好的呈现，大赛组委会邀请相关创业导师予以赛前培训指导，帮助参赛项目梳理商业模式，完善商业计划书，指导PPT制作及路演答辩，保障各参赛项目在大赛中有良好的表现。</w:t>
      </w:r>
    </w:p>
    <w:p w14:paraId="56D62FDE">
      <w:pPr>
        <w:snapToGrid w:val="0"/>
        <w:spacing w:line="600" w:lineRule="exact"/>
        <w:ind w:firstLine="640" w:firstLineChars="200"/>
        <w:rPr>
          <w:rFonts w:hint="default" w:ascii="Nimbus Roman" w:hAnsi="Nimbus Roman" w:eastAsia="仿宋_GB2312" w:cs="Nimbus Roman"/>
        </w:rPr>
      </w:pPr>
      <w:r>
        <w:rPr>
          <w:rFonts w:hint="default" w:ascii="Nimbus Roman" w:hAnsi="Nimbus Roman" w:eastAsia="仿宋_GB2312" w:cs="Nimbus Roman"/>
        </w:rPr>
        <w:t>赛前培训主要针对复赛及决赛参赛项目开展，具体培训内容如下：</w:t>
      </w:r>
    </w:p>
    <w:p w14:paraId="4CD5BCFC">
      <w:pPr>
        <w:snapToGrid w:val="0"/>
        <w:spacing w:line="600" w:lineRule="exact"/>
        <w:ind w:firstLine="643" w:firstLineChars="200"/>
        <w:rPr>
          <w:rFonts w:hint="default" w:ascii="Nimbus Roman" w:hAnsi="Nimbus Roman" w:eastAsia="楷体_GB2312" w:cs="Nimbus Roman"/>
          <w:b/>
        </w:rPr>
      </w:pPr>
      <w:bookmarkStart w:id="6" w:name="_Toc490731295"/>
      <w:r>
        <w:rPr>
          <w:rFonts w:hint="default" w:ascii="Nimbus Roman" w:hAnsi="Nimbus Roman" w:eastAsia="楷体_GB2312" w:cs="Nimbus Roman"/>
          <w:b/>
        </w:rPr>
        <w:t>（一）集中培训（3天）</w:t>
      </w:r>
      <w:bookmarkEnd w:id="6"/>
    </w:p>
    <w:p w14:paraId="0E64AF95">
      <w:pPr>
        <w:snapToGrid w:val="0"/>
        <w:spacing w:line="600" w:lineRule="exact"/>
        <w:ind w:firstLine="640" w:firstLineChars="200"/>
        <w:rPr>
          <w:rFonts w:hint="default" w:ascii="Nimbus Roman" w:hAnsi="Nimbus Roman" w:eastAsia="仿宋_GB2312" w:cs="Nimbus Roman"/>
        </w:rPr>
      </w:pPr>
      <w:r>
        <w:rPr>
          <w:rFonts w:hint="default" w:ascii="Nimbus Roman" w:hAnsi="Nimbus Roman" w:eastAsia="仿宋_GB2312" w:cs="Nimbus Roman"/>
        </w:rPr>
        <w:t>培训对象：参加复赛的企业组和创业组项目</w:t>
      </w:r>
    </w:p>
    <w:p w14:paraId="50095654">
      <w:pPr>
        <w:adjustRightInd w:val="0"/>
        <w:snapToGrid w:val="0"/>
        <w:spacing w:line="600" w:lineRule="exact"/>
        <w:ind w:firstLine="640" w:firstLineChars="200"/>
        <w:rPr>
          <w:rFonts w:hint="default" w:ascii="Nimbus Roman" w:hAnsi="Nimbus Roman" w:eastAsia="仿宋_GB2312" w:cs="Nimbus Roman"/>
        </w:rPr>
      </w:pPr>
      <w:r>
        <w:rPr>
          <w:rFonts w:hint="default" w:ascii="Nimbus Roman" w:hAnsi="Nimbus Roman" w:eastAsia="仿宋_GB2312" w:cs="Nimbus Roman"/>
        </w:rPr>
        <w:t>培训时间：复赛开赛前5天</w:t>
      </w:r>
    </w:p>
    <w:p w14:paraId="373005EE">
      <w:pPr>
        <w:adjustRightInd w:val="0"/>
        <w:snapToGrid w:val="0"/>
        <w:spacing w:line="600" w:lineRule="exact"/>
        <w:ind w:firstLine="640" w:firstLineChars="200"/>
        <w:rPr>
          <w:rFonts w:hint="default" w:ascii="Nimbus Roman" w:hAnsi="Nimbus Roman" w:eastAsia="仿宋_GB2312" w:cs="Nimbus Roman"/>
        </w:rPr>
      </w:pPr>
      <w:r>
        <w:rPr>
          <w:rFonts w:hint="default" w:ascii="Nimbus Roman" w:hAnsi="Nimbus Roman" w:eastAsia="仿宋_GB2312" w:cs="Nimbus Roman"/>
        </w:rPr>
        <w:t>培训内容：</w:t>
      </w:r>
    </w:p>
    <w:p w14:paraId="7F832E8F">
      <w:pPr>
        <w:numPr>
          <w:ilvl w:val="0"/>
          <w:numId w:val="1"/>
        </w:numPr>
        <w:adjustRightInd w:val="0"/>
        <w:snapToGrid w:val="0"/>
        <w:spacing w:line="600" w:lineRule="exact"/>
        <w:ind w:left="0" w:firstLine="640" w:firstLineChars="200"/>
        <w:rPr>
          <w:rFonts w:hint="default" w:ascii="Nimbus Roman" w:hAnsi="Nimbus Roman" w:eastAsia="仿宋_GB2312" w:cs="Nimbus Roman"/>
        </w:rPr>
      </w:pPr>
      <w:r>
        <w:rPr>
          <w:rFonts w:hint="default" w:ascii="Nimbus Roman" w:hAnsi="Nimbus Roman" w:eastAsia="仿宋_GB2312" w:cs="Nimbus Roman"/>
        </w:rPr>
        <w:t>主要从大赛举办的目的意义展开，明确企业和团队在创业大赛中的历练和成长，帮助企业和团队通过大赛快速提升知名度，梳理商业模式，对接相关资源，帮助项目快速成长。</w:t>
      </w:r>
    </w:p>
    <w:p w14:paraId="1750BBE4">
      <w:pPr>
        <w:numPr>
          <w:ilvl w:val="0"/>
          <w:numId w:val="1"/>
        </w:numPr>
        <w:adjustRightInd w:val="0"/>
        <w:snapToGrid w:val="0"/>
        <w:spacing w:line="600" w:lineRule="exact"/>
        <w:ind w:left="0" w:firstLine="640" w:firstLineChars="200"/>
        <w:rPr>
          <w:rFonts w:hint="default" w:ascii="Nimbus Roman" w:hAnsi="Nimbus Roman" w:eastAsia="仿宋_GB2312" w:cs="Nimbus Roman"/>
        </w:rPr>
      </w:pPr>
      <w:r>
        <w:rPr>
          <w:rFonts w:hint="default" w:ascii="Nimbus Roman" w:hAnsi="Nimbus Roman" w:eastAsia="仿宋_GB2312" w:cs="Nimbus Roman"/>
        </w:rPr>
        <w:t>商业计划书撰写及优化</w:t>
      </w:r>
    </w:p>
    <w:p w14:paraId="3778DC15">
      <w:pPr>
        <w:numPr>
          <w:ilvl w:val="0"/>
          <w:numId w:val="1"/>
        </w:numPr>
        <w:adjustRightInd w:val="0"/>
        <w:snapToGrid w:val="0"/>
        <w:spacing w:line="600" w:lineRule="exact"/>
        <w:ind w:left="0" w:firstLine="640" w:firstLineChars="200"/>
        <w:rPr>
          <w:rFonts w:hint="default" w:ascii="Nimbus Roman" w:hAnsi="Nimbus Roman" w:eastAsia="仿宋_GB2312" w:cs="Nimbus Roman"/>
        </w:rPr>
      </w:pPr>
      <w:r>
        <w:rPr>
          <w:rFonts w:hint="default" w:ascii="Nimbus Roman" w:hAnsi="Nimbus Roman" w:eastAsia="仿宋_GB2312" w:cs="Nimbus Roman"/>
        </w:rPr>
        <w:t>项目路演PPT制作</w:t>
      </w:r>
    </w:p>
    <w:p w14:paraId="7FCAADE1">
      <w:pPr>
        <w:numPr>
          <w:ilvl w:val="0"/>
          <w:numId w:val="1"/>
        </w:numPr>
        <w:adjustRightInd w:val="0"/>
        <w:snapToGrid w:val="0"/>
        <w:spacing w:line="600" w:lineRule="exact"/>
        <w:ind w:left="0" w:firstLine="640" w:firstLineChars="200"/>
        <w:rPr>
          <w:rFonts w:hint="default" w:ascii="Nimbus Roman" w:hAnsi="Nimbus Roman" w:eastAsia="仿宋_GB2312" w:cs="Nimbus Roman"/>
        </w:rPr>
      </w:pPr>
      <w:r>
        <w:rPr>
          <w:rFonts w:hint="default" w:ascii="Nimbus Roman" w:hAnsi="Nimbus Roman" w:eastAsia="仿宋_GB2312" w:cs="Nimbus Roman"/>
        </w:rPr>
        <w:t>路演答辩技巧</w:t>
      </w:r>
    </w:p>
    <w:p w14:paraId="248CF258">
      <w:pPr>
        <w:numPr>
          <w:ilvl w:val="0"/>
          <w:numId w:val="1"/>
        </w:numPr>
        <w:adjustRightInd w:val="0"/>
        <w:snapToGrid w:val="0"/>
        <w:spacing w:line="600" w:lineRule="exact"/>
        <w:ind w:left="0" w:firstLine="640" w:firstLineChars="200"/>
        <w:rPr>
          <w:rFonts w:hint="default" w:ascii="Nimbus Roman" w:hAnsi="Nimbus Roman" w:eastAsia="仿宋_GB2312" w:cs="Nimbus Roman"/>
        </w:rPr>
      </w:pPr>
      <w:r>
        <w:rPr>
          <w:rFonts w:hint="default" w:ascii="Nimbus Roman" w:hAnsi="Nimbus Roman" w:eastAsia="仿宋_GB2312" w:cs="Nimbus Roman"/>
        </w:rPr>
        <w:t>公众演讲能力提升</w:t>
      </w:r>
    </w:p>
    <w:p w14:paraId="6BA88806">
      <w:pPr>
        <w:numPr>
          <w:ilvl w:val="0"/>
          <w:numId w:val="1"/>
        </w:numPr>
        <w:adjustRightInd w:val="0"/>
        <w:snapToGrid w:val="0"/>
        <w:spacing w:line="600" w:lineRule="exact"/>
        <w:ind w:left="0" w:firstLine="640" w:firstLineChars="200"/>
        <w:rPr>
          <w:rFonts w:hint="default" w:ascii="Nimbus Roman" w:hAnsi="Nimbus Roman" w:eastAsia="仿宋_GB2312" w:cs="Nimbus Roman"/>
        </w:rPr>
      </w:pPr>
      <w:r>
        <w:rPr>
          <w:rFonts w:hint="default" w:ascii="Nimbus Roman" w:hAnsi="Nimbus Roman" w:eastAsia="仿宋_GB2312" w:cs="Nimbus Roman"/>
        </w:rPr>
        <w:t>个人形象及礼仪提升</w:t>
      </w:r>
    </w:p>
    <w:p w14:paraId="170E40C9">
      <w:pPr>
        <w:snapToGrid w:val="0"/>
        <w:spacing w:line="600" w:lineRule="exact"/>
        <w:ind w:firstLine="643" w:firstLineChars="200"/>
        <w:rPr>
          <w:rFonts w:hint="default" w:ascii="Nimbus Roman" w:hAnsi="Nimbus Roman" w:eastAsia="楷体_GB2312" w:cs="Nimbus Roman"/>
          <w:b/>
        </w:rPr>
      </w:pPr>
      <w:bookmarkStart w:id="7" w:name="_Toc490731296"/>
      <w:r>
        <w:rPr>
          <w:rFonts w:hint="default" w:ascii="Nimbus Roman" w:hAnsi="Nimbus Roman" w:eastAsia="楷体_GB2312" w:cs="Nimbus Roman"/>
          <w:b/>
        </w:rPr>
        <w:t>（二）一对一辅导（3天）</w:t>
      </w:r>
      <w:bookmarkEnd w:id="7"/>
    </w:p>
    <w:p w14:paraId="21A13C30">
      <w:pPr>
        <w:adjustRightInd w:val="0"/>
        <w:snapToGrid w:val="0"/>
        <w:spacing w:line="600" w:lineRule="exact"/>
        <w:ind w:firstLine="640" w:firstLineChars="200"/>
        <w:rPr>
          <w:rFonts w:hint="default" w:ascii="Nimbus Roman" w:hAnsi="Nimbus Roman" w:eastAsia="仿宋_GB2312" w:cs="Nimbus Roman"/>
        </w:rPr>
      </w:pPr>
      <w:r>
        <w:rPr>
          <w:rFonts w:hint="default" w:ascii="Nimbus Roman" w:hAnsi="Nimbus Roman" w:eastAsia="仿宋_GB2312" w:cs="Nimbus Roman"/>
        </w:rPr>
        <w:t>培训对象：参加决赛的创业组及企业组项目</w:t>
      </w:r>
    </w:p>
    <w:p w14:paraId="57CE6421">
      <w:pPr>
        <w:adjustRightInd w:val="0"/>
        <w:snapToGrid w:val="0"/>
        <w:spacing w:line="600" w:lineRule="exact"/>
        <w:ind w:firstLine="640" w:firstLineChars="200"/>
        <w:rPr>
          <w:rFonts w:hint="default" w:ascii="Nimbus Roman" w:hAnsi="Nimbus Roman" w:eastAsia="仿宋_GB2312" w:cs="Nimbus Roman"/>
        </w:rPr>
      </w:pPr>
      <w:r>
        <w:rPr>
          <w:rFonts w:hint="default" w:ascii="Nimbus Roman" w:hAnsi="Nimbus Roman" w:eastAsia="仿宋_GB2312" w:cs="Nimbus Roman"/>
        </w:rPr>
        <w:t>培训时间：决赛开赛前5天</w:t>
      </w:r>
    </w:p>
    <w:p w14:paraId="432A5DE3">
      <w:pPr>
        <w:adjustRightInd w:val="0"/>
        <w:snapToGrid w:val="0"/>
        <w:spacing w:line="600" w:lineRule="exact"/>
        <w:ind w:firstLine="640" w:firstLineChars="200"/>
        <w:rPr>
          <w:rFonts w:hint="default" w:ascii="Nimbus Roman" w:hAnsi="Nimbus Roman" w:eastAsia="仿宋_GB2312" w:cs="Nimbus Roman"/>
        </w:rPr>
      </w:pPr>
      <w:r>
        <w:rPr>
          <w:rFonts w:hint="default" w:ascii="Nimbus Roman" w:hAnsi="Nimbus Roman" w:eastAsia="仿宋_GB2312" w:cs="Nimbus Roman"/>
        </w:rPr>
        <w:t>培训内容：通过与项目团队深入沟通，挖掘项目亮点，梳理商业模式，指导项目路演PPT制作要点，突出项目重点和亮点，以实战演练的方式，不断提升个人演讲能力，指导项目路演及答辩技巧。</w:t>
      </w:r>
      <w:bookmarkStart w:id="8" w:name="_Toc490731298"/>
    </w:p>
    <w:bookmarkEnd w:id="8"/>
    <w:p w14:paraId="43A92A0F">
      <w:pPr>
        <w:rPr>
          <w:rFonts w:hint="default" w:ascii="Nimbus Roman" w:hAnsi="Nimbus Roman" w:cs="Nimbus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imbus Roman">
    <w:altName w:val="Segoe Print"/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313B9C"/>
    <w:multiLevelType w:val="multilevel"/>
    <w:tmpl w:val="53313B9C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2FF151"/>
    <w:rsid w:val="4CF3573C"/>
    <w:rsid w:val="71BEFFDE"/>
    <w:rsid w:val="7F2FF1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1826</Words>
  <Characters>1900</Characters>
  <Lines>0</Lines>
  <Paragraphs>0</Paragraphs>
  <TotalTime>0</TotalTime>
  <ScaleCrop>false</ScaleCrop>
  <LinksUpToDate>false</LinksUpToDate>
  <CharactersWithSpaces>1901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2025-05-30T15:30:00Z</dcterms:created>
  <dc:creator>user</dc:creator>
  <cp:lastModifiedBy>卓天网络</cp:lastModifiedBy>
  <dcterms:modified xsi:type="dcterms:W3CDTF">2025-05-30T10:40:16Z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130EC83F737B4C52936DD82D348B57AE_13</vt:lpwstr>
  </property>
</Properties>
</file>