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
        <w:rPr>
          <w:rFonts w:ascii="黑体" w:hAnsi="黑体" w:eastAsia="黑体" w:cs="黑体"/>
          <w:sz w:val="32"/>
          <w:szCs w:val="32"/>
        </w:rPr>
      </w:pPr>
      <w:r>
        <w:rPr>
          <w:rFonts w:hint="eastAsia" w:ascii="黑体" w:hAnsi="黑体" w:eastAsia="黑体" w:cs="黑体"/>
          <w:sz w:val="32"/>
          <w:szCs w:val="32"/>
        </w:rPr>
        <w:t>附件1</w:t>
      </w:r>
    </w:p>
    <w:p>
      <w:pPr>
        <w:spacing w:line="440" w:lineRule="exact"/>
        <w:jc w:val="center"/>
        <w:rPr>
          <w:rFonts w:ascii="黑体" w:hAnsi="黑体" w:eastAsia="黑体" w:cs="黑体"/>
          <w:sz w:val="44"/>
          <w:szCs w:val="44"/>
        </w:rPr>
      </w:pPr>
      <w:bookmarkStart w:id="0" w:name="_GoBack"/>
      <w:r>
        <w:rPr>
          <w:rFonts w:hint="eastAsia" w:ascii="方正小标宋简体" w:hAnsi="宋体" w:eastAsia="方正小标宋简体" w:cs="宋体"/>
          <w:color w:val="000000"/>
          <w:kern w:val="0"/>
          <w:sz w:val="44"/>
          <w:szCs w:val="44"/>
        </w:rPr>
        <w:t>2025年“尚工”行动培训任务指引</w:t>
      </w:r>
    </w:p>
    <w:bookmarkEnd w:id="0"/>
    <w:tbl>
      <w:tblPr>
        <w:tblStyle w:val="4"/>
        <w:tblpPr w:leftFromText="180" w:rightFromText="180" w:vertAnchor="text" w:horzAnchor="page" w:tblpX="1419" w:tblpY="942"/>
        <w:tblOverlap w:val="never"/>
        <w:tblW w:w="5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64"/>
        <w:gridCol w:w="1642"/>
        <w:gridCol w:w="2964"/>
        <w:gridCol w:w="4877"/>
        <w:gridCol w:w="1417"/>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67" w:type="pct"/>
            <w:noWrap/>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542" w:type="pct"/>
            <w:noWrap w:val="0"/>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重点领域/类别</w:t>
            </w:r>
          </w:p>
        </w:tc>
        <w:tc>
          <w:tcPr>
            <w:tcW w:w="569" w:type="pct"/>
            <w:noWrap w:val="0"/>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培训方向</w:t>
            </w:r>
          </w:p>
        </w:tc>
        <w:tc>
          <w:tcPr>
            <w:tcW w:w="1027" w:type="pct"/>
            <w:noWrap w:val="0"/>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培训对象</w:t>
            </w:r>
          </w:p>
        </w:tc>
        <w:tc>
          <w:tcPr>
            <w:tcW w:w="1690" w:type="pct"/>
            <w:noWrap w:val="0"/>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基本要求</w:t>
            </w:r>
          </w:p>
        </w:tc>
        <w:tc>
          <w:tcPr>
            <w:tcW w:w="491" w:type="pct"/>
            <w:noWrap w:val="0"/>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培训目标（人）</w:t>
            </w:r>
          </w:p>
        </w:tc>
        <w:tc>
          <w:tcPr>
            <w:tcW w:w="410" w:type="pct"/>
            <w:noWrap w:val="0"/>
            <w:vAlign w:val="center"/>
          </w:tcPr>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征集承担机构（个）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人工智能应用</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生成式</w:t>
            </w:r>
            <w:r>
              <w:rPr>
                <w:rFonts w:ascii="Times New Roman" w:hAnsi="Times New Roman" w:eastAsia="仿宋"/>
                <w:color w:val="000000"/>
                <w:kern w:val="0"/>
                <w:sz w:val="28"/>
                <w:szCs w:val="28"/>
              </w:rPr>
              <w:t>AI</w:t>
            </w:r>
            <w:r>
              <w:rPr>
                <w:rFonts w:hint="eastAsia" w:ascii="仿宋" w:hAnsi="仿宋" w:eastAsia="仿宋" w:cs="宋体"/>
                <w:color w:val="000000"/>
                <w:kern w:val="0"/>
                <w:sz w:val="28"/>
                <w:szCs w:val="28"/>
              </w:rPr>
              <w:t xml:space="preserve">技术与场景应用                                                                 </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提高</w:t>
            </w:r>
            <w:r>
              <w:rPr>
                <w:rFonts w:ascii="Times New Roman" w:hAnsi="Times New Roman" w:eastAsia="仿宋"/>
                <w:color w:val="000000"/>
                <w:kern w:val="0"/>
                <w:sz w:val="28"/>
                <w:szCs w:val="28"/>
              </w:rPr>
              <w:t>AIGC</w:t>
            </w:r>
            <w:r>
              <w:rPr>
                <w:rFonts w:hint="eastAsia" w:ascii="仿宋" w:hAnsi="仿宋" w:eastAsia="仿宋" w:cs="宋体"/>
                <w:color w:val="000000"/>
                <w:kern w:val="0"/>
                <w:sz w:val="28"/>
                <w:szCs w:val="28"/>
              </w:rPr>
              <w:t>专业知识和技能，增强工程应用创新和解决复杂问题的能力。培养各层次AI技术应用、训练、工程实施的专业人才。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ascii="Times New Roman" w:hAnsi="Times New Roman" w:eastAsia="仿宋"/>
                <w:color w:val="000000"/>
                <w:kern w:val="0"/>
                <w:sz w:val="28"/>
                <w:szCs w:val="28"/>
              </w:rPr>
              <w:t>AI</w:t>
            </w:r>
            <w:r>
              <w:rPr>
                <w:rFonts w:hint="eastAsia" w:ascii="仿宋" w:hAnsi="仿宋" w:eastAsia="仿宋" w:cs="宋体"/>
                <w:color w:val="000000"/>
                <w:kern w:val="0"/>
                <w:sz w:val="28"/>
                <w:szCs w:val="28"/>
              </w:rPr>
              <w:t>应用工程</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聚焦</w:t>
            </w:r>
            <w:r>
              <w:rPr>
                <w:rFonts w:ascii="Times New Roman" w:hAnsi="Times New Roman" w:eastAsia="仿宋"/>
                <w:color w:val="000000"/>
                <w:kern w:val="0"/>
                <w:sz w:val="28"/>
                <w:szCs w:val="28"/>
              </w:rPr>
              <w:t>AI</w:t>
            </w:r>
            <w:r>
              <w:rPr>
                <w:rFonts w:hint="eastAsia" w:ascii="仿宋" w:hAnsi="仿宋" w:eastAsia="仿宋" w:cs="宋体"/>
                <w:color w:val="000000"/>
                <w:kern w:val="0"/>
                <w:sz w:val="28"/>
                <w:szCs w:val="28"/>
              </w:rPr>
              <w:t>技术在各行业应用规划方法与策略，培养能为企业制定切实可行</w:t>
            </w:r>
            <w:r>
              <w:rPr>
                <w:rFonts w:ascii="Times New Roman" w:hAnsi="Times New Roman" w:eastAsia="仿宋"/>
                <w:color w:val="000000"/>
                <w:kern w:val="0"/>
                <w:sz w:val="28"/>
                <w:szCs w:val="28"/>
              </w:rPr>
              <w:t>AI</w:t>
            </w:r>
            <w:r>
              <w:rPr>
                <w:rFonts w:hint="eastAsia" w:ascii="仿宋" w:hAnsi="仿宋" w:eastAsia="仿宋" w:cs="宋体"/>
                <w:color w:val="000000"/>
                <w:kern w:val="0"/>
                <w:sz w:val="28"/>
                <w:szCs w:val="28"/>
              </w:rPr>
              <w:t>应用规划蓝图的专业人才。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67" w:type="pct"/>
            <w:vMerge w:val="continue"/>
            <w:shd w:val="clear" w:color="auto" w:fill="auto"/>
            <w:noWrap w:val="0"/>
            <w:vAlign w:val="center"/>
          </w:tcPr>
          <w:p>
            <w:pPr>
              <w:widowControl/>
              <w:jc w:val="left"/>
              <w:rPr>
                <w:rFonts w:ascii="Times New Roman" w:hAnsi="Times New Roman"/>
                <w:color w:val="000000"/>
                <w:kern w:val="0"/>
                <w:sz w:val="28"/>
                <w:szCs w:val="28"/>
              </w:rPr>
            </w:pPr>
          </w:p>
        </w:tc>
        <w:tc>
          <w:tcPr>
            <w:tcW w:w="542" w:type="pct"/>
            <w:vMerge w:val="continue"/>
            <w:shd w:val="clear" w:color="auto" w:fill="auto"/>
            <w:noWrap w:val="0"/>
            <w:vAlign w:val="center"/>
          </w:tcPr>
          <w:p>
            <w:pPr>
              <w:widowControl/>
              <w:jc w:val="left"/>
              <w:rPr>
                <w:rFonts w:ascii="仿宋" w:hAnsi="仿宋" w:eastAsia="仿宋" w:cs="宋体"/>
                <w:color w:val="000000"/>
                <w:kern w:val="0"/>
                <w:sz w:val="28"/>
                <w:szCs w:val="28"/>
              </w:rPr>
            </w:pPr>
          </w:p>
        </w:tc>
        <w:tc>
          <w:tcPr>
            <w:tcW w:w="569" w:type="pct"/>
            <w:shd w:val="clear" w:color="000000" w:fill="FFFFFF"/>
            <w:noWrap w:val="0"/>
            <w:vAlign w:val="center"/>
          </w:tcPr>
          <w:p>
            <w:pPr>
              <w:widowControl/>
              <w:rPr>
                <w:rFonts w:ascii="仿宋" w:hAnsi="仿宋" w:eastAsia="仿宋" w:cs="宋体"/>
                <w:kern w:val="0"/>
                <w:sz w:val="28"/>
                <w:szCs w:val="28"/>
              </w:rPr>
            </w:pPr>
            <w:r>
              <w:rPr>
                <w:rFonts w:ascii="Times New Roman" w:hAnsi="Times New Roman" w:eastAsia="仿宋"/>
                <w:kern w:val="0"/>
                <w:sz w:val="28"/>
                <w:szCs w:val="28"/>
              </w:rPr>
              <w:t>AI</w:t>
            </w:r>
            <w:r>
              <w:rPr>
                <w:rFonts w:hint="eastAsia" w:ascii="仿宋" w:hAnsi="仿宋" w:eastAsia="仿宋" w:cs="宋体"/>
                <w:kern w:val="0"/>
                <w:sz w:val="28"/>
                <w:szCs w:val="28"/>
              </w:rPr>
              <w:t xml:space="preserve">运营 </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院校学生、企业技术与管理人员、政府部门管理工作者</w:t>
            </w:r>
          </w:p>
        </w:tc>
        <w:tc>
          <w:tcPr>
            <w:tcW w:w="1690" w:type="pct"/>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聚焦数字运营策略制定、数据分析、用户运营，培养各层次掌握</w:t>
            </w:r>
            <w:r>
              <w:rPr>
                <w:rFonts w:ascii="Times New Roman" w:hAnsi="Times New Roman" w:eastAsia="仿宋"/>
                <w:kern w:val="0"/>
                <w:sz w:val="28"/>
                <w:szCs w:val="28"/>
              </w:rPr>
              <w:t>AI</w:t>
            </w:r>
            <w:r>
              <w:rPr>
                <w:rFonts w:hint="eastAsia" w:ascii="仿宋" w:hAnsi="仿宋" w:eastAsia="仿宋" w:cs="宋体"/>
                <w:kern w:val="0"/>
                <w:sz w:val="28"/>
                <w:szCs w:val="28"/>
              </w:rPr>
              <w:t>驱动数字运营的专业人才。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数字文化 </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着重于培养将数字技术与产业深度融合，结合元宇宙、大数据、人工智能等前沿技术在各领域应用与运营的人才。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9" w:hRule="atLeast"/>
        </w:trPr>
        <w:tc>
          <w:tcPr>
            <w:tcW w:w="267" w:type="pct"/>
            <w:vMerge w:val="continue"/>
            <w:shd w:val="clear" w:color="auto" w:fill="auto"/>
            <w:noWrap w:val="0"/>
            <w:vAlign w:val="center"/>
          </w:tcPr>
          <w:p>
            <w:pPr>
              <w:widowControl/>
              <w:jc w:val="left"/>
              <w:rPr>
                <w:rFonts w:ascii="Times New Roman" w:hAnsi="Times New Roman"/>
                <w:color w:val="000000"/>
                <w:kern w:val="0"/>
                <w:sz w:val="28"/>
                <w:szCs w:val="28"/>
              </w:rPr>
            </w:pPr>
          </w:p>
        </w:tc>
        <w:tc>
          <w:tcPr>
            <w:tcW w:w="542" w:type="pct"/>
            <w:vMerge w:val="continue"/>
            <w:shd w:val="clear" w:color="auto" w:fill="auto"/>
            <w:noWrap w:val="0"/>
            <w:vAlign w:val="center"/>
          </w:tcPr>
          <w:p>
            <w:pPr>
              <w:widowControl/>
              <w:jc w:val="left"/>
              <w:rPr>
                <w:rFonts w:ascii="仿宋" w:hAnsi="仿宋" w:eastAsia="仿宋" w:cs="宋体"/>
                <w:color w:val="000000"/>
                <w:kern w:val="0"/>
                <w:sz w:val="28"/>
                <w:szCs w:val="28"/>
              </w:rPr>
            </w:pPr>
          </w:p>
        </w:tc>
        <w:tc>
          <w:tcPr>
            <w:tcW w:w="569" w:type="pct"/>
            <w:shd w:val="clear" w:color="000000" w:fill="FFFFFF"/>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企业数智化转型</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企业中高层管理者、数字化转型项目负责人、相关技术骨干</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围绕企业数智化应用转型，提升企业管理者组织发展的领导能力，为企业培养具备深厚数智技术技能功底、有效推动数智化转型落地的专业人才。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c>
          <w:tcPr>
            <w:tcW w:w="542" w:type="pct"/>
            <w:vMerge w:val="restart"/>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数字化</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设计</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数字艺术</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高等院校师生、企业技术人员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围绕数字艺术设计工具、生成艺术与创意设计，适应行业需求，培养熟练掌握各种设计和应用软件、具有创意思维和艺术表达能力的专业人才。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新媒体交互</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高等院校艺术、设计相关专业的在校学生、企事业单位相关技术人员或负责宣传推广、信息化建设等工作的技术人员等，需要提升数字技术和人工智能应用能力以满足岗位升级需求的在职人员。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面向数字媒体、展览展示、舞台演出等领域的交互设计岗位需求，培养在科技与艺术融合领域具备数字技术和人工智能应用策划和执行能力的专业人才。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数字媒体</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创作</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视听行业从业者、影视营销宣传人员、电影发行专员、电影媒体创作者、青少年学生。</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聚焦数字媒体设计、技术辅助创作、作品传播及运营，培养熟练掌握摄影、剪辑、配音、视觉设计、动画与特效制作合成、包装等核心技术，提升数字媒体技术与艺术融合创新能力的专业人才。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文物数字化</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高等院校学生、企业技术人员。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围绕推动文物数字化，培养掌握使用无人机技术、高精度三维采集和影像采集技术，对不可移动文物和馆藏文物进行数据采集、建立三维模型数据库的专业人才。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数字资产</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数字资产架构</w:t>
            </w:r>
          </w:p>
        </w:tc>
        <w:tc>
          <w:tcPr>
            <w:tcW w:w="1027" w:type="pct"/>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高等院校学生、企业技术人员、咨询服务机构、信息测评机构、社会组织。</w:t>
            </w:r>
          </w:p>
        </w:tc>
        <w:tc>
          <w:tcPr>
            <w:tcW w:w="1690" w:type="pct"/>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围绕数字资产架构设计原则、技术选型与分层架构搭建，培育能构建合理高效架构，助力企业有序管理数字资产、挖掘其价值的专业人才。</w:t>
            </w:r>
          </w:p>
        </w:tc>
        <w:tc>
          <w:tcPr>
            <w:tcW w:w="491" w:type="pct"/>
            <w:noWrap w:val="0"/>
            <w:vAlign w:val="center"/>
          </w:tcPr>
          <w:p>
            <w:pPr>
              <w:widowControl/>
              <w:jc w:val="center"/>
              <w:rPr>
                <w:rFonts w:ascii="Times New Roman" w:hAnsi="Times New Roman"/>
                <w:kern w:val="0"/>
                <w:sz w:val="28"/>
                <w:szCs w:val="28"/>
              </w:rPr>
            </w:pPr>
            <w:r>
              <w:rPr>
                <w:rFonts w:ascii="Times New Roman" w:hAnsi="Times New Roman"/>
                <w:kern w:val="0"/>
                <w:sz w:val="28"/>
                <w:szCs w:val="28"/>
              </w:rPr>
              <w:t>3000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现实世界应用</w:t>
            </w:r>
            <w:r>
              <w:rPr>
                <w:rFonts w:ascii="Times New Roman" w:hAnsi="仿宋" w:eastAsia="仿宋"/>
                <w:color w:val="000000"/>
                <w:kern w:val="0"/>
                <w:sz w:val="28"/>
                <w:szCs w:val="28"/>
              </w:rPr>
              <w:t>（</w:t>
            </w:r>
            <w:r>
              <w:rPr>
                <w:rFonts w:ascii="Times New Roman" w:hAnsi="Times New Roman" w:eastAsia="仿宋"/>
                <w:color w:val="000000"/>
                <w:kern w:val="0"/>
                <w:sz w:val="28"/>
                <w:szCs w:val="28"/>
              </w:rPr>
              <w:t>RWA</w:t>
            </w:r>
            <w:r>
              <w:rPr>
                <w:rFonts w:ascii="Times New Roman" w:hAnsi="仿宋" w:eastAsia="仿宋"/>
                <w:color w:val="000000"/>
                <w:kern w:val="0"/>
                <w:sz w:val="28"/>
                <w:szCs w:val="28"/>
              </w:rPr>
              <w:t>）</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高等院校学生、企业技术人员。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提高虚拟技术在提升企业生产效率、降低成本、提升产品竞争力方面的分析应用能力。培养虚拟现实技术应用、训练、分析人才。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4</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智能制造</w:t>
            </w:r>
          </w:p>
        </w:tc>
        <w:tc>
          <w:tcPr>
            <w:tcW w:w="569" w:type="pct"/>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智能装备与数智生产线</w:t>
            </w:r>
          </w:p>
        </w:tc>
        <w:tc>
          <w:tcPr>
            <w:tcW w:w="1027" w:type="pct"/>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中高职学生（包括毕业生）及社会转岗或从业人员</w:t>
            </w:r>
          </w:p>
        </w:tc>
        <w:tc>
          <w:tcPr>
            <w:tcW w:w="1690" w:type="pct"/>
            <w:noWrap w:val="0"/>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提高智能机器使用专业知识和技能，增强新技术融合应用。培养智能制造领域产业工人的技术和应用。</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数智化设计与技术工程</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面向院校相关专业学生、企业研发人员、技术人员。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围绕工业网络智能控制与自动化、机械、电气领域以及工业机器人等相关领域，通过学习在智能制造领域的专业技能与创新能力，提升其创新能力，加强行业竞争力。为智能制造行业培养一批高素质、创新型的专业人才队伍，推动智能制造产业高质量发展。</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低空经济发展与航空人才培育</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低空经济产业发展规划</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发展和改革、工和信息化、规划等相关部门管理者，地方骨干企业代表，低空济产业链从业企业管理者，航空企事业单位人员。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通过系统的政策解读、产业分析、趋势洞察和规划能力提升，提升政府部门和企事业单位在低空经济领域的决策能力和实践能力。</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军工精神谱系与文化传承</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军工及工业领域新闻宣传、企业文化管理者及工作人员。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提升各单位党建宣传和企业部门管理者、工作人员的业务能力，构建生动立体、正向可控的舆论生态体系，为加快构建现代化国防科技工业核心能力体系提供坚强思想保证和强大精神力量。</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航空财务人员技能提升</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航空及工业领域财务管理人员。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提升财务人员的战略思维能力、数据管理能力、上市公司的财务管理能力、财会监督执纪能力，以财务人员综合素养的提升助力企业、行业高质量发展。</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飞机维修产教融合</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飞机维修企业技术专家、职业院校教学部门及骨干教师等。</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以就业为导向，将飞机维修岗位技能与人才培养方案相对接，促进飞机维修产教融合。</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航空技能人才培养</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航空企业技术专家、职业院校科研部门及骨干教师等。</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以航空企业技能岗位需求为重点，校企共同探讨当前技能人才队伍建设模式及方式方法，促进校企技能贯通。</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低空经济新双高建设</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职业院校校级领导及教务等部门中层领导。</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围绕低空经济产业发展及国家对于“新双高”建设要求进行供需分析、政策解读、校企对接，把握职业院校办学方向。</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267"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无人机应用技术</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院校学生教师、企业技术与管理人员、政府部门管理工作者。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掌握空气动力学、飞行力学等知识，熟悉无人机系统组成与原理，能熟练操控无人机，具备航测、编程基础及数据分析能力，了解相关法规，有空间感知和应变能力。熟练掌握无人机的组装调试、飞行操控、任务规划等技能，使其能够在航拍、测绘、巡检等领域应用无人机完成任务，掌握数据处理与分析方法，成为适应行业需求的应用型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6</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双碳与节能环保</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w:t>
            </w:r>
            <w:r>
              <w:rPr>
                <w:rFonts w:ascii="Times New Roman" w:hAnsi="Times New Roman" w:eastAsia="仿宋"/>
                <w:color w:val="000000"/>
                <w:kern w:val="0"/>
                <w:sz w:val="28"/>
                <w:szCs w:val="28"/>
              </w:rPr>
              <w:t>ESG</w:t>
            </w:r>
            <w:r>
              <w:rPr>
                <w:rFonts w:hint="eastAsia" w:ascii="仿宋" w:hAnsi="仿宋" w:eastAsia="仿宋" w:cs="宋体"/>
                <w:color w:val="000000"/>
                <w:kern w:val="0"/>
                <w:sz w:val="28"/>
                <w:szCs w:val="28"/>
              </w:rPr>
              <w:t>高级管理人才能力提升</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企业高层管理人员、可持续发展部门负责人、负责企业战略规划与决策制定的关键岗位人员。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掌握ESG管理与企业战略融合的路径，增强高层管理人员在ESG领域的决策能力和创新能力，培养具备高度责任感和前瞻性的ESG高级管理人才，推动企业构建完善的ESG管理体系。</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w:t>
            </w:r>
            <w:r>
              <w:rPr>
                <w:rFonts w:ascii="Times New Roman" w:hAnsi="Times New Roman" w:eastAsia="仿宋"/>
                <w:color w:val="000000"/>
                <w:kern w:val="0"/>
                <w:sz w:val="28"/>
                <w:szCs w:val="28"/>
              </w:rPr>
              <w:t>ESG</w:t>
            </w:r>
            <w:r>
              <w:rPr>
                <w:rFonts w:hint="eastAsia" w:ascii="仿宋" w:hAnsi="仿宋" w:eastAsia="仿宋" w:cs="宋体"/>
                <w:color w:val="000000"/>
                <w:kern w:val="0"/>
                <w:sz w:val="28"/>
                <w:szCs w:val="28"/>
              </w:rPr>
              <w:t>发展实践应用</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企业高层管理人员、可持续发展部门负责人、负责企业战略规划与决策制定的关键岗位人员。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掌握ESG框架的构建方法，提升企业ESG理论实践应用能力，融入企业战略规划、决策制定和日常运营。培养具备ESG思维的管理人才，推动企业实现可持续发展目标。</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双碳管理</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企业高层管理人员、可持续发展部门负责人。</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提升其对双碳与节能环保的理解和认识，促进掌握双碳领域节能减排相关知识，提高工作效能和专业素养，为企业绿色发展提供支持。</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7</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先进制造业集群</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产业集群政策解读</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各省（区、市）工业和信息化主管部门、产业园区、高新区相关同志；国家先进制造业集群发展促进组织代表；金融机构代表；国家先进制造业集群内高校及科研机构、重点企业代表。</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推动促进组织更好理解先进制造业集群发展要义、趋势，明晰世界级集群建设中对促进组织的要求,讲解新时代中国特色促进组织发展情况、全球先进促进组织建设运营模式和经验等,组织进行实地观摩实训等方式。</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产业集群“经理人”</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各省（区、市）工业和信息化主管部门、产业园区、高新区相关同志；国家先进制造业集群发展促进组织代表；金融机构代表；国家先进制造业集群内高校及科研机构、重点企业代表。</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推动促进组织更好理解先进制造业集群发展要义、趋势，明晰世界级集群建设中对促进组织的要求,讲解新时代中国特色促进组织发展情况、全球先进促进组织建设运营模式和经验等,组织进行实地观摩实训等方式。</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267" w:type="pct"/>
            <w:vMerge w:val="restart"/>
            <w:shd w:val="clear" w:color="auto" w:fill="auto"/>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w:t>
            </w:r>
          </w:p>
        </w:tc>
        <w:tc>
          <w:tcPr>
            <w:tcW w:w="542" w:type="pct"/>
            <w:vMerge w:val="restart"/>
            <w:shd w:val="clear" w:color="auto" w:fill="auto"/>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视听艺术</w:t>
            </w:r>
          </w:p>
        </w:tc>
        <w:tc>
          <w:tcPr>
            <w:tcW w:w="569"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艺术全媒体运营</w:t>
            </w:r>
          </w:p>
        </w:tc>
        <w:tc>
          <w:tcPr>
            <w:tcW w:w="1027"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院校学生、企事业单位相关技术人员或负责宣传推广人员、行业从业人员、青少年学生。</w:t>
            </w:r>
          </w:p>
        </w:tc>
        <w:tc>
          <w:tcPr>
            <w:tcW w:w="1690"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针对数智时代视听媒体运营需求，培养熟练掌握数字技术、高效生产与运营大众视听艺术内容的复合型人才，提升科技与视听艺术运营融合的数智运营能力，助力行业数字化转型。</w:t>
            </w:r>
          </w:p>
        </w:tc>
        <w:tc>
          <w:tcPr>
            <w:tcW w:w="491" w:type="pct"/>
            <w:shd w:val="clear" w:color="000000" w:fill="FFFFFF"/>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67" w:type="pct"/>
            <w:vMerge w:val="continue"/>
            <w:shd w:val="clear" w:color="auto" w:fill="auto"/>
            <w:noWrap w:val="0"/>
            <w:vAlign w:val="center"/>
          </w:tcPr>
          <w:p>
            <w:pPr>
              <w:widowControl/>
              <w:jc w:val="left"/>
              <w:rPr>
                <w:rFonts w:ascii="Times New Roman" w:hAnsi="Times New Roman"/>
                <w:color w:val="000000"/>
                <w:kern w:val="0"/>
                <w:sz w:val="28"/>
                <w:szCs w:val="28"/>
              </w:rPr>
            </w:pPr>
          </w:p>
        </w:tc>
        <w:tc>
          <w:tcPr>
            <w:tcW w:w="542" w:type="pct"/>
            <w:vMerge w:val="continue"/>
            <w:shd w:val="clear" w:color="auto" w:fill="auto"/>
            <w:noWrap w:val="0"/>
            <w:vAlign w:val="center"/>
          </w:tcPr>
          <w:p>
            <w:pPr>
              <w:widowControl/>
              <w:jc w:val="left"/>
              <w:rPr>
                <w:rFonts w:ascii="仿宋" w:hAnsi="仿宋" w:eastAsia="仿宋" w:cs="宋体"/>
                <w:color w:val="000000"/>
                <w:kern w:val="0"/>
                <w:sz w:val="28"/>
                <w:szCs w:val="28"/>
              </w:rPr>
            </w:pPr>
          </w:p>
        </w:tc>
        <w:tc>
          <w:tcPr>
            <w:tcW w:w="569" w:type="pct"/>
            <w:shd w:val="clear" w:color="auto" w:fill="auto"/>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网络表演</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艺术</w:t>
            </w:r>
          </w:p>
        </w:tc>
        <w:tc>
          <w:tcPr>
            <w:tcW w:w="1027"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院校学生、行业从业人员、青少年学生。</w:t>
            </w:r>
          </w:p>
        </w:tc>
        <w:tc>
          <w:tcPr>
            <w:tcW w:w="1690"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针对网络艺人发展需求，培训新人掌握视听艺术技能、才艺展示、人设打造、运营策略、法律合规及平台规则等核心内容，助力网络艺人行业规范化与专业化发展。</w:t>
            </w:r>
          </w:p>
        </w:tc>
        <w:tc>
          <w:tcPr>
            <w:tcW w:w="491" w:type="pct"/>
            <w:shd w:val="clear" w:color="000000" w:fill="FFFFFF"/>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67" w:type="pct"/>
            <w:vMerge w:val="continue"/>
            <w:shd w:val="clear" w:color="auto" w:fill="auto"/>
            <w:noWrap w:val="0"/>
            <w:vAlign w:val="center"/>
          </w:tcPr>
          <w:p>
            <w:pPr>
              <w:widowControl/>
              <w:jc w:val="left"/>
              <w:rPr>
                <w:rFonts w:ascii="Times New Roman" w:hAnsi="Times New Roman"/>
                <w:color w:val="000000"/>
                <w:kern w:val="0"/>
                <w:sz w:val="28"/>
                <w:szCs w:val="28"/>
              </w:rPr>
            </w:pPr>
          </w:p>
        </w:tc>
        <w:tc>
          <w:tcPr>
            <w:tcW w:w="542" w:type="pct"/>
            <w:vMerge w:val="continue"/>
            <w:shd w:val="clear" w:color="auto" w:fill="auto"/>
            <w:noWrap w:val="0"/>
            <w:vAlign w:val="center"/>
          </w:tcPr>
          <w:p>
            <w:pPr>
              <w:widowControl/>
              <w:jc w:val="left"/>
              <w:rPr>
                <w:rFonts w:ascii="仿宋" w:hAnsi="仿宋" w:eastAsia="仿宋" w:cs="宋体"/>
                <w:color w:val="000000"/>
                <w:kern w:val="0"/>
                <w:sz w:val="28"/>
                <w:szCs w:val="28"/>
              </w:rPr>
            </w:pPr>
          </w:p>
        </w:tc>
        <w:tc>
          <w:tcPr>
            <w:tcW w:w="569" w:type="pct"/>
            <w:shd w:val="clear" w:color="auto" w:fill="auto"/>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视听艺术</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创意</w:t>
            </w:r>
          </w:p>
        </w:tc>
        <w:tc>
          <w:tcPr>
            <w:tcW w:w="1027"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院校学生、视听行业从业者、企事业单位相关技术人员或负责宣传推广人员、行业从业人员、青少年学生。</w:t>
            </w:r>
          </w:p>
        </w:tc>
        <w:tc>
          <w:tcPr>
            <w:tcW w:w="1690" w:type="pct"/>
            <w:shd w:val="clear" w:color="auto" w:fill="auto"/>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聚焦视听艺术创意设计，培养熟练运用数智工具高效产出摄影、剪辑、视觉设计、动画与特效等内容的专业人才，提升艺术与科技融合创新能力，满足视听艺术行业数字化转型需求。</w:t>
            </w:r>
          </w:p>
        </w:tc>
        <w:tc>
          <w:tcPr>
            <w:tcW w:w="491" w:type="pct"/>
            <w:shd w:val="clear" w:color="000000" w:fill="FFFFFF"/>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9</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工艺美术</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传统工艺</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（玉雕、陶瓷、刺绣、香艺）</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院校学生、企业技术与管理人员、行业从业者、政府部门管理工作者。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兼顾技艺传承、文化保护与实践创新，确保学员既能掌握传统工艺的核心技法，又能理解其文化内涵并适应现代需求。</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400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工艺美术</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设计</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院校学生、企业技术与管理人员、行业从业者、政府部门管理工作者。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兼顾传统工艺传承与现代设计创新，培养具备文化理解力、艺术创造力及市场转化能力的复合型人才。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茶文化</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（茶艺、评茶、制茶）</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院校学生、企业技术与管理人员、行业从业者、政府部门管理工作者。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培养兼具传统文化素养、专业技能和现代市场意识的茶产业人才。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服装设计</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院校学生、企业技术与管理人员、行业从业者、政府部门管理工作者。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培养兼具艺术创造力、技术实践能力和市场洞察力的专业人才，推动传统工艺与现代时尚的融合。</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文化自信</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宣导</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文化工作者、教育工作者、企业宣传人员、社区文化志愿者等。</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培训中国传统文化概论、文化自信的内涵与价值、文化传播技巧、新媒体与文化宣传、地方特色文化挖掘与推广、文化活动策划与组织。</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工业文化     实践教育</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工业旅游</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相关从业人员、政府部门管理工作者。</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围绕工业旅游资源开发、运营管理等方面的专业技能，提升服务与安全意识，推动产业融合创新，为行业输送人才。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工业文化</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研学</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教育工作者、文旅行业从业者、青少年及学生。</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培养够独立策划和组织高质量的工业文化研学活动，设计兼具趣味性与教育性的课程内容的专业人才。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11</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产业名片</w:t>
            </w: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品牌规划</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运营</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各省市工业和信息化主管部门、产业园区、高新区相关同志；行业协会相关同志；消费品工业企业相关同志；新零售平台及供应链服务商相关同志。</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推动“品牌运营官”更好理解城市产业名片、区域品牌、消费名品等发展要义、趋势，讲解城市产业名片、新消费名品、区域品牌培育、优质名品企业、区域品牌运营模式和经验等，帮助“品牌运营官”拓宽视野、提高定位、更好发展,研讨解决企业和区域品牌培育的问题。</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产品创新体系及品质标准升级</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各省市工业和信息化主管部门、产业园区、高新区相关同志；行业协会相关同志；消费品工业企业相关同志；新零售平台及供应链服务商相关同志。</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推动“品牌运营官”更好理解城市产业名片、区域品牌、消费名品等发展要义、趋势，明晰培育要求,讲解城市产业名片、新消费名品、区域品牌培育、优质名品企业、区域品牌运营模式和经验等，帮助“品牌运营官”对标先进、拓宽视野、提高定位、更好发展,集体研讨解决企业和区域品牌培育的问题。</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品牌国际化运营及特色资源转化</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各省市工业和信息化主管部门、产业园区、高新区相关同志；行业协会相关同志；消费品工业企业相关同志；新零售平台及供应链服务商相关同志。</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推动“品牌运营官”更好理解城市产业名片、区域品牌、消费名品等发展要义、趋势，明晰培育要求,讲解城市产业名片、新消费名品、区域品牌培育、优质名品企业、区域品牌运营模式和经验等，帮助“品牌运营官”对标先进、拓宽视野、提高定位、更好发展,集体研讨解决企业和区域品牌培育的问题。</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12</w:t>
            </w:r>
          </w:p>
        </w:tc>
        <w:tc>
          <w:tcPr>
            <w:tcW w:w="542" w:type="pct"/>
            <w:vMerge w:val="restart"/>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企业家</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培育</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先进制造业</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企业创始人及高级管理人员。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培养国家制造强国战略先进制造业复合型高级管理人才，开展政策宣贯辅导，整合科技创新资源，加强与地方政府、行业组织、企业等各方的交流合作。</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现代服务业</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企业创始人及高级管理人员。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培养现代服务业复合型高级管理人才，开展政策宣贯辅导，整合科技创新及文化资源，加强与地方政府、行业组织、企业等各方的交流合作。</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战略新兴</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产业与未来产业</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企业创始人及高级管理人员。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培养战略新兴产业与未来产业复合型高级管理人才，开展政策宣贯辅导，整合科技创新资源、资本服务等，加强与地方政府、行业组织、企业等各方的交流合作。</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产业出海企业家培育</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企业创始人及高级管理人员。</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培养懂产业新技术、涉外法务与国际经贸投资专业的产业出海复合型高级管理人才，提升其海外管理能力，加强产业国际竞争力。</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300</w:t>
            </w:r>
          </w:p>
        </w:tc>
        <w:tc>
          <w:tcPr>
            <w:tcW w:w="410"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13</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中小企业管理能力提升</w:t>
            </w:r>
          </w:p>
        </w:tc>
        <w:tc>
          <w:tcPr>
            <w:tcW w:w="569" w:type="pct"/>
            <w:noWrap w:val="0"/>
            <w:vAlign w:val="center"/>
          </w:tcPr>
          <w:p>
            <w:pPr>
              <w:widowControl/>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企业合规</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治理</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企业高层管理人员、合规专员、法务人员等。</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提升企业对合规重要性的认识，增强合规风险管理能力，建立和完善企业合规管理体系，提升企业的合规文化，培育合规管理人才。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战略思维与领导力</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企业高层管理人员、战略规划部门员工、各部门负责人。</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提升企业战略管理思维，掌握战略制定、实施和评估的方法。增强企业对环境变化的敏感性和应变能力，促进企业各部门之间的战略协同，培育战略规划人才。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产业链协同创新管理</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企业高层管理人员、产业链上下游企业合作伙伴。</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培育具备产业链全局视野和协同创新能力的管理人才，使其能够深刻理解产业链的内在联系和发展趋势，有效整合产业链资源，推动产业链上下游企业的紧密合作与共同发展。</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数字化营运与管理</w:t>
            </w:r>
          </w:p>
        </w:tc>
        <w:tc>
          <w:tcPr>
            <w:tcW w:w="1027"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企业高层管理人员、企业营运负责人。</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培育具备数字化思维和运营管理能力的人才，使其能够熟练掌握数字化工具和方法，有效运用数据驱动决策，优化企业运营流程，提升运营效率和客户满意度。</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7" w:type="pct"/>
            <w:vMerge w:val="restar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14</w:t>
            </w:r>
          </w:p>
        </w:tc>
        <w:tc>
          <w:tcPr>
            <w:tcW w:w="542" w:type="pct"/>
            <w:vMerge w:val="restar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管理会计</w:t>
            </w: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企业业财融合与智能财务管理</w:t>
            </w:r>
          </w:p>
        </w:tc>
        <w:tc>
          <w:tcPr>
            <w:tcW w:w="1027" w:type="pct"/>
            <w:vMerge w:val="restar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工业企业中高层管理者、财务管理人员和负责企业业务与财务融合相关工作的人员、对管理会计感兴趣的职场人士和院校学生。</w:t>
            </w: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掌握业财融合理念，学习应用智能财务管理工具和技术，培养具备数字化思维和技能的财务管理人才，推动企业数字化转型。</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企业司库管理体系建设</w:t>
            </w:r>
          </w:p>
        </w:tc>
        <w:tc>
          <w:tcPr>
            <w:tcW w:w="1027" w:type="pct"/>
            <w:vMerge w:val="continue"/>
            <w:noWrap w:val="0"/>
            <w:vAlign w:val="center"/>
          </w:tcPr>
          <w:p>
            <w:pPr>
              <w:widowControl/>
              <w:rPr>
                <w:rFonts w:ascii="仿宋" w:hAnsi="仿宋" w:eastAsia="仿宋" w:cs="宋体"/>
                <w:color w:val="000000"/>
                <w:kern w:val="0"/>
                <w:sz w:val="28"/>
                <w:szCs w:val="28"/>
              </w:rPr>
            </w:pP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学习构建和完善司库管理体系，掌握资金集中管理、风险控制和优化配置方法，培养具备资金管理和风险控制能力的专业人才。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管理会计高级管理人才能力提升</w:t>
            </w:r>
          </w:p>
        </w:tc>
        <w:tc>
          <w:tcPr>
            <w:tcW w:w="1027" w:type="pct"/>
            <w:vMerge w:val="continue"/>
            <w:noWrap w:val="0"/>
            <w:vAlign w:val="center"/>
          </w:tcPr>
          <w:p>
            <w:pPr>
              <w:widowControl/>
              <w:rPr>
                <w:rFonts w:ascii="仿宋" w:hAnsi="仿宋" w:eastAsia="仿宋" w:cs="宋体"/>
                <w:color w:val="000000"/>
                <w:kern w:val="0"/>
                <w:sz w:val="28"/>
                <w:szCs w:val="28"/>
              </w:rPr>
            </w:pP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提升管理会计高级管理人才的战略思维、领导力和决策能力，培养具备国际视野和创新能力的高级管理会计人才，为企业的国际化战略和持续发展提供有力支持。</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67" w:type="pct"/>
            <w:vMerge w:val="continue"/>
            <w:noWrap w:val="0"/>
            <w:vAlign w:val="center"/>
          </w:tcPr>
          <w:p>
            <w:pPr>
              <w:widowControl/>
              <w:jc w:val="left"/>
              <w:rPr>
                <w:rFonts w:ascii="Times New Roman" w:hAnsi="Times New Roman"/>
                <w:color w:val="000000"/>
                <w:kern w:val="0"/>
                <w:sz w:val="28"/>
                <w:szCs w:val="28"/>
              </w:rPr>
            </w:pPr>
          </w:p>
        </w:tc>
        <w:tc>
          <w:tcPr>
            <w:tcW w:w="542" w:type="pct"/>
            <w:vMerge w:val="continue"/>
            <w:noWrap w:val="0"/>
            <w:vAlign w:val="center"/>
          </w:tcPr>
          <w:p>
            <w:pPr>
              <w:widowControl/>
              <w:jc w:val="left"/>
              <w:rPr>
                <w:rFonts w:ascii="仿宋" w:hAnsi="仿宋" w:eastAsia="仿宋" w:cs="宋体"/>
                <w:color w:val="000000"/>
                <w:kern w:val="0"/>
                <w:sz w:val="28"/>
                <w:szCs w:val="28"/>
              </w:rPr>
            </w:pPr>
          </w:p>
        </w:tc>
        <w:tc>
          <w:tcPr>
            <w:tcW w:w="569"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管理会计转型实战操作</w:t>
            </w:r>
          </w:p>
        </w:tc>
        <w:tc>
          <w:tcPr>
            <w:tcW w:w="1027" w:type="pct"/>
            <w:vMerge w:val="continue"/>
            <w:noWrap w:val="0"/>
            <w:vAlign w:val="center"/>
          </w:tcPr>
          <w:p>
            <w:pPr>
              <w:widowControl/>
              <w:rPr>
                <w:rFonts w:ascii="仿宋" w:hAnsi="仿宋" w:eastAsia="仿宋" w:cs="宋体"/>
                <w:color w:val="000000"/>
                <w:kern w:val="0"/>
                <w:sz w:val="28"/>
                <w:szCs w:val="28"/>
              </w:rPr>
            </w:pPr>
          </w:p>
        </w:tc>
        <w:tc>
          <w:tcPr>
            <w:tcW w:w="1690" w:type="pct"/>
            <w:noWrap w:val="0"/>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推动传统财务管理人员转型为管理会计人员，掌握管理会计在实战中的应用技巧和方法，提升解决实际问题的能力，培养具备实战型财务管理技能的人才。</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800</w:t>
            </w:r>
          </w:p>
        </w:tc>
        <w:tc>
          <w:tcPr>
            <w:tcW w:w="410"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7" w:type="pct"/>
            <w:noWrap/>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　</w:t>
            </w:r>
          </w:p>
        </w:tc>
        <w:tc>
          <w:tcPr>
            <w:tcW w:w="542"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总计</w:t>
            </w:r>
          </w:p>
        </w:tc>
        <w:tc>
          <w:tcPr>
            <w:tcW w:w="569" w:type="pct"/>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27" w:type="pct"/>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90" w:type="pct"/>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491" w:type="pct"/>
            <w:noWrap w:val="0"/>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73900</w:t>
            </w:r>
          </w:p>
        </w:tc>
        <w:tc>
          <w:tcPr>
            <w:tcW w:w="410" w:type="pct"/>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5000" w:type="pct"/>
            <w:gridSpan w:val="7"/>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备注：</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1.此表中培训方向内容为“—”表示该重点领域/类别中暂未设置培训方向分类；此表中征集承担机构（个）内容为“—”表示该培训方向暂不对外征集承担机构；</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2.中心培训、评测证书内容描述提到的岗位名称均为企业常用称谓，不是国家职业资格，中心发放的证书为学习证明，非国家职业资格证书。</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3.申报培训服务中评测服务的机构须具备评测系统软硬件条件。</w:t>
            </w:r>
          </w:p>
        </w:tc>
      </w:tr>
    </w:tbl>
    <w:p>
      <w:pPr>
        <w:ind w:left="180"/>
        <w:jc w:val="center"/>
        <w:rPr>
          <w:rFonts w:ascii="方正小标宋_GBK" w:hAnsi="方正小标宋_GBK" w:eastAsia="方正小标宋_GBK" w:cs="方正小标宋_GBK"/>
          <w:bCs/>
          <w:color w:val="000000"/>
          <w:sz w:val="32"/>
          <w:szCs w:val="32"/>
        </w:rPr>
        <w:sectPr>
          <w:pgSz w:w="16839" w:h="11906" w:orient="landscape"/>
          <w:pgMar w:top="1134" w:right="1440" w:bottom="1134" w:left="1440" w:header="0" w:footer="1361" w:gutter="0"/>
          <w:cols w:space="720" w:num="1"/>
          <w:docGrid w:linePitch="435"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A412F2-E61C-48C0-A690-BA2C77BAFF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32CEE5-33C2-4A5C-9FEF-67D4892E8855}"/>
  </w:font>
  <w:font w:name="方正小标宋简体">
    <w:panose1 w:val="02000000000000000000"/>
    <w:charset w:val="86"/>
    <w:family w:val="script"/>
    <w:pitch w:val="default"/>
    <w:sig w:usb0="A00002BF" w:usb1="184F6CFA" w:usb2="00000012" w:usb3="00000000" w:csb0="00040001" w:csb1="00000000"/>
    <w:embedRegular r:id="rId3" w:fontKey="{C7AFB51F-DA96-414A-B3F6-A6DA304C2784}"/>
  </w:font>
  <w:font w:name="仿宋">
    <w:panose1 w:val="02010609060101010101"/>
    <w:charset w:val="86"/>
    <w:family w:val="modern"/>
    <w:pitch w:val="default"/>
    <w:sig w:usb0="800002BF" w:usb1="38CF7CFA" w:usb2="00000016" w:usb3="00000000" w:csb0="00040001" w:csb1="00000000"/>
    <w:embedRegular r:id="rId4" w:fontKey="{5F5F50BE-A8A5-47AD-8E67-A292827A20BD}"/>
  </w:font>
  <w:font w:name="方正小标宋_GBK">
    <w:panose1 w:val="02000000000000000000"/>
    <w:charset w:val="86"/>
    <w:family w:val="auto"/>
    <w:pitch w:val="default"/>
    <w:sig w:usb0="A00002BF" w:usb1="38CF7CFA" w:usb2="00082016" w:usb3="00000000" w:csb0="00040001" w:csb1="00000000"/>
    <w:embedRegular r:id="rId5" w:fontKey="{5DBA5FA4-3F34-4CD9-9425-51B37F69D0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31018"/>
    <w:rsid w:val="4673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2025-03-19T06:26:00Z</dcterms:created>
  <dc:creator>Z</dc:creator>
  <cp:lastModifiedBy>Z</cp:lastModifiedBy>
  <dcterms:modified xsi:type="dcterms:W3CDTF">2025-03-19T06:27:36Z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9DBD0A5DC6264677AE293D707652D3B2</vt:lpwstr>
  </property>
</Properties>
</file>