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CF4" w:rsidRDefault="001E6CF4" w:rsidP="00437FD6">
      <w:pPr>
        <w:pStyle w:val="a0"/>
        <w:ind w:firstLine="602"/>
        <w:rPr>
          <w:rFonts w:ascii="仿宋_GB2312" w:eastAsia="仿宋_GB2312" w:hAnsi="仿宋_GB2312" w:cs="仿宋_GB2312"/>
          <w:b/>
          <w:color w:val="000000" w:themeColor="text1"/>
        </w:rPr>
      </w:pPr>
    </w:p>
    <w:p w:rsidR="001E6CF4" w:rsidRDefault="001E6CF4" w:rsidP="00437FD6">
      <w:pPr>
        <w:pStyle w:val="a0"/>
        <w:ind w:firstLine="602"/>
        <w:rPr>
          <w:rFonts w:ascii="仿宋_GB2312" w:eastAsia="仿宋_GB2312" w:hAnsi="仿宋_GB2312" w:cs="仿宋_GB2312"/>
          <w:b/>
          <w:color w:val="000000" w:themeColor="text1"/>
        </w:rPr>
      </w:pPr>
    </w:p>
    <w:p w:rsidR="001E6CF4" w:rsidRDefault="005458C6" w:rsidP="00BA6129">
      <w:pPr>
        <w:spacing w:afterLines="50" w:line="360" w:lineRule="auto"/>
        <w:ind w:firstLineChars="0" w:firstLine="0"/>
        <w:jc w:val="center"/>
        <w:rPr>
          <w:rFonts w:ascii="方正小标宋简体" w:eastAsia="方正小标宋简体" w:hAnsi="方正小标宋简体" w:cs="方正小标宋简体"/>
          <w:b/>
          <w:color w:val="000000" w:themeColor="text1"/>
          <w:sz w:val="64"/>
          <w:szCs w:val="64"/>
        </w:rPr>
      </w:pPr>
      <w:r>
        <w:rPr>
          <w:rFonts w:ascii="方正小标宋简体" w:eastAsia="方正小标宋简体" w:hAnsi="方正小标宋简体" w:cs="方正小标宋简体" w:hint="eastAsia"/>
          <w:bCs/>
          <w:color w:val="000000" w:themeColor="text1"/>
          <w:sz w:val="64"/>
          <w:szCs w:val="64"/>
        </w:rPr>
        <w:t>延安市矿产资源总体规划</w:t>
      </w:r>
    </w:p>
    <w:p w:rsidR="001E6CF4" w:rsidRDefault="005458C6" w:rsidP="00BA6129">
      <w:pPr>
        <w:spacing w:beforeLines="100" w:afterLines="50" w:line="360" w:lineRule="auto"/>
        <w:ind w:firstLineChars="0" w:firstLine="0"/>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（2021－2025年）</w:t>
      </w:r>
    </w:p>
    <w:p w:rsidR="001E6CF4" w:rsidRDefault="001E6CF4">
      <w:pPr>
        <w:spacing w:line="360" w:lineRule="auto"/>
        <w:ind w:firstLineChars="0" w:firstLine="0"/>
        <w:jc w:val="center"/>
        <w:rPr>
          <w:rFonts w:ascii="仿宋_GB2312" w:eastAsia="仿宋_GB2312" w:hAnsi="仿宋_GB2312" w:cs="仿宋_GB2312"/>
          <w:b/>
          <w:color w:val="000000" w:themeColor="text1"/>
          <w:sz w:val="36"/>
          <w:szCs w:val="36"/>
        </w:rPr>
      </w:pPr>
    </w:p>
    <w:p w:rsidR="001E6CF4" w:rsidRDefault="001E6CF4" w:rsidP="00437FD6">
      <w:pPr>
        <w:pStyle w:val="a0"/>
        <w:ind w:firstLine="602"/>
        <w:rPr>
          <w:rFonts w:ascii="仿宋_GB2312" w:eastAsia="仿宋_GB2312" w:hAnsi="仿宋_GB2312" w:cs="仿宋_GB2312"/>
          <w:b/>
          <w:color w:val="000000" w:themeColor="text1"/>
        </w:rPr>
      </w:pPr>
    </w:p>
    <w:p w:rsidR="001E6CF4" w:rsidRDefault="001E6CF4">
      <w:pPr>
        <w:spacing w:line="360" w:lineRule="auto"/>
        <w:ind w:firstLineChars="0" w:firstLine="0"/>
        <w:jc w:val="center"/>
        <w:rPr>
          <w:rFonts w:ascii="仿宋_GB2312" w:eastAsia="仿宋_GB2312" w:hAnsi="仿宋_GB2312" w:cs="仿宋_GB2312"/>
          <w:b/>
          <w:color w:val="000000" w:themeColor="text1"/>
          <w:sz w:val="36"/>
          <w:szCs w:val="36"/>
        </w:rPr>
      </w:pPr>
    </w:p>
    <w:p w:rsidR="001E6CF4" w:rsidRDefault="001E6CF4">
      <w:pPr>
        <w:spacing w:line="360" w:lineRule="auto"/>
        <w:ind w:firstLineChars="0" w:firstLine="0"/>
        <w:jc w:val="center"/>
        <w:rPr>
          <w:rFonts w:ascii="仿宋_GB2312" w:eastAsia="仿宋_GB2312" w:hAnsi="仿宋_GB2312" w:cs="仿宋_GB2312"/>
          <w:b/>
          <w:color w:val="000000" w:themeColor="text1"/>
          <w:sz w:val="36"/>
          <w:szCs w:val="36"/>
        </w:rPr>
      </w:pPr>
    </w:p>
    <w:p w:rsidR="001E6CF4" w:rsidRDefault="001E6CF4">
      <w:pPr>
        <w:spacing w:line="360" w:lineRule="auto"/>
        <w:ind w:firstLineChars="0" w:firstLine="0"/>
        <w:jc w:val="center"/>
        <w:rPr>
          <w:rFonts w:ascii="仿宋_GB2312" w:eastAsia="仿宋_GB2312" w:hAnsi="仿宋_GB2312" w:cs="仿宋_GB2312"/>
          <w:b/>
          <w:color w:val="000000" w:themeColor="text1"/>
          <w:sz w:val="36"/>
          <w:szCs w:val="36"/>
        </w:rPr>
      </w:pPr>
    </w:p>
    <w:p w:rsidR="001E6CF4" w:rsidRDefault="001E6CF4">
      <w:pPr>
        <w:spacing w:line="360" w:lineRule="auto"/>
        <w:ind w:firstLineChars="0" w:firstLine="0"/>
        <w:jc w:val="center"/>
        <w:rPr>
          <w:rFonts w:ascii="仿宋_GB2312" w:eastAsia="仿宋_GB2312" w:hAnsi="仿宋_GB2312" w:cs="仿宋_GB2312"/>
          <w:b/>
          <w:color w:val="000000" w:themeColor="text1"/>
          <w:sz w:val="36"/>
          <w:szCs w:val="36"/>
        </w:rPr>
      </w:pPr>
    </w:p>
    <w:p w:rsidR="001E6CF4" w:rsidRDefault="001E6CF4">
      <w:pPr>
        <w:spacing w:line="360" w:lineRule="auto"/>
        <w:ind w:firstLineChars="0" w:firstLine="0"/>
        <w:jc w:val="center"/>
        <w:rPr>
          <w:rFonts w:ascii="仿宋_GB2312" w:eastAsia="仿宋_GB2312" w:hAnsi="仿宋_GB2312" w:cs="仿宋_GB2312"/>
          <w:b/>
          <w:color w:val="000000" w:themeColor="text1"/>
          <w:sz w:val="36"/>
          <w:szCs w:val="36"/>
        </w:rPr>
      </w:pPr>
    </w:p>
    <w:p w:rsidR="001E6CF4" w:rsidRDefault="001E6CF4">
      <w:pPr>
        <w:spacing w:line="240" w:lineRule="auto"/>
        <w:ind w:firstLineChars="0" w:firstLine="0"/>
        <w:jc w:val="center"/>
        <w:rPr>
          <w:rFonts w:ascii="仿宋_GB2312" w:eastAsia="仿宋_GB2312" w:hAnsi="仿宋_GB2312" w:cs="仿宋_GB2312"/>
          <w:b/>
          <w:color w:val="000000" w:themeColor="text1"/>
          <w:sz w:val="32"/>
          <w:szCs w:val="36"/>
        </w:rPr>
      </w:pPr>
    </w:p>
    <w:p w:rsidR="001E6CF4" w:rsidRDefault="001E6CF4">
      <w:pPr>
        <w:spacing w:line="240" w:lineRule="auto"/>
        <w:ind w:firstLineChars="0" w:firstLine="0"/>
        <w:jc w:val="center"/>
        <w:rPr>
          <w:rFonts w:ascii="仿宋_GB2312" w:eastAsia="仿宋_GB2312" w:hAnsi="仿宋_GB2312" w:cs="仿宋_GB2312"/>
          <w:b/>
          <w:color w:val="000000" w:themeColor="text1"/>
          <w:sz w:val="32"/>
          <w:szCs w:val="36"/>
        </w:rPr>
      </w:pPr>
    </w:p>
    <w:p w:rsidR="001E6CF4" w:rsidRDefault="001E6CF4">
      <w:pPr>
        <w:spacing w:line="240" w:lineRule="auto"/>
        <w:ind w:firstLineChars="0" w:firstLine="0"/>
        <w:jc w:val="center"/>
        <w:rPr>
          <w:rFonts w:ascii="仿宋_GB2312" w:eastAsia="仿宋_GB2312" w:hAnsi="仿宋_GB2312" w:cs="仿宋_GB2312"/>
          <w:b/>
          <w:color w:val="000000" w:themeColor="text1"/>
          <w:sz w:val="32"/>
          <w:szCs w:val="36"/>
        </w:rPr>
      </w:pPr>
    </w:p>
    <w:p w:rsidR="001E6CF4" w:rsidRDefault="001E6CF4">
      <w:pPr>
        <w:spacing w:line="660" w:lineRule="exact"/>
        <w:ind w:firstLineChars="0" w:firstLine="0"/>
        <w:jc w:val="center"/>
        <w:rPr>
          <w:rFonts w:ascii="黑体" w:eastAsia="黑体" w:hAnsi="黑体" w:cs="黑体"/>
          <w:b/>
          <w:color w:val="000000" w:themeColor="text1"/>
          <w:kern w:val="0"/>
          <w:sz w:val="44"/>
          <w:szCs w:val="44"/>
        </w:rPr>
      </w:pPr>
    </w:p>
    <w:p w:rsidR="001E6CF4" w:rsidRDefault="005458C6">
      <w:pPr>
        <w:spacing w:line="660" w:lineRule="exact"/>
        <w:ind w:firstLineChars="0" w:firstLine="0"/>
        <w:jc w:val="center"/>
        <w:rPr>
          <w:rFonts w:ascii="黑体" w:eastAsia="黑体" w:hAnsi="黑体" w:cs="黑体"/>
          <w:b/>
          <w:color w:val="000000" w:themeColor="text1"/>
          <w:kern w:val="0"/>
          <w:sz w:val="40"/>
          <w:szCs w:val="40"/>
        </w:rPr>
      </w:pPr>
      <w:r>
        <w:rPr>
          <w:rFonts w:ascii="黑体" w:eastAsia="黑体" w:hAnsi="黑体" w:cs="黑体" w:hint="eastAsia"/>
          <w:b/>
          <w:color w:val="000000" w:themeColor="text1"/>
          <w:kern w:val="0"/>
          <w:sz w:val="44"/>
          <w:szCs w:val="44"/>
        </w:rPr>
        <w:t>2022年12月</w:t>
      </w:r>
    </w:p>
    <w:p w:rsidR="001E6CF4" w:rsidRDefault="001E6CF4">
      <w:pPr>
        <w:spacing w:line="360" w:lineRule="auto"/>
        <w:ind w:firstLineChars="0" w:firstLine="0"/>
        <w:rPr>
          <w:rFonts w:ascii="仿宋_GB2312" w:eastAsia="仿宋_GB2312" w:hAnsi="仿宋_GB2312" w:cs="仿宋_GB2312"/>
          <w:b/>
          <w:color w:val="000000" w:themeColor="text1"/>
          <w:lang w:val="zh-CN"/>
        </w:rPr>
        <w:sectPr w:rsidR="001E6CF4">
          <w:footerReference w:type="even" r:id="rId8"/>
          <w:footerReference w:type="default" r:id="rId9"/>
          <w:footerReference w:type="first" r:id="rId10"/>
          <w:pgSz w:w="11906" w:h="16838"/>
          <w:pgMar w:top="1871" w:right="1531" w:bottom="1984" w:left="1531" w:header="1412" w:footer="1491" w:gutter="0"/>
          <w:pgNumType w:start="1"/>
          <w:cols w:space="0"/>
          <w:titlePg/>
          <w:docGrid w:type="lines" w:linePitch="419"/>
        </w:sectPr>
      </w:pPr>
    </w:p>
    <w:p w:rsidR="001E6CF4" w:rsidRDefault="001E6CF4">
      <w:pPr>
        <w:pStyle w:val="1"/>
        <w:overflowPunct w:val="0"/>
        <w:spacing w:beforeAutospacing="0" w:afterAutospacing="0" w:line="586" w:lineRule="exact"/>
        <w:rPr>
          <w:rFonts w:ascii="方正小标宋简体" w:eastAsia="方正小标宋简体" w:hAnsi="方正小标宋简体" w:cs="方正小标宋简体" w:hint="default"/>
          <w:bCs w:val="0"/>
          <w:color w:val="000000" w:themeColor="text1"/>
          <w:sz w:val="44"/>
          <w:szCs w:val="44"/>
        </w:rPr>
      </w:pPr>
      <w:bookmarkStart w:id="0" w:name="_GoBack"/>
      <w:bookmarkStart w:id="1" w:name="_Toc31949"/>
      <w:bookmarkStart w:id="2" w:name="_Toc32209"/>
      <w:bookmarkStart w:id="3" w:name="_Toc23222"/>
      <w:bookmarkEnd w:id="0"/>
    </w:p>
    <w:p w:rsidR="001E6CF4" w:rsidRDefault="005458C6">
      <w:pPr>
        <w:pStyle w:val="1"/>
        <w:overflowPunct w:val="0"/>
        <w:spacing w:beforeAutospacing="0" w:afterAutospacing="0" w:line="586" w:lineRule="exact"/>
        <w:rPr>
          <w:rFonts w:hint="default"/>
          <w:b w:val="0"/>
          <w:color w:val="000000" w:themeColor="text1"/>
          <w:sz w:val="44"/>
          <w:szCs w:val="44"/>
        </w:rPr>
      </w:pPr>
      <w:r>
        <w:rPr>
          <w:rFonts w:ascii="方正小标宋简体" w:eastAsia="方正小标宋简体" w:hAnsi="方正小标宋简体" w:cs="方正小标宋简体"/>
          <w:b w:val="0"/>
          <w:color w:val="000000" w:themeColor="text1"/>
          <w:sz w:val="44"/>
          <w:szCs w:val="44"/>
        </w:rPr>
        <w:t>总  则</w:t>
      </w:r>
      <w:bookmarkEnd w:id="1"/>
      <w:bookmarkEnd w:id="2"/>
      <w:bookmarkEnd w:id="3"/>
    </w:p>
    <w:p w:rsidR="001E6CF4" w:rsidRDefault="001E6CF4" w:rsidP="00437FD6">
      <w:pPr>
        <w:overflowPunct w:val="0"/>
        <w:spacing w:line="586" w:lineRule="exact"/>
        <w:ind w:firstLine="643"/>
        <w:rPr>
          <w:rFonts w:ascii="仿宋_GB2312" w:eastAsia="仿宋_GB2312" w:hAnsi="仿宋_GB2312" w:cs="仿宋_GB2312"/>
          <w:b/>
          <w:color w:val="000000" w:themeColor="text1"/>
          <w:sz w:val="32"/>
          <w:szCs w:val="32"/>
        </w:rPr>
      </w:pPr>
    </w:p>
    <w:p w:rsidR="001E6CF4" w:rsidRDefault="005458C6" w:rsidP="00437FD6">
      <w:pPr>
        <w:overflowPunct w:val="0"/>
        <w:spacing w:line="586"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十四五”时期是我国全面建成小康社会、实现第一个百年奋斗目标之后，乘势而上开启全面建设社会主义现代化国家新征程、向第二个百年奋斗目标进军的第一个五年。根据《自然资源部关于全面开展矿产资源规划（2021-2025 年）编制工作的通知》（自然资发〔2020〕43 号）及《陕西省自然资源厅关于开展市县级矿产资源规划（2021-2025）编制工作的通知》（陕自然资矿保发〔2020〕6 号）的要求，编制《延安市矿产资源总体规划（2021－2025年）》（以下简称《规划》）。</w:t>
      </w:r>
    </w:p>
    <w:p w:rsidR="001E6CF4" w:rsidRDefault="005458C6" w:rsidP="00437FD6">
      <w:pPr>
        <w:widowControl/>
        <w:spacing w:line="586"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《规划》主要依据《中华人民共和国矿产资源法》</w:t>
      </w:r>
      <w:r>
        <w:rPr>
          <w:rFonts w:ascii="仿宋_GB2312" w:eastAsia="仿宋_GB2312" w:hAnsi="仿宋_GB2312" w:cs="仿宋_GB2312" w:hint="eastAsia"/>
          <w:b/>
          <w:color w:val="000000" w:themeColor="text1"/>
          <w:kern w:val="1"/>
          <w:sz w:val="32"/>
          <w:szCs w:val="32"/>
        </w:rPr>
        <w:t>《陕西省矿产资源管理条例》</w:t>
      </w:r>
      <w:r>
        <w:rPr>
          <w:rFonts w:ascii="仿宋_GB2312" w:eastAsia="仿宋_GB2312" w:hAnsi="仿宋_GB2312" w:cs="仿宋_GB2312" w:hint="eastAsia"/>
          <w:b/>
          <w:color w:val="000000" w:themeColor="text1"/>
          <w:sz w:val="32"/>
          <w:szCs w:val="32"/>
        </w:rPr>
        <w:t>及其实施细则等法律法规、《矿产资源规划编制实施办法》等部门规章、《陕西省矿产资源总体规划（2021－2025年）》、《延安市国民经济和社会发展第十四个五年规划和二〇三五年远景目标纲要》等相关规划。</w:t>
      </w:r>
    </w:p>
    <w:p w:rsidR="001E6CF4" w:rsidRDefault="005458C6" w:rsidP="00437FD6">
      <w:pPr>
        <w:spacing w:line="586"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《规划》是全面落实延安市“十四五”发展规划的总体布局，细化和落实上级的目标任务，是对本地区主要矿产资源勘查、开发与保护作出的部署和安排。</w:t>
      </w:r>
      <w:r>
        <w:rPr>
          <w:rFonts w:ascii="仿宋_GB2312" w:eastAsia="仿宋_GB2312" w:hAnsi="仿宋_GB2312" w:cs="仿宋_GB2312" w:hint="eastAsia"/>
          <w:b/>
          <w:color w:val="000000" w:themeColor="text1"/>
          <w:sz w:val="32"/>
          <w:szCs w:val="32"/>
          <w:lang w:val="zh-CN"/>
        </w:rPr>
        <w:t>是</w:t>
      </w:r>
      <w:r>
        <w:rPr>
          <w:rFonts w:ascii="仿宋_GB2312" w:eastAsia="仿宋_GB2312" w:hAnsi="仿宋_GB2312" w:cs="仿宋_GB2312" w:hint="eastAsia"/>
          <w:b/>
          <w:color w:val="000000" w:themeColor="text1"/>
          <w:sz w:val="32"/>
          <w:szCs w:val="32"/>
        </w:rPr>
        <w:t>延安</w:t>
      </w:r>
      <w:r>
        <w:rPr>
          <w:rFonts w:ascii="仿宋_GB2312" w:eastAsia="仿宋_GB2312" w:hAnsi="仿宋_GB2312" w:cs="仿宋_GB2312" w:hint="eastAsia"/>
          <w:b/>
          <w:color w:val="000000" w:themeColor="text1"/>
          <w:sz w:val="32"/>
          <w:szCs w:val="32"/>
          <w:lang w:val="zh-CN"/>
        </w:rPr>
        <w:t>市依法审批和监督管理矿产资源勘查、</w:t>
      </w:r>
      <w:bookmarkStart w:id="4" w:name="_Hlk75161741"/>
      <w:r>
        <w:rPr>
          <w:rFonts w:ascii="仿宋_GB2312" w:eastAsia="仿宋_GB2312" w:hAnsi="仿宋_GB2312" w:cs="仿宋_GB2312" w:hint="eastAsia"/>
          <w:b/>
          <w:color w:val="000000" w:themeColor="text1"/>
          <w:sz w:val="32"/>
          <w:szCs w:val="32"/>
          <w:lang w:val="zh-CN"/>
        </w:rPr>
        <w:t>开发利用和保护活动</w:t>
      </w:r>
      <w:bookmarkEnd w:id="4"/>
      <w:r>
        <w:rPr>
          <w:rFonts w:ascii="仿宋_GB2312" w:eastAsia="仿宋_GB2312" w:hAnsi="仿宋_GB2312" w:cs="仿宋_GB2312" w:hint="eastAsia"/>
          <w:b/>
          <w:color w:val="000000" w:themeColor="text1"/>
          <w:sz w:val="32"/>
          <w:szCs w:val="32"/>
          <w:lang w:val="zh-CN"/>
        </w:rPr>
        <w:t>的重要依据，是指导各县（市、区）做好矿产资源管理工作的重要遵循。在</w:t>
      </w:r>
      <w:r>
        <w:rPr>
          <w:rFonts w:ascii="仿宋_GB2312" w:eastAsia="仿宋_GB2312" w:hAnsi="仿宋_GB2312" w:cs="仿宋_GB2312" w:hint="eastAsia"/>
          <w:b/>
          <w:color w:val="000000" w:themeColor="text1"/>
          <w:sz w:val="32"/>
          <w:szCs w:val="32"/>
        </w:rPr>
        <w:t>延安市</w:t>
      </w:r>
      <w:r>
        <w:rPr>
          <w:rFonts w:ascii="仿宋_GB2312" w:eastAsia="仿宋_GB2312" w:hAnsi="仿宋_GB2312" w:cs="仿宋_GB2312" w:hint="eastAsia"/>
          <w:b/>
          <w:color w:val="000000" w:themeColor="text1"/>
          <w:sz w:val="32"/>
          <w:szCs w:val="32"/>
          <w:lang w:val="zh-CN"/>
        </w:rPr>
        <w:t>境内开展地质勘查、矿产资源开发利用和保护、绿色矿山建设和矿区生态保护、</w:t>
      </w:r>
      <w:r>
        <w:rPr>
          <w:rFonts w:ascii="仿宋_GB2312" w:eastAsia="仿宋_GB2312" w:hAnsi="仿宋_GB2312" w:cs="仿宋_GB2312" w:hint="eastAsia"/>
          <w:b/>
          <w:color w:val="000000" w:themeColor="text1"/>
          <w:sz w:val="32"/>
          <w:szCs w:val="32"/>
          <w:lang w:val="zh-CN"/>
        </w:rPr>
        <w:lastRenderedPageBreak/>
        <w:t>矿产资源管理等活动，应当符合《规划》。涉及矿产资源开发活动的相关行业规划，应当与《规划》做好衔接。</w:t>
      </w:r>
    </w:p>
    <w:p w:rsidR="001E6CF4" w:rsidRDefault="005458C6" w:rsidP="00437FD6">
      <w:pPr>
        <w:spacing w:line="590" w:lineRule="exact"/>
        <w:ind w:firstLine="643"/>
        <w:rPr>
          <w:rFonts w:ascii="仿宋_GB2312" w:eastAsia="仿宋_GB2312" w:hAnsi="仿宋_GB2312" w:cs="仿宋_GB2312"/>
          <w:b/>
          <w:color w:val="000000" w:themeColor="text1"/>
        </w:rPr>
      </w:pPr>
      <w:r>
        <w:rPr>
          <w:rFonts w:ascii="仿宋_GB2312" w:eastAsia="仿宋_GB2312" w:hAnsi="仿宋_GB2312" w:cs="仿宋_GB2312" w:hint="eastAsia"/>
          <w:b/>
          <w:color w:val="000000" w:themeColor="text1"/>
          <w:sz w:val="32"/>
          <w:szCs w:val="32"/>
        </w:rPr>
        <w:t>《规划》基准年为2020年，目标年为2025年，展望到2035年。《规划》适用范围为延安市</w:t>
      </w:r>
      <w:bookmarkStart w:id="5" w:name="_Hlk80085075"/>
      <w:r>
        <w:rPr>
          <w:rFonts w:ascii="仿宋_GB2312" w:eastAsia="仿宋_GB2312" w:hAnsi="仿宋_GB2312" w:cs="仿宋_GB2312" w:hint="eastAsia"/>
          <w:b/>
          <w:color w:val="000000" w:themeColor="text1"/>
          <w:sz w:val="32"/>
          <w:szCs w:val="32"/>
        </w:rPr>
        <w:t>所辖行政区域</w:t>
      </w:r>
      <w:bookmarkEnd w:id="5"/>
      <w:r>
        <w:rPr>
          <w:rFonts w:ascii="仿宋_GB2312" w:eastAsia="仿宋_GB2312" w:hAnsi="仿宋_GB2312" w:cs="仿宋_GB2312" w:hint="eastAsia"/>
          <w:b/>
          <w:color w:val="000000" w:themeColor="text1"/>
          <w:sz w:val="32"/>
          <w:szCs w:val="32"/>
        </w:rPr>
        <w:t>。</w:t>
      </w:r>
    </w:p>
    <w:p w:rsidR="001E6CF4" w:rsidRDefault="005458C6" w:rsidP="00437FD6">
      <w:pPr>
        <w:spacing w:line="590" w:lineRule="exact"/>
        <w:ind w:firstLine="602"/>
        <w:rPr>
          <w:rFonts w:ascii="仿宋_GB2312" w:eastAsia="仿宋_GB2312" w:hAnsi="仿宋_GB2312" w:cs="仿宋_GB2312"/>
          <w:b/>
          <w:color w:val="000000" w:themeColor="text1"/>
        </w:rPr>
      </w:pPr>
      <w:r>
        <w:rPr>
          <w:rFonts w:ascii="仿宋_GB2312" w:eastAsia="仿宋_GB2312" w:hAnsi="仿宋_GB2312" w:cs="仿宋_GB2312" w:hint="eastAsia"/>
          <w:b/>
          <w:color w:val="000000" w:themeColor="text1"/>
        </w:rPr>
        <w:br w:type="page"/>
      </w:r>
    </w:p>
    <w:p w:rsidR="001E6CF4" w:rsidRDefault="001E6CF4">
      <w:pPr>
        <w:pStyle w:val="1"/>
        <w:overflowPunct w:val="0"/>
        <w:spacing w:beforeAutospacing="0" w:afterAutospacing="0" w:line="590" w:lineRule="exact"/>
        <w:ind w:firstLineChars="200" w:firstLine="723"/>
        <w:jc w:val="both"/>
        <w:rPr>
          <w:rFonts w:hint="default"/>
          <w:bCs w:val="0"/>
          <w:color w:val="000000" w:themeColor="text1"/>
        </w:rPr>
      </w:pPr>
      <w:bookmarkStart w:id="6" w:name="_Toc11147"/>
      <w:bookmarkStart w:id="7" w:name="_Toc23954"/>
      <w:bookmarkStart w:id="8" w:name="_Toc444767718"/>
      <w:bookmarkStart w:id="9" w:name="_Toc4523"/>
      <w:bookmarkStart w:id="10" w:name="_Toc437691276"/>
      <w:bookmarkStart w:id="11" w:name="_Toc444768080"/>
    </w:p>
    <w:p w:rsidR="001E6CF4" w:rsidRDefault="005458C6">
      <w:pPr>
        <w:pStyle w:val="1"/>
        <w:overflowPunct w:val="0"/>
        <w:spacing w:beforeAutospacing="0" w:afterAutospacing="0" w:line="590" w:lineRule="exact"/>
        <w:rPr>
          <w:rFonts w:hint="default"/>
          <w:b w:val="0"/>
          <w:color w:val="000000" w:themeColor="text1"/>
          <w:sz w:val="44"/>
          <w:szCs w:val="44"/>
        </w:rPr>
      </w:pPr>
      <w:r>
        <w:rPr>
          <w:rFonts w:ascii="方正小标宋简体" w:eastAsia="方正小标宋简体" w:hAnsi="方正小标宋简体" w:cs="方正小标宋简体"/>
          <w:b w:val="0"/>
          <w:color w:val="000000" w:themeColor="text1"/>
          <w:sz w:val="44"/>
          <w:szCs w:val="44"/>
        </w:rPr>
        <w:t>第一章  现状与形势</w:t>
      </w:r>
      <w:bookmarkEnd w:id="6"/>
      <w:bookmarkEnd w:id="7"/>
      <w:bookmarkEnd w:id="8"/>
      <w:bookmarkEnd w:id="9"/>
      <w:bookmarkEnd w:id="10"/>
      <w:bookmarkEnd w:id="11"/>
    </w:p>
    <w:p w:rsidR="001E6CF4" w:rsidRDefault="001E6CF4">
      <w:pPr>
        <w:pStyle w:val="2"/>
        <w:keepNext w:val="0"/>
        <w:keepLines w:val="0"/>
        <w:overflowPunct w:val="0"/>
        <w:adjustRightInd/>
        <w:snapToGrid/>
        <w:spacing w:line="590" w:lineRule="exact"/>
        <w:ind w:firstLineChars="200" w:firstLine="643"/>
        <w:rPr>
          <w:rFonts w:ascii="仿宋_GB2312" w:eastAsia="仿宋_GB2312" w:hAnsi="仿宋_GB2312" w:cs="仿宋_GB2312"/>
          <w:bCs w:val="0"/>
          <w:color w:val="000000" w:themeColor="text1"/>
        </w:rPr>
      </w:pPr>
      <w:bookmarkStart w:id="12" w:name="_Toc27336"/>
      <w:bookmarkStart w:id="13" w:name="_Toc7829"/>
      <w:bookmarkStart w:id="14" w:name="_Toc15351"/>
    </w:p>
    <w:p w:rsidR="001E6CF4" w:rsidRDefault="005458C6">
      <w:pPr>
        <w:pStyle w:val="2"/>
        <w:keepNext w:val="0"/>
        <w:keepLines w:val="0"/>
        <w:overflowPunct w:val="0"/>
        <w:adjustRightInd/>
        <w:snapToGrid/>
        <w:spacing w:line="590" w:lineRule="exact"/>
        <w:ind w:firstLineChars="200" w:firstLine="643"/>
        <w:rPr>
          <w:rFonts w:ascii="仿宋_GB2312" w:eastAsia="仿宋_GB2312" w:hAnsi="仿宋_GB2312" w:cs="仿宋_GB2312"/>
          <w:bCs w:val="0"/>
          <w:color w:val="000000" w:themeColor="text1"/>
        </w:rPr>
      </w:pPr>
      <w:r>
        <w:rPr>
          <w:rFonts w:ascii="黑体" w:eastAsia="黑体" w:hAnsi="黑体" w:cs="黑体" w:hint="eastAsia"/>
          <w:bCs w:val="0"/>
          <w:color w:val="000000" w:themeColor="text1"/>
        </w:rPr>
        <w:t>一、矿产资源概况</w:t>
      </w:r>
      <w:bookmarkEnd w:id="12"/>
      <w:bookmarkEnd w:id="13"/>
      <w:bookmarkEnd w:id="14"/>
    </w:p>
    <w:p w:rsidR="001E6CF4" w:rsidRDefault="005458C6">
      <w:pPr>
        <w:overflowPunct w:val="0"/>
        <w:spacing w:line="59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延安市位于陕西省北部，地处黄河中游，位处黄土高原中南部位，属陕北黄土高原中部的丘陵沟壑区，介于北纬35°21′～37°31′，东经107°41′～110°31′之间。北连榆林，南接关中咸阳、铜川、渭南、韩城四市，东隔黄河与山西临汾、吕梁两市相望，西邻甘肃庆阳市。延安市辖子长市1市，宝塔、安塞2区，吴起、志丹、延川、延长、宜川、甘泉、富县、黄龙、洛川和黄陵10县，下设16个街道办事处、84个镇和12个乡，全市总面积3.7万平方公里，总人口225.57万。</w:t>
      </w:r>
    </w:p>
    <w:p w:rsidR="001E6CF4" w:rsidRDefault="005458C6">
      <w:pPr>
        <w:overflowPunct w:val="0"/>
        <w:spacing w:line="59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延安市位于鄂尔多斯盆地腹地，矿产资源以中、新生代沉积矿产为主。目前发现有煤炭、煤层气、石油、天然气、油页岩、紫砂陶土、陶粒粘土、陶粒用页岩、白云土、泥灰岩、砖瓦用粘土、石英砂岩、建筑用砂岩、矿泉水、玛瑙、盐矿共计16余种。已列入陕西矿产资源储量表的有煤炭、陶粒页岩、陶瓷土、岩盐4种，矿区42处。煤炭、石油、天然气、岩盐等矿产资源构成了延安市的优势矿种。</w:t>
      </w:r>
    </w:p>
    <w:p w:rsidR="001E6CF4" w:rsidRDefault="005458C6">
      <w:pPr>
        <w:pStyle w:val="2"/>
        <w:keepNext w:val="0"/>
        <w:keepLines w:val="0"/>
        <w:overflowPunct w:val="0"/>
        <w:adjustRightInd/>
        <w:snapToGrid/>
        <w:spacing w:line="590" w:lineRule="exact"/>
        <w:ind w:firstLineChars="200" w:firstLine="643"/>
        <w:rPr>
          <w:rFonts w:ascii="黑体" w:eastAsia="黑体" w:hAnsi="黑体" w:cs="黑体"/>
          <w:bCs w:val="0"/>
          <w:color w:val="000000" w:themeColor="text1"/>
        </w:rPr>
      </w:pPr>
      <w:bookmarkStart w:id="15" w:name="_Toc19579"/>
      <w:bookmarkStart w:id="16" w:name="_Toc21937"/>
      <w:bookmarkStart w:id="17" w:name="_Toc6050"/>
      <w:r>
        <w:rPr>
          <w:rFonts w:ascii="黑体" w:eastAsia="黑体" w:hAnsi="黑体" w:cs="黑体" w:hint="eastAsia"/>
          <w:bCs w:val="0"/>
          <w:color w:val="000000" w:themeColor="text1"/>
        </w:rPr>
        <w:t>二、矿产资源勘查开发利用</w:t>
      </w:r>
      <w:bookmarkEnd w:id="15"/>
      <w:bookmarkEnd w:id="16"/>
      <w:bookmarkEnd w:id="17"/>
    </w:p>
    <w:p w:rsidR="001E6CF4" w:rsidRPr="005A58A9" w:rsidRDefault="005458C6">
      <w:pPr>
        <w:pStyle w:val="3"/>
        <w:keepNext w:val="0"/>
        <w:keepLines w:val="0"/>
        <w:overflowPunct w:val="0"/>
        <w:adjustRightInd/>
        <w:snapToGrid/>
        <w:spacing w:line="590" w:lineRule="exact"/>
        <w:ind w:firstLine="643"/>
        <w:rPr>
          <w:rFonts w:ascii="楷体_GB2312" w:eastAsia="楷体_GB2312" w:hAnsi="仿宋_GB2312" w:cs="仿宋_GB2312"/>
          <w:b/>
          <w:bCs w:val="0"/>
          <w:color w:val="000000" w:themeColor="text1"/>
          <w:sz w:val="32"/>
        </w:rPr>
      </w:pPr>
      <w:bookmarkStart w:id="18" w:name="_Toc10747"/>
      <w:bookmarkStart w:id="19" w:name="_Toc437691280"/>
      <w:bookmarkStart w:id="20" w:name="_Toc444768083"/>
      <w:bookmarkStart w:id="21" w:name="_Toc444767722"/>
      <w:r w:rsidRPr="005A58A9">
        <w:rPr>
          <w:rFonts w:ascii="楷体_GB2312" w:eastAsia="楷体_GB2312" w:hAnsi="仿宋_GB2312" w:cs="仿宋_GB2312" w:hint="eastAsia"/>
          <w:b/>
          <w:bCs w:val="0"/>
          <w:color w:val="000000" w:themeColor="text1"/>
          <w:sz w:val="32"/>
        </w:rPr>
        <w:t>（一）矿产资源勘查现状</w:t>
      </w:r>
      <w:bookmarkEnd w:id="18"/>
    </w:p>
    <w:p w:rsidR="001E6CF4" w:rsidRDefault="005458C6">
      <w:pPr>
        <w:overflowPunct w:val="0"/>
        <w:spacing w:line="58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延安市已经全部进行过1∶50万区域重力测量、1∶20万航</w:t>
      </w:r>
      <w:r>
        <w:rPr>
          <w:rFonts w:ascii="仿宋_GB2312" w:eastAsia="仿宋_GB2312" w:hAnsi="仿宋_GB2312" w:cs="仿宋_GB2312" w:hint="eastAsia"/>
          <w:b/>
          <w:color w:val="000000" w:themeColor="text1"/>
          <w:sz w:val="32"/>
          <w:szCs w:val="32"/>
        </w:rPr>
        <w:lastRenderedPageBreak/>
        <w:t>磁测量和1∶20万区域地质调查，并完成了不同比例尺的水文地质、石油地质调查工作。</w:t>
      </w:r>
    </w:p>
    <w:p w:rsidR="001E6CF4" w:rsidRDefault="005458C6">
      <w:pPr>
        <w:overflowPunct w:val="0"/>
        <w:spacing w:line="58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截止2020年底，全市42个上表矿区中，达到勘探程度的有26处、详查程度的4处、普查程度的12处。其中煤炭勘查面积最大、程度最高，共有上表矿区37处，面积3635.96km</w:t>
      </w:r>
      <w:r>
        <w:rPr>
          <w:rFonts w:ascii="仿宋_GB2312" w:eastAsia="仿宋_GB2312" w:hAnsi="仿宋_GB2312" w:cs="仿宋_GB2312" w:hint="eastAsia"/>
          <w:b/>
          <w:color w:val="000000" w:themeColor="text1"/>
          <w:sz w:val="32"/>
          <w:szCs w:val="32"/>
          <w:vertAlign w:val="superscript"/>
        </w:rPr>
        <w:t>2</w:t>
      </w:r>
      <w:r>
        <w:rPr>
          <w:rFonts w:ascii="仿宋_GB2312" w:eastAsia="仿宋_GB2312" w:hAnsi="仿宋_GB2312" w:cs="仿宋_GB2312" w:hint="eastAsia"/>
          <w:b/>
          <w:color w:val="000000" w:themeColor="text1"/>
          <w:sz w:val="32"/>
          <w:szCs w:val="32"/>
        </w:rPr>
        <w:t>;详查以上矿区29个，面积2290.75km</w:t>
      </w:r>
      <w:r>
        <w:rPr>
          <w:rFonts w:ascii="仿宋_GB2312" w:eastAsia="仿宋_GB2312" w:hAnsi="仿宋_GB2312" w:cs="仿宋_GB2312" w:hint="eastAsia"/>
          <w:b/>
          <w:color w:val="000000" w:themeColor="text1"/>
          <w:sz w:val="32"/>
          <w:szCs w:val="32"/>
          <w:vertAlign w:val="superscript"/>
        </w:rPr>
        <w:t>2</w:t>
      </w:r>
      <w:r>
        <w:rPr>
          <w:rFonts w:ascii="仿宋_GB2312" w:eastAsia="仿宋_GB2312" w:hAnsi="仿宋_GB2312" w:cs="仿宋_GB2312" w:hint="eastAsia"/>
          <w:b/>
          <w:color w:val="000000" w:themeColor="text1"/>
          <w:sz w:val="32"/>
          <w:szCs w:val="32"/>
        </w:rPr>
        <w:t>。</w:t>
      </w:r>
    </w:p>
    <w:p w:rsidR="001E6CF4" w:rsidRDefault="005458C6">
      <w:pPr>
        <w:overflowPunct w:val="0"/>
        <w:spacing w:line="58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截止2020年底，全市共有探矿权17个，其中煤炭探矿权9个（勘探5个、详查3个、普查1个），勘查面积1236.67km</w:t>
      </w:r>
      <w:r>
        <w:rPr>
          <w:rFonts w:ascii="仿宋_GB2312" w:eastAsia="仿宋_GB2312" w:hAnsi="仿宋_GB2312" w:cs="仿宋_GB2312" w:hint="eastAsia"/>
          <w:b/>
          <w:color w:val="000000" w:themeColor="text1"/>
          <w:sz w:val="32"/>
          <w:szCs w:val="32"/>
          <w:vertAlign w:val="superscript"/>
        </w:rPr>
        <w:t>2</w:t>
      </w:r>
      <w:r>
        <w:rPr>
          <w:rFonts w:ascii="仿宋_GB2312" w:eastAsia="仿宋_GB2312" w:hAnsi="仿宋_GB2312" w:cs="仿宋_GB2312" w:hint="eastAsia"/>
          <w:b/>
          <w:color w:val="000000" w:themeColor="text1"/>
          <w:sz w:val="32"/>
          <w:szCs w:val="32"/>
        </w:rPr>
        <w:t>；铝土矿普查1个，勘查面积80.94km</w:t>
      </w:r>
      <w:r>
        <w:rPr>
          <w:rFonts w:ascii="仿宋_GB2312" w:eastAsia="仿宋_GB2312" w:hAnsi="仿宋_GB2312" w:cs="仿宋_GB2312" w:hint="eastAsia"/>
          <w:b/>
          <w:color w:val="000000" w:themeColor="text1"/>
          <w:sz w:val="32"/>
          <w:szCs w:val="32"/>
          <w:vertAlign w:val="superscript"/>
        </w:rPr>
        <w:t>2</w:t>
      </w:r>
      <w:r>
        <w:rPr>
          <w:rFonts w:ascii="仿宋_GB2312" w:eastAsia="仿宋_GB2312" w:hAnsi="仿宋_GB2312" w:cs="仿宋_GB2312" w:hint="eastAsia"/>
          <w:b/>
          <w:color w:val="000000" w:themeColor="text1"/>
          <w:sz w:val="32"/>
          <w:szCs w:val="32"/>
        </w:rPr>
        <w:t>；岩盐普查6个，勘查面积522.34km</w:t>
      </w:r>
      <w:r>
        <w:rPr>
          <w:rFonts w:ascii="仿宋_GB2312" w:eastAsia="仿宋_GB2312" w:hAnsi="仿宋_GB2312" w:cs="仿宋_GB2312" w:hint="eastAsia"/>
          <w:b/>
          <w:color w:val="000000" w:themeColor="text1"/>
          <w:sz w:val="32"/>
          <w:szCs w:val="32"/>
          <w:vertAlign w:val="superscript"/>
        </w:rPr>
        <w:t>2</w:t>
      </w:r>
      <w:r>
        <w:rPr>
          <w:rFonts w:ascii="仿宋_GB2312" w:eastAsia="仿宋_GB2312" w:hAnsi="仿宋_GB2312" w:cs="仿宋_GB2312" w:hint="eastAsia"/>
          <w:b/>
          <w:color w:val="000000" w:themeColor="text1"/>
          <w:sz w:val="32"/>
          <w:szCs w:val="32"/>
        </w:rPr>
        <w:t>；矿泉水普查1个，勘查面积1.74km</w:t>
      </w:r>
      <w:r>
        <w:rPr>
          <w:rFonts w:ascii="仿宋_GB2312" w:eastAsia="仿宋_GB2312" w:hAnsi="仿宋_GB2312" w:cs="仿宋_GB2312" w:hint="eastAsia"/>
          <w:b/>
          <w:color w:val="000000" w:themeColor="text1"/>
          <w:sz w:val="32"/>
          <w:szCs w:val="32"/>
          <w:vertAlign w:val="superscript"/>
        </w:rPr>
        <w:t>2</w:t>
      </w:r>
      <w:r>
        <w:rPr>
          <w:rFonts w:ascii="仿宋_GB2312" w:eastAsia="仿宋_GB2312" w:hAnsi="仿宋_GB2312" w:cs="仿宋_GB2312" w:hint="eastAsia"/>
          <w:b/>
          <w:color w:val="000000" w:themeColor="text1"/>
          <w:sz w:val="32"/>
          <w:szCs w:val="32"/>
        </w:rPr>
        <w:t>。</w:t>
      </w:r>
    </w:p>
    <w:p w:rsidR="001E6CF4" w:rsidRPr="005A58A9" w:rsidRDefault="005458C6">
      <w:pPr>
        <w:pStyle w:val="3"/>
        <w:keepNext w:val="0"/>
        <w:keepLines w:val="0"/>
        <w:overflowPunct w:val="0"/>
        <w:adjustRightInd/>
        <w:snapToGrid/>
        <w:spacing w:line="580" w:lineRule="exact"/>
        <w:ind w:firstLine="643"/>
        <w:rPr>
          <w:rFonts w:ascii="楷体_GB2312" w:eastAsia="楷体_GB2312" w:hAnsi="仿宋_GB2312" w:cs="仿宋_GB2312"/>
          <w:b/>
          <w:bCs w:val="0"/>
          <w:color w:val="000000" w:themeColor="text1"/>
          <w:sz w:val="32"/>
        </w:rPr>
      </w:pPr>
      <w:bookmarkStart w:id="22" w:name="_Toc23375"/>
      <w:bookmarkStart w:id="23" w:name="_Toc444768084"/>
      <w:bookmarkStart w:id="24" w:name="_Toc444767723"/>
      <w:bookmarkStart w:id="25" w:name="_Toc437691281"/>
      <w:bookmarkEnd w:id="19"/>
      <w:bookmarkEnd w:id="20"/>
      <w:bookmarkEnd w:id="21"/>
      <w:r w:rsidRPr="005A58A9">
        <w:rPr>
          <w:rFonts w:ascii="楷体_GB2312" w:eastAsia="楷体_GB2312" w:hAnsi="仿宋_GB2312" w:cs="仿宋_GB2312" w:hint="eastAsia"/>
          <w:b/>
          <w:bCs w:val="0"/>
          <w:color w:val="000000" w:themeColor="text1"/>
          <w:sz w:val="32"/>
        </w:rPr>
        <w:t>（二）矿产资源开发利用</w:t>
      </w:r>
      <w:bookmarkEnd w:id="22"/>
    </w:p>
    <w:p w:rsidR="001E6CF4" w:rsidRDefault="005458C6">
      <w:pPr>
        <w:overflowPunct w:val="0"/>
        <w:spacing w:line="58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延安市开发利用的主要矿产资源有石油、天然气、煤炭，除此之外有砖瓦用粘土和建筑石料和矿泉水。</w:t>
      </w:r>
    </w:p>
    <w:p w:rsidR="001E6CF4" w:rsidRDefault="005458C6">
      <w:pPr>
        <w:overflowPunct w:val="0"/>
        <w:spacing w:line="58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截止2020年底，除石油和天然气外，全市共有矿山236个。省厅发证的煤矿48个，市县级发证的188个（其中岩盐15个，矿泉水1个，砖瓦用粘土124个，建筑用砂7个，建筑用砂岩41个）。按照生产规模划分，大型矿山24个，中型矿山18个，小型矿山194个，大中型矿山占比为17.8%。按生产状态看，生</w:t>
      </w:r>
      <w:r>
        <w:rPr>
          <w:rFonts w:ascii="仿宋_GB2312" w:eastAsia="仿宋_GB2312" w:hAnsi="仿宋_GB2312" w:cs="仿宋_GB2312" w:hint="eastAsia"/>
          <w:b/>
          <w:color w:val="000000" w:themeColor="text1"/>
          <w:spacing w:val="-6"/>
          <w:sz w:val="32"/>
          <w:szCs w:val="32"/>
        </w:rPr>
        <w:t>产矿山85家，筹建矿山25家，停产矿山125家，关闭矿山1家。</w:t>
      </w:r>
    </w:p>
    <w:p w:rsidR="001E6CF4" w:rsidRDefault="005458C6">
      <w:pPr>
        <w:overflowPunct w:val="0"/>
        <w:spacing w:line="58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根据2020年度矿产资源开发利用统计数据，除石油和天然气外，全市矿产资源开发从业人员22863人，其中煤炭矿山从业人员20794人，建筑石料、砖瓦粘土等非煤矿山、矿泉水从业人</w:t>
      </w:r>
      <w:r>
        <w:rPr>
          <w:rFonts w:ascii="仿宋_GB2312" w:eastAsia="仿宋_GB2312" w:hAnsi="仿宋_GB2312" w:cs="仿宋_GB2312" w:hint="eastAsia"/>
          <w:b/>
          <w:color w:val="000000" w:themeColor="text1"/>
          <w:sz w:val="32"/>
          <w:szCs w:val="32"/>
        </w:rPr>
        <w:lastRenderedPageBreak/>
        <w:t>员2069人。</w:t>
      </w:r>
    </w:p>
    <w:p w:rsidR="001E6CF4" w:rsidRDefault="005458C6">
      <w:pPr>
        <w:overflowPunct w:val="0"/>
        <w:spacing w:line="590" w:lineRule="exact"/>
        <w:ind w:firstLine="643"/>
        <w:rPr>
          <w:rFonts w:ascii="仿宋_GB2312" w:eastAsia="仿宋_GB2312" w:hAnsi="仿宋_GB2312" w:cs="仿宋_GB2312"/>
          <w:b/>
          <w:strike/>
          <w:color w:val="000000" w:themeColor="text1"/>
          <w:kern w:val="1"/>
          <w:sz w:val="32"/>
          <w:szCs w:val="32"/>
        </w:rPr>
      </w:pPr>
      <w:r>
        <w:rPr>
          <w:rFonts w:ascii="仿宋_GB2312" w:eastAsia="仿宋_GB2312" w:hAnsi="仿宋_GB2312" w:cs="仿宋_GB2312" w:hint="eastAsia"/>
          <w:b/>
          <w:color w:val="000000" w:themeColor="text1"/>
          <w:sz w:val="32"/>
          <w:szCs w:val="32"/>
        </w:rPr>
        <w:t>2020年大型煤矿平均回采率为85%，中型煤矿平均回采率为75%，小型煤矿平均回采率为82%，全市煤矿平均回采率80%。</w:t>
      </w:r>
    </w:p>
    <w:p w:rsidR="001E6CF4" w:rsidRDefault="005458C6">
      <w:pPr>
        <w:overflowPunct w:val="0"/>
        <w:spacing w:line="590" w:lineRule="exact"/>
        <w:ind w:firstLine="643"/>
        <w:rPr>
          <w:rFonts w:ascii="仿宋_GB2312" w:eastAsia="仿宋_GB2312" w:hAnsi="仿宋_GB2312" w:cs="仿宋_GB2312"/>
          <w:b/>
          <w:color w:val="000000" w:themeColor="text1"/>
          <w:sz w:val="32"/>
          <w:szCs w:val="32"/>
        </w:rPr>
      </w:pPr>
      <w:bookmarkStart w:id="26" w:name="_Toc10246"/>
      <w:bookmarkStart w:id="27" w:name="_Toc17642"/>
      <w:r>
        <w:rPr>
          <w:rFonts w:ascii="仿宋_GB2312" w:eastAsia="仿宋_GB2312" w:hAnsi="仿宋_GB2312" w:cs="仿宋_GB2312" w:hint="eastAsia"/>
          <w:b/>
          <w:color w:val="000000" w:themeColor="text1"/>
          <w:sz w:val="32"/>
          <w:szCs w:val="32"/>
        </w:rPr>
        <w:t>2020年，延安市原油年产量1489.64万吨，原煤年产量5253.1万吨，天然气年产量64.7亿立方米。全市规模以上工业总产值1412.56亿元，其中矿业及矿产品相关产业共完成产值1048.85亿元，占延安市总产值74.25%。煤炭开采和洗选业完成产值273.97亿元，占延安市总产值19.4%；石油和天然气开采业完成产值256.5亿元，占延安市总产值18.16%；石油、煤炭及其他燃料加工业完成产值28.64亿元，占延安市总产值2.03%；开采专业及辅助性活动完成产值489.74亿元，占延安市总产值34.67%。</w:t>
      </w:r>
    </w:p>
    <w:p w:rsidR="001E6CF4" w:rsidRDefault="005458C6">
      <w:pPr>
        <w:overflowPunct w:val="0"/>
        <w:spacing w:line="59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矿业已成为延安市国民经济与社会发展的支柱性产业，在全市工业中占有非常重要地位。</w:t>
      </w:r>
    </w:p>
    <w:p w:rsidR="001E6CF4" w:rsidRDefault="005458C6">
      <w:pPr>
        <w:pStyle w:val="2"/>
        <w:keepNext w:val="0"/>
        <w:keepLines w:val="0"/>
        <w:overflowPunct w:val="0"/>
        <w:adjustRightInd/>
        <w:snapToGrid/>
        <w:spacing w:line="590" w:lineRule="exact"/>
        <w:ind w:firstLineChars="200" w:firstLine="643"/>
        <w:rPr>
          <w:rFonts w:ascii="黑体" w:eastAsia="黑体" w:hAnsi="黑体" w:cs="黑体"/>
          <w:bCs w:val="0"/>
          <w:color w:val="000000" w:themeColor="text1"/>
        </w:rPr>
      </w:pPr>
      <w:bookmarkStart w:id="28" w:name="_Toc437691282"/>
      <w:bookmarkStart w:id="29" w:name="_Toc444768085"/>
      <w:bookmarkStart w:id="30" w:name="_Toc24396"/>
      <w:bookmarkStart w:id="31" w:name="_Toc29001"/>
      <w:bookmarkStart w:id="32" w:name="_Toc444767724"/>
      <w:bookmarkStart w:id="33" w:name="_Toc31452"/>
      <w:bookmarkEnd w:id="23"/>
      <w:bookmarkEnd w:id="24"/>
      <w:bookmarkEnd w:id="25"/>
      <w:bookmarkEnd w:id="26"/>
      <w:bookmarkEnd w:id="27"/>
      <w:r>
        <w:rPr>
          <w:rFonts w:ascii="黑体" w:eastAsia="黑体" w:hAnsi="黑体" w:cs="黑体" w:hint="eastAsia"/>
          <w:bCs w:val="0"/>
          <w:color w:val="000000" w:themeColor="text1"/>
        </w:rPr>
        <w:t>三、上轮规划实施成效</w:t>
      </w:r>
      <w:bookmarkEnd w:id="28"/>
      <w:bookmarkEnd w:id="29"/>
      <w:bookmarkEnd w:id="30"/>
      <w:bookmarkEnd w:id="31"/>
      <w:bookmarkEnd w:id="32"/>
      <w:bookmarkEnd w:id="33"/>
    </w:p>
    <w:p w:rsidR="001E6CF4" w:rsidRDefault="005458C6">
      <w:pPr>
        <w:overflowPunct w:val="0"/>
        <w:spacing w:line="590" w:lineRule="exact"/>
        <w:ind w:firstLine="643"/>
        <w:rPr>
          <w:rFonts w:ascii="仿宋_GB2312" w:eastAsia="仿宋_GB2312" w:hAnsi="仿宋_GB2312" w:cs="仿宋_GB2312"/>
          <w:b/>
          <w:color w:val="000000" w:themeColor="text1"/>
          <w:spacing w:val="-6"/>
          <w:sz w:val="32"/>
          <w:szCs w:val="32"/>
        </w:rPr>
      </w:pPr>
      <w:r>
        <w:rPr>
          <w:rFonts w:ascii="仿宋_GB2312" w:eastAsia="仿宋_GB2312" w:hAnsi="仿宋_GB2312" w:cs="仿宋_GB2312" w:hint="eastAsia"/>
          <w:b/>
          <w:color w:val="000000" w:themeColor="text1"/>
          <w:sz w:val="32"/>
          <w:szCs w:val="32"/>
        </w:rPr>
        <w:t>“十三五”期间，延安经济总量迈上新台阶，综合实力不断增强，全市生产总值规模不断扩大，并积极推动工业经济转型发展，持续发挥工业“稳定器”作用。全市大力推进煤炭供给侧结构性改革，企业发展环境持续改善，天然气、风电等新能源发展迅速，能源供给逐步实现绿色多元化。上轮规划切实做到了推动矿业发展的指导性作用，矿产资源保障能力不断加强，矿产资源</w:t>
      </w:r>
      <w:r>
        <w:rPr>
          <w:rFonts w:ascii="仿宋_GB2312" w:eastAsia="仿宋_GB2312" w:hAnsi="仿宋_GB2312" w:cs="仿宋_GB2312" w:hint="eastAsia"/>
          <w:b/>
          <w:color w:val="000000" w:themeColor="text1"/>
          <w:spacing w:val="-6"/>
          <w:sz w:val="32"/>
          <w:szCs w:val="32"/>
        </w:rPr>
        <w:t>勘查开发保护格局持续优化，规划确定的各项目标任务基本完成。</w:t>
      </w:r>
    </w:p>
    <w:p w:rsidR="001E6CF4" w:rsidRDefault="005458C6">
      <w:pPr>
        <w:overflowPunct w:val="0"/>
        <w:spacing w:line="580" w:lineRule="exact"/>
        <w:ind w:firstLine="643"/>
        <w:rPr>
          <w:rFonts w:ascii="仿宋_GB2312" w:eastAsia="仿宋_GB2312" w:hAnsi="仿宋_GB2312" w:cs="仿宋_GB2312"/>
          <w:b/>
          <w:color w:val="000000" w:themeColor="text1"/>
          <w:sz w:val="32"/>
          <w:szCs w:val="32"/>
        </w:rPr>
      </w:pPr>
      <w:bookmarkStart w:id="34" w:name="_Toc15836"/>
      <w:r>
        <w:rPr>
          <w:rFonts w:ascii="仿宋_GB2312" w:eastAsia="仿宋_GB2312" w:hAnsi="仿宋_GB2312" w:cs="仿宋_GB2312" w:hint="eastAsia"/>
          <w:b/>
          <w:color w:val="000000" w:themeColor="text1"/>
          <w:sz w:val="32"/>
          <w:szCs w:val="32"/>
        </w:rPr>
        <w:lastRenderedPageBreak/>
        <w:t>重要矿产资源保障能力不断加强。煤炭、岩盐、陶瓷土矿产资源量较上一轮均有所增加。截止2020年底，煤炭新增查明资源量4.7亿吨；岩盐新增查明资源量413.6亿吨；对延安能源及化工产业的资源保障能力进一步提高。完成1:25万土地质量地球化学调查评价面积4801.89平方千米（其中延安革命老区综合地质调查-吴起1:25万土地地球化学调查测试3792平方千米，富县牛武东勘查区295.07平方千米，富县牛武东北区勘查192.82平方千米，子长-延川岩盐勘查522平方千米）。</w:t>
      </w:r>
    </w:p>
    <w:p w:rsidR="001E6CF4" w:rsidRDefault="005458C6">
      <w:pPr>
        <w:overflowPunct w:val="0"/>
        <w:spacing w:line="580" w:lineRule="exact"/>
        <w:ind w:firstLine="643"/>
        <w:rPr>
          <w:rFonts w:ascii="仿宋_GB2312" w:eastAsia="仿宋_GB2312" w:hAnsi="仿宋_GB2312" w:cs="仿宋_GB2312"/>
          <w:b/>
          <w:color w:val="000000" w:themeColor="text1"/>
          <w:sz w:val="32"/>
          <w:szCs w:val="32"/>
        </w:rPr>
      </w:pPr>
      <w:bookmarkStart w:id="35" w:name="_Toc25794"/>
      <w:r>
        <w:rPr>
          <w:rFonts w:ascii="仿宋_GB2312" w:eastAsia="仿宋_GB2312" w:hAnsi="仿宋_GB2312" w:cs="仿宋_GB2312" w:hint="eastAsia"/>
          <w:b/>
          <w:color w:val="000000" w:themeColor="text1"/>
          <w:sz w:val="32"/>
          <w:szCs w:val="32"/>
        </w:rPr>
        <w:t>矿产资源开发利用与保护得到优化</w:t>
      </w:r>
      <w:bookmarkEnd w:id="35"/>
      <w:r>
        <w:rPr>
          <w:rFonts w:ascii="仿宋_GB2312" w:eastAsia="仿宋_GB2312" w:hAnsi="仿宋_GB2312" w:cs="仿宋_GB2312" w:hint="eastAsia"/>
          <w:b/>
          <w:color w:val="000000" w:themeColor="text1"/>
          <w:sz w:val="32"/>
          <w:szCs w:val="32"/>
        </w:rPr>
        <w:t>。</w:t>
      </w:r>
      <w:bookmarkStart w:id="36" w:name="_Toc12861"/>
      <w:r>
        <w:rPr>
          <w:rFonts w:ascii="仿宋_GB2312" w:eastAsia="仿宋_GB2312" w:hAnsi="仿宋_GB2312" w:cs="仿宋_GB2312" w:hint="eastAsia"/>
          <w:b/>
          <w:color w:val="000000" w:themeColor="text1"/>
          <w:sz w:val="32"/>
          <w:szCs w:val="32"/>
        </w:rPr>
        <w:t>通过政策引导，矿山整合力度加大，大中型矿山所占比例不断增加，建材和其它非金属矿山数减少明显，产业结构趋于更加合理的发展态势，全市已累计关闭开山采石矿山64个，关闭砖瓦用粘土矿山125个，严格控制新建露天矿山建设项目，全市矿山总数从2015年的430个减少到2020年的236个，矿山数量减少率达到45.1%，全市大中型矿山占比从2015年的6.74%提升至2020年的17.8%，其中煤炭矿山大中型占比由40.3%提高到62.5%，全市煤矿开采总量5253.1万吨，规模化程度明显提高。</w:t>
      </w:r>
      <w:bookmarkStart w:id="37" w:name="_Toc3516"/>
      <w:bookmarkEnd w:id="36"/>
    </w:p>
    <w:p w:rsidR="001E6CF4" w:rsidRDefault="005458C6">
      <w:pPr>
        <w:overflowPunct w:val="0"/>
        <w:spacing w:line="58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绿色矿业发展机制逐渐完善。全面推进绿色勘查和绿色矿山建设，明确了新建和生产矿山的绿色矿山建设具体要求。已完成绿色矿山实施方案编制共40个，积极组织开展国家级绿色矿山名录和全省绿色矿山创建库遴选工作。共先后创建完成了14个绿色矿山，其中已纳入全国绿色矿山名录5个</w:t>
      </w:r>
      <w:bookmarkEnd w:id="37"/>
      <w:r>
        <w:rPr>
          <w:rFonts w:ascii="仿宋_GB2312" w:eastAsia="仿宋_GB2312" w:hAnsi="仿宋_GB2312" w:cs="仿宋_GB2312" w:hint="eastAsia"/>
          <w:b/>
          <w:color w:val="000000" w:themeColor="text1"/>
          <w:sz w:val="32"/>
          <w:szCs w:val="32"/>
        </w:rPr>
        <w:t>，纳入省库等待国</w:t>
      </w:r>
      <w:r>
        <w:rPr>
          <w:rFonts w:ascii="仿宋_GB2312" w:eastAsia="仿宋_GB2312" w:hAnsi="仿宋_GB2312" w:cs="仿宋_GB2312" w:hint="eastAsia"/>
          <w:b/>
          <w:color w:val="000000" w:themeColor="text1"/>
          <w:sz w:val="32"/>
          <w:szCs w:val="32"/>
        </w:rPr>
        <w:lastRenderedPageBreak/>
        <w:t>家遴选绿色矿山9个。</w:t>
      </w:r>
    </w:p>
    <w:p w:rsidR="001E6CF4" w:rsidRDefault="005458C6">
      <w:pPr>
        <w:overflowPunct w:val="0"/>
        <w:spacing w:line="59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矿山地质环境保护得到很大改善。在矿山地质环境保护工作中不断夯实工作基础，完善管理制度，取得了积极成效。加强矿产资源开发过程中的环境保护，严格实施新改扩建矿山地质环境恢复治理和土地复垦制度。不断加强矿山地质环境治理，在市县财政的支持下，累计完成矿山地质环境治理恢复面积424.48公顷，土地复垦面积173.611公顷。</w:t>
      </w:r>
    </w:p>
    <w:p w:rsidR="001E6CF4" w:rsidRDefault="005458C6">
      <w:pPr>
        <w:overflowPunct w:val="0"/>
        <w:spacing w:line="590" w:lineRule="exact"/>
        <w:ind w:firstLine="643"/>
        <w:rPr>
          <w:rFonts w:ascii="仿宋_GB2312" w:eastAsia="仿宋_GB2312" w:hAnsi="仿宋_GB2312" w:cs="仿宋_GB2312"/>
          <w:b/>
          <w:color w:val="000000" w:themeColor="text1"/>
        </w:rPr>
      </w:pPr>
      <w:r>
        <w:rPr>
          <w:rFonts w:ascii="仿宋_GB2312" w:eastAsia="仿宋_GB2312" w:hAnsi="仿宋_GB2312" w:cs="仿宋_GB2312" w:hint="eastAsia"/>
          <w:b/>
          <w:color w:val="000000" w:themeColor="text1"/>
          <w:sz w:val="32"/>
          <w:szCs w:val="32"/>
        </w:rPr>
        <w:t>矿产资源管理水平进一步提高。全面落实《自然资源部关于推进矿产资源管理改革若干事项的意见》（自然资规[2019]7号），提高矿业权市场化配置程度，推进矿政管理“放管服”改革，加快形成统一、开放、竞争、有序的矿业权市场体系，做好重点产业、重大项目矿产资源要素保障，加快矿业结构调整和高质量发</w:t>
      </w:r>
      <w:r>
        <w:rPr>
          <w:rFonts w:ascii="仿宋_GB2312" w:eastAsia="仿宋_GB2312" w:hAnsi="仿宋_GB2312" w:cs="仿宋_GB2312" w:hint="eastAsia"/>
          <w:b/>
          <w:color w:val="000000" w:themeColor="text1"/>
        </w:rPr>
        <w:t>展。</w:t>
      </w:r>
    </w:p>
    <w:tbl>
      <w:tblPr>
        <w:tblW w:w="8504" w:type="dxa"/>
        <w:jc w:val="center"/>
        <w:tblCellMar>
          <w:left w:w="0" w:type="dxa"/>
          <w:right w:w="0" w:type="dxa"/>
        </w:tblCellMar>
        <w:tblLook w:val="04A0"/>
      </w:tblPr>
      <w:tblGrid>
        <w:gridCol w:w="975"/>
        <w:gridCol w:w="963"/>
        <w:gridCol w:w="637"/>
        <w:gridCol w:w="2040"/>
        <w:gridCol w:w="1338"/>
        <w:gridCol w:w="1573"/>
        <w:gridCol w:w="978"/>
      </w:tblGrid>
      <w:tr w:rsidR="001E6CF4">
        <w:trPr>
          <w:trHeight w:val="452"/>
          <w:tblHeader/>
          <w:jc w:val="center"/>
        </w:trPr>
        <w:tc>
          <w:tcPr>
            <w:tcW w:w="8504" w:type="dxa"/>
            <w:gridSpan w:val="7"/>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1E6CF4" w:rsidRPr="005A58A9" w:rsidRDefault="005458C6">
            <w:pPr>
              <w:widowControl/>
              <w:spacing w:line="240" w:lineRule="auto"/>
              <w:ind w:firstLineChars="0" w:firstLine="0"/>
              <w:jc w:val="center"/>
              <w:textAlignment w:val="center"/>
              <w:rPr>
                <w:rFonts w:ascii="仿宋_GB2312" w:eastAsia="仿宋_GB2312" w:hAnsiTheme="majorEastAsia" w:cs="黑体"/>
                <w:b/>
                <w:color w:val="000000" w:themeColor="text1"/>
                <w:sz w:val="24"/>
              </w:rPr>
            </w:pPr>
            <w:r w:rsidRPr="005A58A9">
              <w:rPr>
                <w:rFonts w:ascii="仿宋_GB2312" w:eastAsia="仿宋_GB2312" w:hAnsiTheme="majorEastAsia" w:cs="宋体" w:hint="eastAsia"/>
                <w:b/>
                <w:color w:val="000000" w:themeColor="text1"/>
                <w:sz w:val="28"/>
                <w:szCs w:val="20"/>
              </w:rPr>
              <w:t xml:space="preserve">专栏1   </w:t>
            </w:r>
            <w:r w:rsidRPr="005A58A9">
              <w:rPr>
                <w:rFonts w:ascii="仿宋_GB2312" w:eastAsia="仿宋_GB2312" w:hAnsiTheme="majorEastAsia" w:cs="黑体" w:hint="eastAsia"/>
                <w:b/>
                <w:color w:val="000000" w:themeColor="text1"/>
                <w:sz w:val="28"/>
                <w:szCs w:val="28"/>
              </w:rPr>
              <w:t>第三轮矿产资源规划主要指标完成情况</w:t>
            </w:r>
          </w:p>
        </w:tc>
      </w:tr>
      <w:tr w:rsidR="001E6CF4">
        <w:trPr>
          <w:trHeight w:val="452"/>
          <w:jc w:val="center"/>
        </w:trPr>
        <w:tc>
          <w:tcPr>
            <w:tcW w:w="975" w:type="dxa"/>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黑体" w:eastAsia="黑体" w:hAnsi="黑体" w:cs="黑体"/>
                <w:b/>
                <w:color w:val="000000" w:themeColor="text1"/>
                <w:sz w:val="24"/>
              </w:rPr>
            </w:pPr>
            <w:r>
              <w:rPr>
                <w:rFonts w:ascii="黑体" w:eastAsia="黑体" w:hAnsi="黑体" w:cs="黑体" w:hint="eastAsia"/>
                <w:b/>
                <w:color w:val="000000" w:themeColor="text1"/>
                <w:kern w:val="0"/>
                <w:sz w:val="24"/>
              </w:rPr>
              <w:t>类别</w:t>
            </w:r>
          </w:p>
        </w:tc>
        <w:tc>
          <w:tcPr>
            <w:tcW w:w="3640" w:type="dxa"/>
            <w:gridSpan w:val="3"/>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黑体" w:eastAsia="黑体" w:hAnsi="黑体" w:cs="黑体"/>
                <w:b/>
                <w:color w:val="000000" w:themeColor="text1"/>
                <w:sz w:val="24"/>
              </w:rPr>
            </w:pPr>
            <w:r>
              <w:rPr>
                <w:rFonts w:ascii="黑体" w:eastAsia="黑体" w:hAnsi="黑体" w:cs="黑体" w:hint="eastAsia"/>
                <w:b/>
                <w:color w:val="000000" w:themeColor="text1"/>
                <w:kern w:val="0"/>
                <w:sz w:val="24"/>
              </w:rPr>
              <w:t>指    标</w:t>
            </w:r>
          </w:p>
        </w:tc>
        <w:tc>
          <w:tcPr>
            <w:tcW w:w="1338"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黑体" w:eastAsia="黑体" w:hAnsi="黑体" w:cs="黑体"/>
                <w:b/>
                <w:color w:val="000000" w:themeColor="text1"/>
                <w:sz w:val="24"/>
              </w:rPr>
            </w:pPr>
            <w:r>
              <w:rPr>
                <w:rFonts w:ascii="黑体" w:eastAsia="黑体" w:hAnsi="黑体" w:cs="黑体" w:hint="eastAsia"/>
                <w:b/>
                <w:color w:val="000000" w:themeColor="text1"/>
                <w:kern w:val="0"/>
                <w:sz w:val="24"/>
              </w:rPr>
              <w:t>规划目标</w:t>
            </w:r>
          </w:p>
        </w:tc>
        <w:tc>
          <w:tcPr>
            <w:tcW w:w="1573"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黑体" w:eastAsia="黑体" w:hAnsi="黑体" w:cs="黑体"/>
                <w:b/>
                <w:color w:val="000000" w:themeColor="text1"/>
                <w:sz w:val="24"/>
              </w:rPr>
            </w:pPr>
            <w:r>
              <w:rPr>
                <w:rFonts w:ascii="黑体" w:eastAsia="黑体" w:hAnsi="黑体" w:cs="黑体" w:hint="eastAsia"/>
                <w:b/>
                <w:color w:val="000000" w:themeColor="text1"/>
                <w:kern w:val="0"/>
                <w:sz w:val="24"/>
              </w:rPr>
              <w:t>2020年</w:t>
            </w:r>
          </w:p>
        </w:tc>
        <w:tc>
          <w:tcPr>
            <w:tcW w:w="978"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黑体" w:eastAsia="黑体" w:hAnsi="黑体" w:cs="黑体"/>
                <w:b/>
                <w:color w:val="000000" w:themeColor="text1"/>
                <w:sz w:val="24"/>
              </w:rPr>
            </w:pPr>
            <w:r>
              <w:rPr>
                <w:rFonts w:ascii="黑体" w:eastAsia="黑体" w:hAnsi="黑体" w:cs="黑体" w:hint="eastAsia"/>
                <w:b/>
                <w:color w:val="000000" w:themeColor="text1"/>
                <w:kern w:val="0"/>
                <w:sz w:val="24"/>
              </w:rPr>
              <w:t>评价</w:t>
            </w:r>
          </w:p>
        </w:tc>
      </w:tr>
      <w:tr w:rsidR="001E6CF4">
        <w:trPr>
          <w:trHeight w:val="509"/>
          <w:jc w:val="center"/>
        </w:trPr>
        <w:tc>
          <w:tcPr>
            <w:tcW w:w="975" w:type="dxa"/>
            <w:vMerge w:val="restart"/>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基础地质调查与矿产勘查</w:t>
            </w:r>
          </w:p>
        </w:tc>
        <w:tc>
          <w:tcPr>
            <w:tcW w:w="3640" w:type="dxa"/>
            <w:gridSpan w:val="3"/>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1:25万土地质量地球化学调查评价(平方千米)</w:t>
            </w:r>
          </w:p>
        </w:tc>
        <w:tc>
          <w:tcPr>
            <w:tcW w:w="133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［20000］</w:t>
            </w:r>
          </w:p>
        </w:tc>
        <w:tc>
          <w:tcPr>
            <w:tcW w:w="15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［4801.9］</w:t>
            </w:r>
          </w:p>
        </w:tc>
        <w:tc>
          <w:tcPr>
            <w:tcW w:w="978" w:type="dxa"/>
            <w:vMerge w:val="restart"/>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基本达到预期目标，资源保障能力进一步提高</w:t>
            </w:r>
          </w:p>
        </w:tc>
      </w:tr>
      <w:tr w:rsidR="001E6CF4">
        <w:trPr>
          <w:trHeight w:val="653"/>
          <w:jc w:val="center"/>
        </w:trPr>
        <w:tc>
          <w:tcPr>
            <w:tcW w:w="975" w:type="dxa"/>
            <w:vMerge/>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1E6CF4" w:rsidRDefault="001E6CF4">
            <w:pPr>
              <w:widowControl/>
              <w:spacing w:line="240" w:lineRule="auto"/>
              <w:ind w:firstLineChars="0" w:firstLine="0"/>
              <w:jc w:val="center"/>
              <w:rPr>
                <w:rFonts w:ascii="仿宋_GB2312" w:eastAsia="仿宋_GB2312" w:hAnsi="仿宋_GB2312" w:cs="仿宋_GB2312"/>
                <w:b/>
                <w:color w:val="000000" w:themeColor="text1"/>
                <w:sz w:val="21"/>
                <w:szCs w:val="21"/>
              </w:rPr>
            </w:pPr>
          </w:p>
        </w:tc>
        <w:tc>
          <w:tcPr>
            <w:tcW w:w="1600" w:type="dxa"/>
            <w:gridSpan w:val="2"/>
            <w:vMerge w:val="restart"/>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新增查明资源储量</w:t>
            </w:r>
          </w:p>
        </w:tc>
        <w:tc>
          <w:tcPr>
            <w:tcW w:w="204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leftChars="100" w:left="300" w:firstLineChars="0" w:firstLine="0"/>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煤炭（亿吨）</w:t>
            </w:r>
          </w:p>
        </w:tc>
        <w:tc>
          <w:tcPr>
            <w:tcW w:w="133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［5］</w:t>
            </w:r>
          </w:p>
        </w:tc>
        <w:tc>
          <w:tcPr>
            <w:tcW w:w="15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［4.7］</w:t>
            </w:r>
          </w:p>
        </w:tc>
        <w:tc>
          <w:tcPr>
            <w:tcW w:w="978" w:type="dxa"/>
            <w:vMerge/>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1E6CF4">
            <w:pPr>
              <w:widowControl/>
              <w:spacing w:line="240" w:lineRule="auto"/>
              <w:ind w:firstLineChars="0" w:firstLine="0"/>
              <w:jc w:val="center"/>
              <w:rPr>
                <w:rFonts w:ascii="仿宋_GB2312" w:eastAsia="仿宋_GB2312" w:hAnsi="仿宋_GB2312" w:cs="仿宋_GB2312"/>
                <w:b/>
                <w:color w:val="000000" w:themeColor="text1"/>
                <w:sz w:val="21"/>
                <w:szCs w:val="21"/>
              </w:rPr>
            </w:pPr>
          </w:p>
        </w:tc>
      </w:tr>
      <w:tr w:rsidR="001E6CF4">
        <w:trPr>
          <w:trHeight w:val="653"/>
          <w:jc w:val="center"/>
        </w:trPr>
        <w:tc>
          <w:tcPr>
            <w:tcW w:w="975" w:type="dxa"/>
            <w:vMerge/>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1E6CF4" w:rsidRDefault="001E6CF4">
            <w:pPr>
              <w:widowControl/>
              <w:spacing w:line="240" w:lineRule="auto"/>
              <w:ind w:firstLineChars="0" w:firstLine="0"/>
              <w:jc w:val="center"/>
              <w:rPr>
                <w:rFonts w:ascii="仿宋_GB2312" w:eastAsia="仿宋_GB2312" w:hAnsi="仿宋_GB2312" w:cs="仿宋_GB2312"/>
                <w:b/>
                <w:color w:val="000000" w:themeColor="text1"/>
                <w:sz w:val="21"/>
                <w:szCs w:val="21"/>
              </w:rPr>
            </w:pPr>
          </w:p>
        </w:tc>
        <w:tc>
          <w:tcPr>
            <w:tcW w:w="1600" w:type="dxa"/>
            <w:gridSpan w:val="2"/>
            <w:vMerge/>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1E6CF4">
            <w:pPr>
              <w:widowControl/>
              <w:spacing w:line="240" w:lineRule="auto"/>
              <w:ind w:firstLineChars="0" w:firstLine="0"/>
              <w:jc w:val="center"/>
              <w:rPr>
                <w:rFonts w:ascii="仿宋_GB2312" w:eastAsia="仿宋_GB2312" w:hAnsi="仿宋_GB2312" w:cs="仿宋_GB2312"/>
                <w:b/>
                <w:color w:val="000000" w:themeColor="text1"/>
                <w:sz w:val="21"/>
                <w:szCs w:val="21"/>
              </w:rPr>
            </w:pPr>
          </w:p>
        </w:tc>
        <w:tc>
          <w:tcPr>
            <w:tcW w:w="204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tabs>
                <w:tab w:val="left" w:pos="300"/>
              </w:tabs>
              <w:spacing w:line="240" w:lineRule="auto"/>
              <w:ind w:leftChars="99" w:left="297" w:firstLineChars="0" w:firstLine="0"/>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油页岩（亿吨）</w:t>
            </w:r>
          </w:p>
        </w:tc>
        <w:tc>
          <w:tcPr>
            <w:tcW w:w="133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［2］</w:t>
            </w:r>
          </w:p>
        </w:tc>
        <w:tc>
          <w:tcPr>
            <w:tcW w:w="15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［0］</w:t>
            </w:r>
          </w:p>
        </w:tc>
        <w:tc>
          <w:tcPr>
            <w:tcW w:w="978" w:type="dxa"/>
            <w:vMerge/>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1E6CF4">
            <w:pPr>
              <w:widowControl/>
              <w:spacing w:line="240" w:lineRule="auto"/>
              <w:ind w:firstLineChars="0" w:firstLine="0"/>
              <w:jc w:val="center"/>
              <w:rPr>
                <w:rFonts w:ascii="仿宋_GB2312" w:eastAsia="仿宋_GB2312" w:hAnsi="仿宋_GB2312" w:cs="仿宋_GB2312"/>
                <w:b/>
                <w:color w:val="000000" w:themeColor="text1"/>
                <w:sz w:val="21"/>
                <w:szCs w:val="21"/>
              </w:rPr>
            </w:pPr>
          </w:p>
        </w:tc>
      </w:tr>
      <w:tr w:rsidR="001E6CF4">
        <w:trPr>
          <w:trHeight w:val="90"/>
          <w:jc w:val="center"/>
        </w:trPr>
        <w:tc>
          <w:tcPr>
            <w:tcW w:w="975" w:type="dxa"/>
            <w:vMerge/>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1E6CF4" w:rsidRDefault="001E6CF4">
            <w:pPr>
              <w:widowControl/>
              <w:spacing w:line="240" w:lineRule="auto"/>
              <w:ind w:firstLineChars="0" w:firstLine="0"/>
              <w:jc w:val="center"/>
              <w:rPr>
                <w:rFonts w:ascii="仿宋_GB2312" w:eastAsia="仿宋_GB2312" w:hAnsi="仿宋_GB2312" w:cs="仿宋_GB2312"/>
                <w:b/>
                <w:color w:val="000000" w:themeColor="text1"/>
                <w:sz w:val="21"/>
                <w:szCs w:val="21"/>
              </w:rPr>
            </w:pPr>
          </w:p>
        </w:tc>
        <w:tc>
          <w:tcPr>
            <w:tcW w:w="1600" w:type="dxa"/>
            <w:gridSpan w:val="2"/>
            <w:vMerge/>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1E6CF4">
            <w:pPr>
              <w:widowControl/>
              <w:spacing w:line="240" w:lineRule="auto"/>
              <w:ind w:firstLineChars="0" w:firstLine="0"/>
              <w:jc w:val="center"/>
              <w:rPr>
                <w:rFonts w:ascii="仿宋_GB2312" w:eastAsia="仿宋_GB2312" w:hAnsi="仿宋_GB2312" w:cs="仿宋_GB2312"/>
                <w:b/>
                <w:color w:val="000000" w:themeColor="text1"/>
                <w:sz w:val="21"/>
                <w:szCs w:val="21"/>
              </w:rPr>
            </w:pPr>
          </w:p>
        </w:tc>
        <w:tc>
          <w:tcPr>
            <w:tcW w:w="204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leftChars="100" w:left="300" w:firstLineChars="0" w:firstLine="0"/>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岩盐（亿吨）</w:t>
            </w:r>
          </w:p>
        </w:tc>
        <w:tc>
          <w:tcPr>
            <w:tcW w:w="133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［600］</w:t>
            </w:r>
          </w:p>
        </w:tc>
        <w:tc>
          <w:tcPr>
            <w:tcW w:w="15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［413.6］</w:t>
            </w:r>
          </w:p>
        </w:tc>
        <w:tc>
          <w:tcPr>
            <w:tcW w:w="978" w:type="dxa"/>
            <w:vMerge/>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1E6CF4">
            <w:pPr>
              <w:widowControl/>
              <w:spacing w:line="240" w:lineRule="auto"/>
              <w:ind w:firstLineChars="0" w:firstLine="0"/>
              <w:jc w:val="center"/>
              <w:rPr>
                <w:rFonts w:ascii="仿宋_GB2312" w:eastAsia="仿宋_GB2312" w:hAnsi="仿宋_GB2312" w:cs="仿宋_GB2312"/>
                <w:b/>
                <w:color w:val="000000" w:themeColor="text1"/>
                <w:sz w:val="21"/>
                <w:szCs w:val="21"/>
              </w:rPr>
            </w:pPr>
          </w:p>
        </w:tc>
      </w:tr>
      <w:tr w:rsidR="001E6CF4">
        <w:trPr>
          <w:trHeight w:val="653"/>
          <w:jc w:val="center"/>
        </w:trPr>
        <w:tc>
          <w:tcPr>
            <w:tcW w:w="975" w:type="dxa"/>
            <w:vMerge w:val="restart"/>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spacing w:val="-11"/>
                <w:kern w:val="0"/>
                <w:sz w:val="21"/>
                <w:szCs w:val="21"/>
              </w:rPr>
              <w:t>矿产资源合理开发利用与保</w:t>
            </w:r>
            <w:r>
              <w:rPr>
                <w:rFonts w:ascii="仿宋_GB2312" w:eastAsia="仿宋_GB2312" w:hAnsi="仿宋_GB2312" w:cs="仿宋_GB2312" w:hint="eastAsia"/>
                <w:b/>
                <w:color w:val="000000" w:themeColor="text1"/>
                <w:kern w:val="0"/>
                <w:sz w:val="21"/>
                <w:szCs w:val="21"/>
              </w:rPr>
              <w:t>护</w:t>
            </w:r>
          </w:p>
        </w:tc>
        <w:tc>
          <w:tcPr>
            <w:tcW w:w="1600" w:type="dxa"/>
            <w:gridSpan w:val="2"/>
            <w:vMerge w:val="restart"/>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重要矿种年开采总量</w:t>
            </w:r>
          </w:p>
        </w:tc>
        <w:tc>
          <w:tcPr>
            <w:tcW w:w="204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leftChars="100" w:left="300" w:firstLineChars="0" w:firstLine="0"/>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煤炭(万吨)</w:t>
            </w:r>
          </w:p>
        </w:tc>
        <w:tc>
          <w:tcPr>
            <w:tcW w:w="133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6000</w:t>
            </w:r>
          </w:p>
        </w:tc>
        <w:tc>
          <w:tcPr>
            <w:tcW w:w="15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5253.1</w:t>
            </w:r>
          </w:p>
        </w:tc>
        <w:tc>
          <w:tcPr>
            <w:tcW w:w="978" w:type="dxa"/>
            <w:vMerge w:val="restart"/>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总量控制较好，煤炭供应稳定。</w:t>
            </w:r>
          </w:p>
        </w:tc>
      </w:tr>
      <w:tr w:rsidR="001E6CF4">
        <w:trPr>
          <w:trHeight w:val="824"/>
          <w:jc w:val="center"/>
        </w:trPr>
        <w:tc>
          <w:tcPr>
            <w:tcW w:w="975" w:type="dxa"/>
            <w:vMerge/>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1E6CF4" w:rsidRDefault="001E6CF4">
            <w:pPr>
              <w:widowControl/>
              <w:spacing w:line="240" w:lineRule="auto"/>
              <w:ind w:firstLineChars="0" w:firstLine="0"/>
              <w:jc w:val="center"/>
              <w:rPr>
                <w:rFonts w:ascii="仿宋_GB2312" w:eastAsia="仿宋_GB2312" w:hAnsi="仿宋_GB2312" w:cs="仿宋_GB2312"/>
                <w:b/>
                <w:color w:val="000000" w:themeColor="text1"/>
                <w:sz w:val="21"/>
                <w:szCs w:val="21"/>
              </w:rPr>
            </w:pPr>
          </w:p>
        </w:tc>
        <w:tc>
          <w:tcPr>
            <w:tcW w:w="1600" w:type="dxa"/>
            <w:gridSpan w:val="2"/>
            <w:vMerge/>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1E6CF4">
            <w:pPr>
              <w:widowControl/>
              <w:spacing w:line="240" w:lineRule="auto"/>
              <w:ind w:firstLineChars="0" w:firstLine="0"/>
              <w:jc w:val="center"/>
              <w:rPr>
                <w:rFonts w:ascii="仿宋_GB2312" w:eastAsia="仿宋_GB2312" w:hAnsi="仿宋_GB2312" w:cs="仿宋_GB2312"/>
                <w:b/>
                <w:color w:val="000000" w:themeColor="text1"/>
                <w:sz w:val="21"/>
                <w:szCs w:val="21"/>
              </w:rPr>
            </w:pPr>
          </w:p>
        </w:tc>
        <w:tc>
          <w:tcPr>
            <w:tcW w:w="204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leftChars="100" w:left="300" w:firstLineChars="0" w:firstLine="0"/>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岩盐（万吨）</w:t>
            </w:r>
          </w:p>
        </w:tc>
        <w:tc>
          <w:tcPr>
            <w:tcW w:w="133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80</w:t>
            </w:r>
          </w:p>
        </w:tc>
        <w:tc>
          <w:tcPr>
            <w:tcW w:w="15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0</w:t>
            </w:r>
          </w:p>
        </w:tc>
        <w:tc>
          <w:tcPr>
            <w:tcW w:w="978" w:type="dxa"/>
            <w:vMerge/>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1E6CF4">
            <w:pPr>
              <w:widowControl/>
              <w:spacing w:line="240" w:lineRule="auto"/>
              <w:ind w:firstLineChars="0" w:firstLine="0"/>
              <w:jc w:val="center"/>
              <w:rPr>
                <w:rFonts w:ascii="仿宋_GB2312" w:eastAsia="仿宋_GB2312" w:hAnsi="仿宋_GB2312" w:cs="仿宋_GB2312"/>
                <w:b/>
                <w:color w:val="000000" w:themeColor="text1"/>
                <w:sz w:val="21"/>
                <w:szCs w:val="21"/>
              </w:rPr>
            </w:pPr>
          </w:p>
        </w:tc>
      </w:tr>
      <w:tr w:rsidR="001E6CF4">
        <w:trPr>
          <w:trHeight w:val="474"/>
          <w:jc w:val="center"/>
        </w:trPr>
        <w:tc>
          <w:tcPr>
            <w:tcW w:w="975" w:type="dxa"/>
            <w:vMerge w:val="restart"/>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lastRenderedPageBreak/>
              <w:t>矿业转型升级与绿色矿业发展</w:t>
            </w:r>
          </w:p>
        </w:tc>
        <w:tc>
          <w:tcPr>
            <w:tcW w:w="3640" w:type="dxa"/>
            <w:gridSpan w:val="3"/>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矿山总数减少（%）</w:t>
            </w:r>
          </w:p>
        </w:tc>
        <w:tc>
          <w:tcPr>
            <w:tcW w:w="133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30</w:t>
            </w:r>
          </w:p>
        </w:tc>
        <w:tc>
          <w:tcPr>
            <w:tcW w:w="15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45.1</w:t>
            </w:r>
          </w:p>
        </w:tc>
        <w:tc>
          <w:tcPr>
            <w:tcW w:w="978" w:type="dxa"/>
            <w:vMerge w:val="restart"/>
            <w:tcBorders>
              <w:top w:val="nil"/>
              <w:left w:val="nil"/>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kern w:val="0"/>
                <w:sz w:val="21"/>
                <w:szCs w:val="21"/>
              </w:rPr>
            </w:pPr>
            <w:r>
              <w:rPr>
                <w:rFonts w:ascii="仿宋_GB2312" w:eastAsia="仿宋_GB2312" w:hAnsi="仿宋_GB2312" w:cs="仿宋_GB2312" w:hint="eastAsia"/>
                <w:b/>
                <w:color w:val="000000" w:themeColor="text1"/>
                <w:kern w:val="0"/>
                <w:sz w:val="21"/>
                <w:szCs w:val="21"/>
              </w:rPr>
              <w:t>集约利用水平进一步提升</w:t>
            </w:r>
          </w:p>
          <w:p w:rsidR="001E6CF4" w:rsidRDefault="001E6CF4">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p>
        </w:tc>
      </w:tr>
      <w:tr w:rsidR="001E6CF4">
        <w:trPr>
          <w:trHeight w:val="267"/>
          <w:jc w:val="center"/>
        </w:trPr>
        <w:tc>
          <w:tcPr>
            <w:tcW w:w="975" w:type="dxa"/>
            <w:vMerge/>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1E6CF4" w:rsidRDefault="001E6CF4">
            <w:pPr>
              <w:widowControl/>
              <w:spacing w:line="240" w:lineRule="auto"/>
              <w:ind w:firstLineChars="0" w:firstLine="0"/>
              <w:jc w:val="center"/>
              <w:rPr>
                <w:rFonts w:ascii="仿宋_GB2312" w:eastAsia="仿宋_GB2312" w:hAnsi="仿宋_GB2312" w:cs="仿宋_GB2312"/>
                <w:b/>
                <w:color w:val="000000" w:themeColor="text1"/>
                <w:sz w:val="21"/>
                <w:szCs w:val="21"/>
              </w:rPr>
            </w:pPr>
          </w:p>
        </w:tc>
        <w:tc>
          <w:tcPr>
            <w:tcW w:w="3640" w:type="dxa"/>
            <w:gridSpan w:val="3"/>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大中型矿山占比（%）</w:t>
            </w:r>
          </w:p>
        </w:tc>
        <w:tc>
          <w:tcPr>
            <w:tcW w:w="133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15</w:t>
            </w:r>
          </w:p>
        </w:tc>
        <w:tc>
          <w:tcPr>
            <w:tcW w:w="15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17.8</w:t>
            </w:r>
          </w:p>
        </w:tc>
        <w:tc>
          <w:tcPr>
            <w:tcW w:w="978" w:type="dxa"/>
            <w:vMerge/>
            <w:tcBorders>
              <w:left w:val="nil"/>
              <w:right w:val="single" w:sz="8" w:space="0" w:color="000000"/>
            </w:tcBorders>
            <w:shd w:val="clear" w:color="auto" w:fill="auto"/>
            <w:tcMar>
              <w:top w:w="12" w:type="dxa"/>
              <w:left w:w="12" w:type="dxa"/>
              <w:right w:w="12" w:type="dxa"/>
            </w:tcMar>
            <w:vAlign w:val="center"/>
          </w:tcPr>
          <w:p w:rsidR="001E6CF4" w:rsidRDefault="001E6CF4">
            <w:pPr>
              <w:widowControl/>
              <w:spacing w:line="240" w:lineRule="auto"/>
              <w:ind w:firstLineChars="0" w:firstLine="0"/>
              <w:jc w:val="center"/>
              <w:rPr>
                <w:rFonts w:ascii="仿宋_GB2312" w:eastAsia="仿宋_GB2312" w:hAnsi="仿宋_GB2312" w:cs="仿宋_GB2312"/>
                <w:b/>
                <w:color w:val="000000" w:themeColor="text1"/>
                <w:sz w:val="21"/>
                <w:szCs w:val="21"/>
              </w:rPr>
            </w:pPr>
          </w:p>
        </w:tc>
      </w:tr>
      <w:tr w:rsidR="001E6CF4">
        <w:trPr>
          <w:trHeight w:val="452"/>
          <w:jc w:val="center"/>
        </w:trPr>
        <w:tc>
          <w:tcPr>
            <w:tcW w:w="975" w:type="dxa"/>
            <w:vMerge/>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1E6CF4" w:rsidRDefault="001E6CF4">
            <w:pPr>
              <w:widowControl/>
              <w:spacing w:line="240" w:lineRule="auto"/>
              <w:ind w:firstLineChars="0" w:firstLine="0"/>
              <w:jc w:val="center"/>
              <w:rPr>
                <w:rFonts w:ascii="仿宋_GB2312" w:eastAsia="仿宋_GB2312" w:hAnsi="仿宋_GB2312" w:cs="仿宋_GB2312"/>
                <w:b/>
                <w:color w:val="000000" w:themeColor="text1"/>
                <w:sz w:val="21"/>
                <w:szCs w:val="21"/>
              </w:rPr>
            </w:pPr>
          </w:p>
        </w:tc>
        <w:tc>
          <w:tcPr>
            <w:tcW w:w="3640" w:type="dxa"/>
            <w:gridSpan w:val="3"/>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矿山“三率”水平达标率（%）</w:t>
            </w:r>
          </w:p>
        </w:tc>
        <w:tc>
          <w:tcPr>
            <w:tcW w:w="133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90</w:t>
            </w:r>
          </w:p>
        </w:tc>
        <w:tc>
          <w:tcPr>
            <w:tcW w:w="15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92</w:t>
            </w:r>
          </w:p>
        </w:tc>
        <w:tc>
          <w:tcPr>
            <w:tcW w:w="978" w:type="dxa"/>
            <w:vMerge/>
            <w:tcBorders>
              <w:left w:val="nil"/>
              <w:right w:val="single" w:sz="8" w:space="0" w:color="000000"/>
            </w:tcBorders>
            <w:shd w:val="clear" w:color="auto" w:fill="auto"/>
            <w:tcMar>
              <w:top w:w="12" w:type="dxa"/>
              <w:left w:w="12" w:type="dxa"/>
              <w:right w:w="12" w:type="dxa"/>
            </w:tcMar>
            <w:vAlign w:val="center"/>
          </w:tcPr>
          <w:p w:rsidR="001E6CF4" w:rsidRDefault="001E6CF4">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p>
        </w:tc>
      </w:tr>
      <w:tr w:rsidR="001E6CF4">
        <w:trPr>
          <w:trHeight w:val="559"/>
          <w:jc w:val="center"/>
        </w:trPr>
        <w:tc>
          <w:tcPr>
            <w:tcW w:w="975" w:type="dxa"/>
            <w:vMerge/>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1E6CF4" w:rsidRDefault="001E6CF4">
            <w:pPr>
              <w:widowControl/>
              <w:spacing w:line="240" w:lineRule="auto"/>
              <w:ind w:firstLineChars="0" w:firstLine="0"/>
              <w:jc w:val="center"/>
              <w:rPr>
                <w:rFonts w:ascii="仿宋_GB2312" w:eastAsia="仿宋_GB2312" w:hAnsi="仿宋_GB2312" w:cs="仿宋_GB2312"/>
                <w:b/>
                <w:color w:val="000000" w:themeColor="text1"/>
                <w:sz w:val="21"/>
                <w:szCs w:val="21"/>
              </w:rPr>
            </w:pPr>
          </w:p>
        </w:tc>
        <w:tc>
          <w:tcPr>
            <w:tcW w:w="3640" w:type="dxa"/>
            <w:gridSpan w:val="3"/>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绿色矿山数量</w:t>
            </w:r>
          </w:p>
        </w:tc>
        <w:tc>
          <w:tcPr>
            <w:tcW w:w="133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w:t>
            </w:r>
            <w:r>
              <w:rPr>
                <w:rStyle w:val="font01"/>
                <w:rFonts w:ascii="仿宋_GB2312" w:eastAsia="仿宋_GB2312" w:hAnsi="仿宋_GB2312" w:cs="仿宋_GB2312" w:hint="default"/>
                <w:b/>
                <w:color w:val="000000" w:themeColor="text1"/>
                <w:sz w:val="21"/>
                <w:szCs w:val="21"/>
              </w:rPr>
              <w:t>38</w:t>
            </w:r>
            <w:r>
              <w:rPr>
                <w:rFonts w:ascii="仿宋_GB2312" w:eastAsia="仿宋_GB2312" w:hAnsi="仿宋_GB2312" w:cs="仿宋_GB2312" w:hint="eastAsia"/>
                <w:b/>
                <w:color w:val="000000" w:themeColor="text1"/>
                <w:kern w:val="0"/>
                <w:sz w:val="21"/>
                <w:szCs w:val="21"/>
              </w:rPr>
              <w:t>］</w:t>
            </w:r>
            <w:r>
              <w:rPr>
                <w:rStyle w:val="font11"/>
                <w:rFonts w:ascii="仿宋_GB2312" w:eastAsia="仿宋_GB2312" w:hAnsi="仿宋_GB2312" w:cs="仿宋_GB2312" w:hint="default"/>
                <w:b/>
                <w:color w:val="000000" w:themeColor="text1"/>
                <w:sz w:val="21"/>
                <w:szCs w:val="21"/>
              </w:rPr>
              <w:t>*</w:t>
            </w:r>
          </w:p>
        </w:tc>
        <w:tc>
          <w:tcPr>
            <w:tcW w:w="15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［40］</w:t>
            </w:r>
          </w:p>
        </w:tc>
        <w:tc>
          <w:tcPr>
            <w:tcW w:w="978" w:type="dxa"/>
            <w:vMerge/>
            <w:tcBorders>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1E6CF4">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p>
        </w:tc>
      </w:tr>
      <w:tr w:rsidR="001E6CF4">
        <w:trPr>
          <w:trHeight w:val="474"/>
          <w:jc w:val="center"/>
        </w:trPr>
        <w:tc>
          <w:tcPr>
            <w:tcW w:w="975" w:type="dxa"/>
            <w:vMerge w:val="restart"/>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矿山地质环境保护与治理恢复</w:t>
            </w:r>
          </w:p>
        </w:tc>
        <w:tc>
          <w:tcPr>
            <w:tcW w:w="963" w:type="dxa"/>
            <w:vMerge w:val="restart"/>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治理恢复面积（公顷）</w:t>
            </w:r>
          </w:p>
        </w:tc>
        <w:tc>
          <w:tcPr>
            <w:tcW w:w="2677"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新建和生产矿山</w:t>
            </w:r>
          </w:p>
        </w:tc>
        <w:tc>
          <w:tcPr>
            <w:tcW w:w="2911"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全面治理</w:t>
            </w:r>
          </w:p>
        </w:tc>
        <w:tc>
          <w:tcPr>
            <w:tcW w:w="978" w:type="dxa"/>
            <w:vMerge w:val="restart"/>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kern w:val="0"/>
                <w:sz w:val="21"/>
                <w:szCs w:val="21"/>
              </w:rPr>
            </w:pPr>
            <w:r>
              <w:rPr>
                <w:rFonts w:ascii="仿宋_GB2312" w:eastAsia="仿宋_GB2312" w:hAnsi="仿宋_GB2312" w:cs="仿宋_GB2312" w:hint="eastAsia"/>
                <w:b/>
                <w:color w:val="000000" w:themeColor="text1"/>
                <w:kern w:val="0"/>
                <w:sz w:val="21"/>
                <w:szCs w:val="21"/>
              </w:rPr>
              <w:t>矿山环境治理在积极推进，接</w:t>
            </w:r>
          </w:p>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kern w:val="0"/>
                <w:sz w:val="21"/>
                <w:szCs w:val="21"/>
              </w:rPr>
            </w:pPr>
            <w:r>
              <w:rPr>
                <w:rFonts w:ascii="仿宋_GB2312" w:eastAsia="仿宋_GB2312" w:hAnsi="仿宋_GB2312" w:cs="仿宋_GB2312" w:hint="eastAsia"/>
                <w:b/>
                <w:color w:val="000000" w:themeColor="text1"/>
                <w:kern w:val="0"/>
                <w:sz w:val="21"/>
                <w:szCs w:val="21"/>
              </w:rPr>
              <w:t>近完成规</w:t>
            </w:r>
          </w:p>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划指标</w:t>
            </w:r>
          </w:p>
        </w:tc>
      </w:tr>
      <w:tr w:rsidR="001E6CF4">
        <w:trPr>
          <w:trHeight w:val="860"/>
          <w:jc w:val="center"/>
        </w:trPr>
        <w:tc>
          <w:tcPr>
            <w:tcW w:w="975" w:type="dxa"/>
            <w:vMerge/>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1E6CF4" w:rsidRDefault="001E6CF4">
            <w:pPr>
              <w:widowControl/>
              <w:spacing w:line="240" w:lineRule="auto"/>
              <w:ind w:firstLineChars="0" w:firstLine="0"/>
              <w:jc w:val="center"/>
              <w:rPr>
                <w:rFonts w:ascii="仿宋_GB2312" w:eastAsia="仿宋_GB2312" w:hAnsi="仿宋_GB2312" w:cs="仿宋_GB2312"/>
                <w:b/>
                <w:color w:val="000000" w:themeColor="text1"/>
                <w:sz w:val="21"/>
                <w:szCs w:val="21"/>
              </w:rPr>
            </w:pPr>
          </w:p>
        </w:tc>
        <w:tc>
          <w:tcPr>
            <w:tcW w:w="963" w:type="dxa"/>
            <w:vMerge/>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1E6CF4">
            <w:pPr>
              <w:widowControl/>
              <w:spacing w:line="240" w:lineRule="auto"/>
              <w:ind w:firstLineChars="0" w:firstLine="0"/>
              <w:jc w:val="center"/>
              <w:rPr>
                <w:rFonts w:ascii="仿宋_GB2312" w:eastAsia="仿宋_GB2312" w:hAnsi="仿宋_GB2312" w:cs="仿宋_GB2312"/>
                <w:b/>
                <w:color w:val="000000" w:themeColor="text1"/>
                <w:sz w:val="21"/>
                <w:szCs w:val="21"/>
              </w:rPr>
            </w:pPr>
          </w:p>
        </w:tc>
        <w:tc>
          <w:tcPr>
            <w:tcW w:w="2677"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历史遗留矿山、开山采石专项治理</w:t>
            </w:r>
          </w:p>
        </w:tc>
        <w:tc>
          <w:tcPr>
            <w:tcW w:w="133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［313.53］</w:t>
            </w:r>
          </w:p>
        </w:tc>
        <w:tc>
          <w:tcPr>
            <w:tcW w:w="1573"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［424.48］</w:t>
            </w:r>
          </w:p>
        </w:tc>
        <w:tc>
          <w:tcPr>
            <w:tcW w:w="978" w:type="dxa"/>
            <w:vMerge/>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1E6CF4">
            <w:pPr>
              <w:widowControl/>
              <w:spacing w:line="240" w:lineRule="auto"/>
              <w:ind w:firstLineChars="0" w:firstLine="0"/>
              <w:jc w:val="center"/>
              <w:rPr>
                <w:rFonts w:eastAsia="宋体" w:cs="宋体"/>
                <w:b/>
                <w:color w:val="000000" w:themeColor="text1"/>
                <w:sz w:val="22"/>
                <w:szCs w:val="22"/>
              </w:rPr>
            </w:pPr>
          </w:p>
        </w:tc>
      </w:tr>
      <w:tr w:rsidR="001E6CF4">
        <w:trPr>
          <w:trHeight w:val="452"/>
          <w:jc w:val="center"/>
        </w:trPr>
        <w:tc>
          <w:tcPr>
            <w:tcW w:w="975" w:type="dxa"/>
            <w:vMerge/>
            <w:tcBorders>
              <w:top w:val="nil"/>
              <w:left w:val="single" w:sz="8" w:space="0" w:color="000000"/>
              <w:bottom w:val="single" w:sz="8" w:space="0" w:color="000000"/>
              <w:right w:val="single" w:sz="8" w:space="0" w:color="000000"/>
            </w:tcBorders>
            <w:shd w:val="clear" w:color="auto" w:fill="auto"/>
            <w:tcMar>
              <w:top w:w="12" w:type="dxa"/>
              <w:left w:w="12" w:type="dxa"/>
              <w:right w:w="12" w:type="dxa"/>
            </w:tcMar>
            <w:vAlign w:val="center"/>
          </w:tcPr>
          <w:p w:rsidR="001E6CF4" w:rsidRDefault="001E6CF4">
            <w:pPr>
              <w:widowControl/>
              <w:spacing w:line="240" w:lineRule="auto"/>
              <w:ind w:firstLineChars="0" w:firstLine="0"/>
              <w:jc w:val="center"/>
              <w:rPr>
                <w:rFonts w:ascii="仿宋_GB2312" w:eastAsia="仿宋_GB2312" w:hAnsi="仿宋_GB2312" w:cs="仿宋_GB2312"/>
                <w:b/>
                <w:color w:val="000000" w:themeColor="text1"/>
                <w:sz w:val="21"/>
                <w:szCs w:val="21"/>
              </w:rPr>
            </w:pPr>
          </w:p>
        </w:tc>
        <w:tc>
          <w:tcPr>
            <w:tcW w:w="963" w:type="dxa"/>
            <w:vMerge w:val="restart"/>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土地复垦面积（公顷）</w:t>
            </w:r>
          </w:p>
        </w:tc>
        <w:tc>
          <w:tcPr>
            <w:tcW w:w="2677"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新建和生产矿山</w:t>
            </w:r>
          </w:p>
        </w:tc>
        <w:tc>
          <w:tcPr>
            <w:tcW w:w="2911" w:type="dxa"/>
            <w:gridSpan w:val="2"/>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全面复垦</w:t>
            </w:r>
          </w:p>
        </w:tc>
        <w:tc>
          <w:tcPr>
            <w:tcW w:w="978" w:type="dxa"/>
            <w:vMerge/>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1E6CF4" w:rsidRDefault="001E6CF4">
            <w:pPr>
              <w:widowControl/>
              <w:spacing w:line="240" w:lineRule="auto"/>
              <w:ind w:firstLineChars="0" w:firstLine="0"/>
              <w:jc w:val="center"/>
              <w:rPr>
                <w:rFonts w:eastAsia="宋体" w:cs="宋体"/>
                <w:b/>
                <w:color w:val="000000" w:themeColor="text1"/>
                <w:sz w:val="22"/>
                <w:szCs w:val="22"/>
              </w:rPr>
            </w:pPr>
          </w:p>
        </w:tc>
      </w:tr>
      <w:tr w:rsidR="001E6CF4">
        <w:trPr>
          <w:trHeight w:val="955"/>
          <w:jc w:val="center"/>
        </w:trPr>
        <w:tc>
          <w:tcPr>
            <w:tcW w:w="975" w:type="dxa"/>
            <w:vMerge/>
            <w:tcBorders>
              <w:top w:val="nil"/>
              <w:left w:val="single" w:sz="8" w:space="0" w:color="000000"/>
              <w:bottom w:val="single" w:sz="4" w:space="0" w:color="auto"/>
              <w:right w:val="single" w:sz="8" w:space="0" w:color="000000"/>
            </w:tcBorders>
            <w:shd w:val="clear" w:color="auto" w:fill="auto"/>
            <w:tcMar>
              <w:top w:w="12" w:type="dxa"/>
              <w:left w:w="12" w:type="dxa"/>
              <w:right w:w="12" w:type="dxa"/>
            </w:tcMar>
            <w:vAlign w:val="center"/>
          </w:tcPr>
          <w:p w:rsidR="001E6CF4" w:rsidRDefault="001E6CF4">
            <w:pPr>
              <w:widowControl/>
              <w:spacing w:line="240" w:lineRule="auto"/>
              <w:ind w:firstLineChars="0" w:firstLine="0"/>
              <w:jc w:val="center"/>
              <w:rPr>
                <w:rFonts w:ascii="仿宋_GB2312" w:eastAsia="仿宋_GB2312" w:hAnsi="仿宋_GB2312" w:cs="仿宋_GB2312"/>
                <w:b/>
                <w:color w:val="000000" w:themeColor="text1"/>
                <w:sz w:val="21"/>
                <w:szCs w:val="21"/>
              </w:rPr>
            </w:pPr>
          </w:p>
        </w:tc>
        <w:tc>
          <w:tcPr>
            <w:tcW w:w="963" w:type="dxa"/>
            <w:vMerge/>
            <w:tcBorders>
              <w:top w:val="nil"/>
              <w:left w:val="nil"/>
              <w:bottom w:val="single" w:sz="4" w:space="0" w:color="auto"/>
              <w:right w:val="single" w:sz="8" w:space="0" w:color="000000"/>
            </w:tcBorders>
            <w:shd w:val="clear" w:color="auto" w:fill="auto"/>
            <w:tcMar>
              <w:top w:w="12" w:type="dxa"/>
              <w:left w:w="12" w:type="dxa"/>
              <w:right w:w="12" w:type="dxa"/>
            </w:tcMar>
            <w:vAlign w:val="center"/>
          </w:tcPr>
          <w:p w:rsidR="001E6CF4" w:rsidRDefault="001E6CF4">
            <w:pPr>
              <w:widowControl/>
              <w:spacing w:line="240" w:lineRule="auto"/>
              <w:ind w:firstLineChars="0" w:firstLine="0"/>
              <w:jc w:val="center"/>
              <w:rPr>
                <w:rFonts w:ascii="仿宋_GB2312" w:eastAsia="仿宋_GB2312" w:hAnsi="仿宋_GB2312" w:cs="仿宋_GB2312"/>
                <w:b/>
                <w:color w:val="000000" w:themeColor="text1"/>
                <w:sz w:val="21"/>
                <w:szCs w:val="21"/>
              </w:rPr>
            </w:pPr>
          </w:p>
        </w:tc>
        <w:tc>
          <w:tcPr>
            <w:tcW w:w="2677" w:type="dxa"/>
            <w:gridSpan w:val="2"/>
            <w:tcBorders>
              <w:top w:val="nil"/>
              <w:left w:val="nil"/>
              <w:bottom w:val="single" w:sz="4" w:space="0" w:color="auto"/>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历史遗留矿山、关停砖瓦窑土地复垦</w:t>
            </w:r>
          </w:p>
        </w:tc>
        <w:tc>
          <w:tcPr>
            <w:tcW w:w="1338" w:type="dxa"/>
            <w:tcBorders>
              <w:top w:val="nil"/>
              <w:left w:val="nil"/>
              <w:bottom w:val="single" w:sz="4" w:space="0" w:color="auto"/>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［171.54］</w:t>
            </w:r>
          </w:p>
        </w:tc>
        <w:tc>
          <w:tcPr>
            <w:tcW w:w="1573" w:type="dxa"/>
            <w:tcBorders>
              <w:top w:val="nil"/>
              <w:left w:val="nil"/>
              <w:bottom w:val="single" w:sz="4" w:space="0" w:color="auto"/>
              <w:right w:val="single" w:sz="8" w:space="0" w:color="000000"/>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center"/>
              <w:textAlignment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kern w:val="0"/>
                <w:sz w:val="21"/>
                <w:szCs w:val="21"/>
              </w:rPr>
              <w:t>［173.61］</w:t>
            </w:r>
          </w:p>
        </w:tc>
        <w:tc>
          <w:tcPr>
            <w:tcW w:w="978" w:type="dxa"/>
            <w:vMerge/>
            <w:tcBorders>
              <w:top w:val="nil"/>
              <w:left w:val="nil"/>
              <w:bottom w:val="single" w:sz="4" w:space="0" w:color="auto"/>
              <w:right w:val="single" w:sz="8" w:space="0" w:color="000000"/>
            </w:tcBorders>
            <w:shd w:val="clear" w:color="auto" w:fill="auto"/>
            <w:tcMar>
              <w:top w:w="12" w:type="dxa"/>
              <w:left w:w="12" w:type="dxa"/>
              <w:right w:w="12" w:type="dxa"/>
            </w:tcMar>
            <w:vAlign w:val="center"/>
          </w:tcPr>
          <w:p w:rsidR="001E6CF4" w:rsidRDefault="001E6CF4">
            <w:pPr>
              <w:widowControl/>
              <w:spacing w:line="240" w:lineRule="auto"/>
              <w:ind w:firstLineChars="0" w:firstLine="0"/>
              <w:jc w:val="center"/>
              <w:rPr>
                <w:rFonts w:eastAsia="宋体" w:cs="宋体"/>
                <w:b/>
                <w:color w:val="000000" w:themeColor="text1"/>
                <w:sz w:val="22"/>
                <w:szCs w:val="22"/>
              </w:rPr>
            </w:pPr>
          </w:p>
        </w:tc>
      </w:tr>
      <w:tr w:rsidR="001E6CF4">
        <w:trPr>
          <w:trHeight w:val="287"/>
          <w:jc w:val="center"/>
        </w:trPr>
        <w:tc>
          <w:tcPr>
            <w:tcW w:w="8504" w:type="dxa"/>
            <w:gridSpan w:val="7"/>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E6CF4" w:rsidRDefault="005458C6">
            <w:pPr>
              <w:widowControl/>
              <w:spacing w:line="240" w:lineRule="auto"/>
              <w:ind w:firstLineChars="0" w:firstLine="0"/>
              <w:jc w:val="left"/>
              <w:rPr>
                <w:rFonts w:eastAsia="宋体" w:cs="宋体"/>
                <w:b/>
                <w:color w:val="000000" w:themeColor="text1"/>
                <w:sz w:val="22"/>
                <w:szCs w:val="22"/>
              </w:rPr>
            </w:pPr>
            <w:r>
              <w:rPr>
                <w:rFonts w:ascii="仿宋_GB2312" w:eastAsia="仿宋_GB2312" w:hAnsi="仿宋_GB2312" w:cs="仿宋_GB2312" w:hint="eastAsia"/>
                <w:b/>
                <w:color w:val="000000" w:themeColor="text1"/>
                <w:sz w:val="18"/>
                <w:szCs w:val="11"/>
              </w:rPr>
              <w:t>注：［38］</w:t>
            </w:r>
            <w:r>
              <w:rPr>
                <w:rFonts w:ascii="仿宋_GB2312" w:eastAsia="仿宋_GB2312" w:hAnsi="仿宋_GB2312" w:cs="仿宋_GB2312" w:hint="eastAsia"/>
                <w:b/>
                <w:color w:val="000000" w:themeColor="text1"/>
                <w:sz w:val="18"/>
                <w:szCs w:val="11"/>
                <w:vertAlign w:val="superscript"/>
              </w:rPr>
              <w:t>*</w:t>
            </w:r>
            <w:r>
              <w:rPr>
                <w:rFonts w:ascii="仿宋_GB2312" w:eastAsia="仿宋_GB2312" w:hAnsi="仿宋_GB2312" w:cs="仿宋_GB2312" w:hint="eastAsia"/>
                <w:b/>
                <w:color w:val="000000" w:themeColor="text1"/>
                <w:sz w:val="18"/>
                <w:szCs w:val="11"/>
              </w:rPr>
              <w:t>含</w:t>
            </w:r>
            <w:r>
              <w:rPr>
                <w:rFonts w:ascii="仿宋_GB2312" w:eastAsia="仿宋_GB2312" w:hAnsi="仿宋_GB2312" w:cs="仿宋_GB2312" w:hint="eastAsia"/>
                <w:b/>
                <w:color w:val="000000" w:themeColor="text1"/>
                <w:kern w:val="0"/>
                <w:sz w:val="18"/>
                <w:szCs w:val="11"/>
              </w:rPr>
              <w:t>黄陵县店头镇煤炭开采区绿色矿业发展示范区内10个绿色矿山及已建成的4个绿色矿山。</w:t>
            </w:r>
          </w:p>
        </w:tc>
      </w:tr>
    </w:tbl>
    <w:p w:rsidR="001E6CF4" w:rsidRDefault="005458C6">
      <w:pPr>
        <w:pStyle w:val="2"/>
        <w:keepNext w:val="0"/>
        <w:keepLines w:val="0"/>
        <w:overflowPunct w:val="0"/>
        <w:adjustRightInd/>
        <w:snapToGrid/>
        <w:spacing w:line="590" w:lineRule="exact"/>
        <w:ind w:firstLineChars="200" w:firstLine="643"/>
        <w:rPr>
          <w:rFonts w:ascii="黑体" w:eastAsia="黑体" w:hAnsi="黑体" w:cs="黑体"/>
          <w:bCs w:val="0"/>
          <w:color w:val="000000" w:themeColor="text1"/>
        </w:rPr>
      </w:pPr>
      <w:bookmarkStart w:id="38" w:name="_Toc16893"/>
      <w:bookmarkStart w:id="39" w:name="_Toc10350"/>
      <w:bookmarkStart w:id="40" w:name="_Toc31317"/>
      <w:bookmarkEnd w:id="34"/>
      <w:r>
        <w:rPr>
          <w:rFonts w:ascii="黑体" w:eastAsia="黑体" w:hAnsi="黑体" w:cs="黑体" w:hint="eastAsia"/>
          <w:bCs w:val="0"/>
          <w:color w:val="000000" w:themeColor="text1"/>
        </w:rPr>
        <w:t>四、主要问题</w:t>
      </w:r>
      <w:bookmarkEnd w:id="38"/>
      <w:bookmarkEnd w:id="39"/>
      <w:bookmarkEnd w:id="40"/>
    </w:p>
    <w:p w:rsidR="001E6CF4" w:rsidRDefault="005458C6">
      <w:pPr>
        <w:overflowPunct w:val="0"/>
        <w:spacing w:line="59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资源勘查及开发利用水平亟待加强。地质勘查投入逐年下降，推动找矿突破的激励机制尚未健全。煤炭开发利用能力，加工转化率较低，转化产业链短的问题，仍未从根本上扭转。砂石土类小型矿山开发利用方式粗放等问题仍较突出。</w:t>
      </w:r>
    </w:p>
    <w:p w:rsidR="001E6CF4" w:rsidRDefault="005458C6">
      <w:pPr>
        <w:overflowPunct w:val="0"/>
        <w:spacing w:line="59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矿山生态保护修复任务仍然艰巨。当前绿色矿山建设主要依靠行政引导，缺乏有效强制手段和激励机制，还需进一步强化政策制度建设，为全面推进绿色矿山提供保障。历史遗留关闭矿山和黄河流域采煤沉陷区综合治理资金缺口大，矿山环境欠账多等问题依然存在，矿山地质环境治理恢复任务艰巨。</w:t>
      </w:r>
    </w:p>
    <w:p w:rsidR="001E6CF4" w:rsidRPr="005A58A9" w:rsidRDefault="005458C6">
      <w:pPr>
        <w:pStyle w:val="2"/>
        <w:keepNext w:val="0"/>
        <w:keepLines w:val="0"/>
        <w:overflowPunct w:val="0"/>
        <w:adjustRightInd/>
        <w:snapToGrid/>
        <w:spacing w:line="590" w:lineRule="exact"/>
        <w:ind w:firstLineChars="200" w:firstLine="643"/>
        <w:rPr>
          <w:rFonts w:ascii="黑体" w:eastAsia="黑体" w:hAnsi="黑体" w:cs="仿宋_GB2312"/>
          <w:bCs w:val="0"/>
          <w:color w:val="000000" w:themeColor="text1"/>
        </w:rPr>
      </w:pPr>
      <w:bookmarkStart w:id="41" w:name="_Toc444767727"/>
      <w:bookmarkStart w:id="42" w:name="_Toc444768088"/>
      <w:bookmarkStart w:id="43" w:name="_Toc13937"/>
      <w:bookmarkStart w:id="44" w:name="_Toc24658"/>
      <w:bookmarkStart w:id="45" w:name="_Toc3881"/>
      <w:r w:rsidRPr="005A58A9">
        <w:rPr>
          <w:rFonts w:ascii="黑体" w:eastAsia="黑体" w:hAnsi="黑体" w:cs="仿宋_GB2312" w:hint="eastAsia"/>
          <w:bCs w:val="0"/>
          <w:color w:val="000000" w:themeColor="text1"/>
        </w:rPr>
        <w:t>五、</w:t>
      </w:r>
      <w:bookmarkEnd w:id="41"/>
      <w:bookmarkEnd w:id="42"/>
      <w:r w:rsidRPr="005A58A9">
        <w:rPr>
          <w:rFonts w:ascii="黑体" w:eastAsia="黑体" w:hAnsi="黑体" w:cs="仿宋_GB2312" w:hint="eastAsia"/>
          <w:bCs w:val="0"/>
          <w:color w:val="000000" w:themeColor="text1"/>
        </w:rPr>
        <w:t>形势和要求</w:t>
      </w:r>
      <w:bookmarkEnd w:id="43"/>
      <w:bookmarkEnd w:id="44"/>
      <w:bookmarkEnd w:id="45"/>
    </w:p>
    <w:p w:rsidR="001E6CF4" w:rsidRDefault="005458C6">
      <w:pPr>
        <w:overflowPunct w:val="0"/>
        <w:spacing w:line="590" w:lineRule="exact"/>
        <w:ind w:firstLine="643"/>
        <w:rPr>
          <w:rFonts w:ascii="仿宋_GB2312" w:eastAsia="仿宋_GB2312" w:hAnsi="仿宋_GB2312" w:cs="仿宋_GB2312"/>
          <w:b/>
          <w:color w:val="000000" w:themeColor="text1"/>
          <w:sz w:val="32"/>
          <w:szCs w:val="32"/>
        </w:rPr>
      </w:pPr>
      <w:bookmarkStart w:id="46" w:name="_Toc444767728"/>
      <w:bookmarkStart w:id="47" w:name="_Toc444768089"/>
      <w:bookmarkStart w:id="48" w:name="_Toc437691285"/>
      <w:r>
        <w:rPr>
          <w:rFonts w:ascii="仿宋_GB2312" w:eastAsia="仿宋_GB2312" w:hAnsi="仿宋_GB2312" w:cs="仿宋_GB2312" w:hint="eastAsia"/>
          <w:b/>
          <w:color w:val="000000" w:themeColor="text1"/>
          <w:sz w:val="32"/>
          <w:szCs w:val="32"/>
        </w:rPr>
        <w:t>“十四五”时期是国家开启全面建设社会主义现代化国家新</w:t>
      </w:r>
      <w:r>
        <w:rPr>
          <w:rFonts w:ascii="仿宋_GB2312" w:eastAsia="仿宋_GB2312" w:hAnsi="仿宋_GB2312" w:cs="仿宋_GB2312" w:hint="eastAsia"/>
          <w:b/>
          <w:color w:val="000000" w:themeColor="text1"/>
          <w:sz w:val="32"/>
          <w:szCs w:val="32"/>
        </w:rPr>
        <w:lastRenderedPageBreak/>
        <w:t>征程的第一个五年，是国家经济社会深入推进高质量发展的重要阶段，是延安市蓄势崛起、跨越发展的关键时期和转型攻坚的紧要关口，共建“一带一路”、新时代推进西部大开发形成新格局、黄河流域生态保护和高质量发展，加快打造陕北高端能源化工基地，创新驱动发展战略、借助“5G+工业互联网”的发展，延安市经济社会各方面将得到全面发展，将开启全面建设社会主义现代化新征程及保持经济中高速增长的重要阶段，矿业发展形势发生深刻变化，矿业结构调整、转型升级和管理改革任务十分艰巨，找矿空间缩小，地质勘查、矿产开发与保护、矿山地质环境治理恢复面临新的机遇和挑战。为延安市矿业提供了重大发展机遇，同时也对生态环境保护和矿业的发展提出了更大的挑战。</w:t>
      </w:r>
    </w:p>
    <w:p w:rsidR="001E6CF4" w:rsidRDefault="005458C6">
      <w:pPr>
        <w:overflowPunct w:val="0"/>
        <w:spacing w:line="59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lang w:val="zh-CN"/>
        </w:rPr>
        <w:t>为此，“十</w:t>
      </w:r>
      <w:r>
        <w:rPr>
          <w:rFonts w:ascii="仿宋_GB2312" w:eastAsia="仿宋_GB2312" w:hAnsi="仿宋_GB2312" w:cs="仿宋_GB2312" w:hint="eastAsia"/>
          <w:b/>
          <w:color w:val="000000" w:themeColor="text1"/>
          <w:sz w:val="32"/>
          <w:szCs w:val="32"/>
        </w:rPr>
        <w:t>四</w:t>
      </w:r>
      <w:r>
        <w:rPr>
          <w:rFonts w:ascii="仿宋_GB2312" w:eastAsia="仿宋_GB2312" w:hAnsi="仿宋_GB2312" w:cs="仿宋_GB2312" w:hint="eastAsia"/>
          <w:b/>
          <w:color w:val="000000" w:themeColor="text1"/>
          <w:sz w:val="32"/>
          <w:szCs w:val="32"/>
          <w:lang w:val="zh-CN"/>
        </w:rPr>
        <w:t>五”期间，</w:t>
      </w:r>
      <w:r>
        <w:rPr>
          <w:rFonts w:ascii="仿宋_GB2312" w:eastAsia="仿宋_GB2312" w:hAnsi="仿宋_GB2312" w:cs="仿宋_GB2312" w:hint="eastAsia"/>
          <w:b/>
          <w:color w:val="000000" w:themeColor="text1"/>
          <w:sz w:val="32"/>
          <w:szCs w:val="32"/>
        </w:rPr>
        <w:t>延安市基于陕北能源资源基地、煤炭国家规划矿区，积极谋划黄河流域生态保护和高质量发展。以“双碳”目标驱动绿色发展，全市进一步优化和调整矿产资源开发利用结构与布局，推动资源开发模式向绿色循环转变，推动矿业利用方式向中高端转变，在环境保护优先的前提下，实现矿产资源的可持续开发利用。全市积极加强对煤层气、岩盐的综合勘查；要在产业转型升级上有所突破，实现综合实力大提升，推进供给侧结构性改革，加快产业结构调整步伐，加快煤矿智能化建设，加强矿产资源综合利用和资源转化能力，提高资源节约集约利用水平；要加速非油产业发展和新产业新业态不断成长。</w:t>
      </w:r>
    </w:p>
    <w:p w:rsidR="001E6CF4" w:rsidRDefault="005458C6">
      <w:pPr>
        <w:overflowPunct w:val="0"/>
        <w:spacing w:line="59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“十四五”期间，要持续加大绿色勘查和绿色矿山建设。</w:t>
      </w:r>
      <w:r>
        <w:rPr>
          <w:rFonts w:ascii="仿宋_GB2312" w:eastAsia="仿宋_GB2312" w:hAnsi="仿宋_GB2312" w:cs="仿宋_GB2312" w:hint="eastAsia"/>
          <w:b/>
          <w:color w:val="000000" w:themeColor="text1"/>
          <w:sz w:val="32"/>
          <w:szCs w:val="32"/>
          <w:lang w:val="zh-CN"/>
        </w:rPr>
        <w:t>从</w:t>
      </w:r>
      <w:r>
        <w:rPr>
          <w:rFonts w:ascii="仿宋_GB2312" w:eastAsia="仿宋_GB2312" w:hAnsi="仿宋_GB2312" w:cs="仿宋_GB2312" w:hint="eastAsia"/>
          <w:b/>
          <w:color w:val="000000" w:themeColor="text1"/>
          <w:sz w:val="32"/>
          <w:szCs w:val="32"/>
          <w:lang w:val="zh-CN"/>
        </w:rPr>
        <w:lastRenderedPageBreak/>
        <w:t>综合利用、技术创新、节能减排、规范管理、环境保护、土地复垦等</w:t>
      </w:r>
      <w:r>
        <w:rPr>
          <w:rFonts w:ascii="仿宋_GB2312" w:eastAsia="仿宋_GB2312" w:hAnsi="仿宋_GB2312" w:cs="仿宋_GB2312" w:hint="eastAsia"/>
          <w:b/>
          <w:color w:val="000000" w:themeColor="text1"/>
          <w:sz w:val="32"/>
          <w:szCs w:val="32"/>
        </w:rPr>
        <w:t>方面加大投入</w:t>
      </w:r>
      <w:r>
        <w:rPr>
          <w:rFonts w:ascii="仿宋_GB2312" w:eastAsia="仿宋_GB2312" w:hAnsi="仿宋_GB2312" w:cs="仿宋_GB2312" w:hint="eastAsia"/>
          <w:b/>
          <w:color w:val="000000" w:themeColor="text1"/>
          <w:sz w:val="32"/>
          <w:szCs w:val="32"/>
          <w:lang w:val="zh-CN"/>
        </w:rPr>
        <w:t>，</w:t>
      </w:r>
      <w:r>
        <w:rPr>
          <w:rFonts w:ascii="仿宋_GB2312" w:eastAsia="仿宋_GB2312" w:hAnsi="仿宋_GB2312" w:cs="仿宋_GB2312" w:hint="eastAsia"/>
          <w:b/>
          <w:color w:val="000000" w:themeColor="text1"/>
          <w:sz w:val="32"/>
          <w:szCs w:val="32"/>
        </w:rPr>
        <w:t>使矿山地质环境得到进一步改善。</w:t>
      </w:r>
    </w:p>
    <w:p w:rsidR="001E6CF4" w:rsidRDefault="005458C6">
      <w:pPr>
        <w:overflowPunct w:val="0"/>
        <w:spacing w:line="590" w:lineRule="exact"/>
        <w:ind w:firstLine="643"/>
        <w:rPr>
          <w:rFonts w:ascii="仿宋_GB2312" w:eastAsia="仿宋_GB2312" w:hAnsi="仿宋_GB2312" w:cs="仿宋_GB2312"/>
          <w:b/>
          <w:color w:val="000000" w:themeColor="text1"/>
        </w:rPr>
      </w:pPr>
      <w:r>
        <w:rPr>
          <w:rFonts w:ascii="仿宋_GB2312" w:eastAsia="仿宋_GB2312" w:hAnsi="仿宋_GB2312" w:cs="仿宋_GB2312" w:hint="eastAsia"/>
          <w:b/>
          <w:color w:val="000000" w:themeColor="text1"/>
          <w:sz w:val="32"/>
          <w:szCs w:val="32"/>
        </w:rPr>
        <w:t>深化“放管服”改革，进一步完善矿产资源管理。充分发挥市场在配置资源中的决定性作用和更好发挥政府作用；积极构建“净矿”出让机制，做好矿业权出让前期工作，依法依规避让生态保护红线等禁止限制勘查开采区，做好与用地用林用草等审批事项的衔接，落实资源高效开发、保障供给；提升管理服务水平，为矿业绿色低碳发展增添新动力。</w:t>
      </w:r>
    </w:p>
    <w:p w:rsidR="001E6CF4" w:rsidRDefault="001E6CF4" w:rsidP="00437FD6">
      <w:pPr>
        <w:overflowPunct w:val="0"/>
        <w:spacing w:line="590" w:lineRule="exact"/>
        <w:ind w:firstLine="602"/>
        <w:rPr>
          <w:rFonts w:ascii="仿宋_GB2312" w:eastAsia="仿宋_GB2312" w:hAnsi="仿宋_GB2312" w:cs="仿宋_GB2312"/>
          <w:b/>
          <w:color w:val="000000" w:themeColor="text1"/>
        </w:rPr>
        <w:sectPr w:rsidR="001E6CF4" w:rsidSect="00B86950">
          <w:footerReference w:type="even" r:id="rId11"/>
          <w:footerReference w:type="default" r:id="rId12"/>
          <w:footerReference w:type="first" r:id="rId13"/>
          <w:pgSz w:w="11906" w:h="16838" w:code="9"/>
          <w:pgMar w:top="1985" w:right="1474" w:bottom="1418" w:left="1588" w:header="1985" w:footer="1418" w:gutter="0"/>
          <w:pgNumType w:start="1"/>
          <w:cols w:space="0"/>
          <w:titlePg/>
          <w:docGrid w:type="lines" w:linePitch="419"/>
        </w:sectPr>
      </w:pPr>
    </w:p>
    <w:p w:rsidR="001E6CF4" w:rsidRDefault="001E6CF4">
      <w:pPr>
        <w:pStyle w:val="1"/>
        <w:overflowPunct w:val="0"/>
        <w:spacing w:beforeAutospacing="0" w:afterAutospacing="0" w:line="580" w:lineRule="exact"/>
        <w:ind w:firstLineChars="200" w:firstLine="880"/>
        <w:jc w:val="both"/>
        <w:rPr>
          <w:rFonts w:ascii="方正小标宋简体" w:eastAsia="方正小标宋简体" w:hAnsi="方正小标宋简体" w:cs="方正小标宋简体" w:hint="default"/>
          <w:b w:val="0"/>
          <w:color w:val="000000" w:themeColor="text1"/>
          <w:sz w:val="44"/>
          <w:szCs w:val="44"/>
        </w:rPr>
      </w:pPr>
      <w:bookmarkStart w:id="49" w:name="_Toc5713"/>
      <w:bookmarkStart w:id="50" w:name="_Toc31148"/>
      <w:bookmarkStart w:id="51" w:name="_Toc10151"/>
    </w:p>
    <w:p w:rsidR="001E6CF4" w:rsidRDefault="005458C6">
      <w:pPr>
        <w:pStyle w:val="1"/>
        <w:overflowPunct w:val="0"/>
        <w:spacing w:beforeAutospacing="0" w:afterAutospacing="0" w:line="580" w:lineRule="exact"/>
        <w:ind w:firstLineChars="200" w:firstLine="880"/>
        <w:jc w:val="both"/>
        <w:rPr>
          <w:rFonts w:ascii="方正小标宋简体" w:eastAsia="方正小标宋简体" w:hAnsi="方正小标宋简体" w:cs="方正小标宋简体" w:hint="default"/>
          <w:b w:val="0"/>
          <w:color w:val="000000" w:themeColor="text1"/>
          <w:sz w:val="44"/>
          <w:szCs w:val="44"/>
        </w:rPr>
      </w:pPr>
      <w:r>
        <w:rPr>
          <w:rFonts w:ascii="方正小标宋简体" w:eastAsia="方正小标宋简体" w:hAnsi="方正小标宋简体" w:cs="方正小标宋简体"/>
          <w:b w:val="0"/>
          <w:color w:val="000000" w:themeColor="text1"/>
          <w:sz w:val="44"/>
          <w:szCs w:val="44"/>
        </w:rPr>
        <w:t>第二章 指导思想、基本原则与目标</w:t>
      </w:r>
      <w:bookmarkEnd w:id="46"/>
      <w:bookmarkEnd w:id="47"/>
      <w:bookmarkEnd w:id="48"/>
      <w:bookmarkEnd w:id="49"/>
      <w:bookmarkEnd w:id="50"/>
      <w:bookmarkEnd w:id="51"/>
    </w:p>
    <w:p w:rsidR="001E6CF4" w:rsidRDefault="001E6CF4">
      <w:pPr>
        <w:pStyle w:val="2"/>
        <w:keepNext w:val="0"/>
        <w:keepLines w:val="0"/>
        <w:overflowPunct w:val="0"/>
        <w:adjustRightInd/>
        <w:snapToGrid/>
        <w:spacing w:line="580" w:lineRule="exact"/>
        <w:ind w:firstLineChars="200" w:firstLine="643"/>
        <w:rPr>
          <w:rFonts w:ascii="黑体" w:eastAsia="黑体" w:hAnsi="黑体" w:cs="黑体"/>
          <w:bCs w:val="0"/>
          <w:color w:val="000000" w:themeColor="text1"/>
        </w:rPr>
      </w:pPr>
      <w:bookmarkStart w:id="52" w:name="_Toc444767729"/>
      <w:bookmarkStart w:id="53" w:name="_Toc444768090"/>
      <w:bookmarkStart w:id="54" w:name="_Toc437691286"/>
      <w:bookmarkStart w:id="55" w:name="_Toc25739"/>
      <w:bookmarkStart w:id="56" w:name="_Toc19939"/>
      <w:bookmarkStart w:id="57" w:name="_Toc11171"/>
    </w:p>
    <w:p w:rsidR="001E6CF4" w:rsidRDefault="005458C6">
      <w:pPr>
        <w:pStyle w:val="2"/>
        <w:keepNext w:val="0"/>
        <w:keepLines w:val="0"/>
        <w:overflowPunct w:val="0"/>
        <w:adjustRightInd/>
        <w:snapToGrid/>
        <w:spacing w:line="580" w:lineRule="exact"/>
        <w:ind w:firstLineChars="200" w:firstLine="643"/>
        <w:rPr>
          <w:rFonts w:ascii="黑体" w:eastAsia="黑体" w:hAnsi="黑体" w:cs="黑体"/>
          <w:bCs w:val="0"/>
          <w:color w:val="000000" w:themeColor="text1"/>
        </w:rPr>
      </w:pPr>
      <w:r>
        <w:rPr>
          <w:rFonts w:ascii="黑体" w:eastAsia="黑体" w:hAnsi="黑体" w:cs="黑体" w:hint="eastAsia"/>
          <w:bCs w:val="0"/>
          <w:color w:val="000000" w:themeColor="text1"/>
        </w:rPr>
        <w:t>一、</w:t>
      </w:r>
      <w:bookmarkEnd w:id="52"/>
      <w:bookmarkEnd w:id="53"/>
      <w:bookmarkEnd w:id="54"/>
      <w:r>
        <w:rPr>
          <w:rFonts w:ascii="黑体" w:eastAsia="黑体" w:hAnsi="黑体" w:cs="黑体" w:hint="eastAsia"/>
          <w:bCs w:val="0"/>
          <w:color w:val="000000" w:themeColor="text1"/>
        </w:rPr>
        <w:t>指导思想</w:t>
      </w:r>
      <w:bookmarkEnd w:id="55"/>
      <w:bookmarkEnd w:id="56"/>
      <w:bookmarkEnd w:id="57"/>
    </w:p>
    <w:p w:rsidR="001E6CF4" w:rsidRDefault="005458C6">
      <w:pPr>
        <w:overflowPunct w:val="0"/>
        <w:spacing w:line="58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以习近平新时代中国特色社会主义思想为指导，坚持习近平生态文明思想，践行习总书记的“绿水青山就是金山银山”的科学理念，全面贯彻党的十九大和十九届历次全会精神，认真落实习近平总书记2015年来陕回延视察和2020年、2021年来陕考察重要讲话精神，统筹推进“五位一体”总体布局，协调推进“四个全面”战略布局，落实“五个扎实”、“五项要求”，落实省委省政府决策部署，坚持用延安精神建设延安、发展延安，以推动矿业高质量发展为主题，坚持新发展理念，构建新发展格局。以推动矿业高质量发展为主题，全面支撑陕北能源化工业高端延伸发展，为延安市提供可靠能源资源保障。</w:t>
      </w:r>
    </w:p>
    <w:p w:rsidR="001E6CF4" w:rsidRDefault="005458C6">
      <w:pPr>
        <w:pStyle w:val="2"/>
        <w:keepNext w:val="0"/>
        <w:keepLines w:val="0"/>
        <w:overflowPunct w:val="0"/>
        <w:adjustRightInd/>
        <w:snapToGrid/>
        <w:spacing w:line="580" w:lineRule="exact"/>
        <w:ind w:firstLineChars="200" w:firstLine="643"/>
        <w:rPr>
          <w:rFonts w:ascii="黑体" w:eastAsia="黑体" w:hAnsi="黑体" w:cs="黑体"/>
          <w:bCs w:val="0"/>
          <w:color w:val="000000" w:themeColor="text1"/>
        </w:rPr>
      </w:pPr>
      <w:bookmarkStart w:id="58" w:name="_Toc9774"/>
      <w:bookmarkStart w:id="59" w:name="_Toc437691287"/>
      <w:bookmarkStart w:id="60" w:name="_Toc444768091"/>
      <w:bookmarkStart w:id="61" w:name="_Toc5491"/>
      <w:bookmarkStart w:id="62" w:name="_Toc444767730"/>
      <w:bookmarkStart w:id="63" w:name="_Toc19068"/>
      <w:r>
        <w:rPr>
          <w:rFonts w:ascii="黑体" w:eastAsia="黑体" w:hAnsi="黑体" w:cs="黑体" w:hint="eastAsia"/>
          <w:bCs w:val="0"/>
          <w:color w:val="000000" w:themeColor="text1"/>
        </w:rPr>
        <w:t>二、基本原则</w:t>
      </w:r>
      <w:bookmarkEnd w:id="58"/>
      <w:bookmarkEnd w:id="59"/>
      <w:bookmarkEnd w:id="60"/>
      <w:bookmarkEnd w:id="61"/>
      <w:bookmarkEnd w:id="62"/>
      <w:bookmarkEnd w:id="63"/>
    </w:p>
    <w:p w:rsidR="001E6CF4" w:rsidRDefault="005458C6">
      <w:pPr>
        <w:overflowPunct w:val="0"/>
        <w:spacing w:line="580" w:lineRule="exact"/>
        <w:ind w:firstLine="643"/>
        <w:rPr>
          <w:rFonts w:ascii="仿宋_GB2312" w:eastAsia="仿宋_GB2312" w:hAnsi="仿宋_GB2312" w:cs="仿宋_GB2312"/>
          <w:b/>
          <w:color w:val="000000" w:themeColor="text1"/>
          <w:sz w:val="32"/>
          <w:szCs w:val="32"/>
          <w:lang w:val="zh-CN"/>
        </w:rPr>
      </w:pPr>
      <w:r>
        <w:rPr>
          <w:rFonts w:ascii="仿宋_GB2312" w:eastAsia="仿宋_GB2312" w:hAnsi="仿宋_GB2312" w:cs="仿宋_GB2312" w:hint="eastAsia"/>
          <w:b/>
          <w:color w:val="000000" w:themeColor="text1"/>
          <w:sz w:val="32"/>
          <w:szCs w:val="32"/>
        </w:rPr>
        <w:t>坚持生态优先，协调发展。突出生态环境保护，严守生态红线，大力推进生态文明建设，促进资源开发与生态环境保护协调发展。</w:t>
      </w:r>
      <w:r>
        <w:rPr>
          <w:rFonts w:ascii="仿宋_GB2312" w:eastAsia="仿宋_GB2312" w:hAnsi="仿宋_GB2312" w:cs="仿宋_GB2312" w:hint="eastAsia"/>
          <w:b/>
          <w:color w:val="000000" w:themeColor="text1"/>
          <w:sz w:val="32"/>
          <w:szCs w:val="32"/>
          <w:lang w:val="zh-CN"/>
        </w:rPr>
        <w:t>统筹资源开发的经济效益、环境效益与社会效益，强化资源开发合理布局、节约利用和矿区生态保护，实现资源开发、环境保护和民生改善的多方共赢。</w:t>
      </w:r>
    </w:p>
    <w:p w:rsidR="001E6CF4" w:rsidRDefault="005458C6">
      <w:pPr>
        <w:overflowPunct w:val="0"/>
        <w:spacing w:line="58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坚持找矿突破，扩大资源。持续推进找矿突破，提高资源保障程度，增加资源储量，优化完善矿产资源产业链、供应链，保</w:t>
      </w:r>
      <w:r>
        <w:rPr>
          <w:rFonts w:ascii="仿宋_GB2312" w:eastAsia="仿宋_GB2312" w:hAnsi="仿宋_GB2312" w:cs="仿宋_GB2312" w:hint="eastAsia"/>
          <w:b/>
          <w:color w:val="000000" w:themeColor="text1"/>
          <w:sz w:val="32"/>
          <w:szCs w:val="32"/>
        </w:rPr>
        <w:lastRenderedPageBreak/>
        <w:t>障矿产资源战略安全、地方资源优势和可持续开发利用。</w:t>
      </w:r>
    </w:p>
    <w:p w:rsidR="001E6CF4" w:rsidRDefault="005458C6">
      <w:pPr>
        <w:overflowPunct w:val="0"/>
        <w:spacing w:line="58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坚持集约节约，科技兴矿。坚持开发与保护并重，利用与节约并举，保护和节约放在首位的原则。以保护、节约的要求指导开发利用，以开发利用的成效来体现保护、节约。加强全过程节约管理，合理调控矿产资源开发总量和开发矿种，控制能源消费总量。推进资源集约节约利用，提高资源综合利用水平。</w:t>
      </w:r>
    </w:p>
    <w:p w:rsidR="001E6CF4" w:rsidRDefault="005458C6">
      <w:pPr>
        <w:pStyle w:val="a0"/>
        <w:overflowPunct w:val="0"/>
        <w:spacing w:line="58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坚持底线思维，绿色发展。守住自然生态安全边界，调整能源开发利用区域布局，加强绿色矿山建设，坚持绿色勘查、绿色开发，实现资源开发利用与生态环境保护相协调。</w:t>
      </w:r>
    </w:p>
    <w:p w:rsidR="001E6CF4" w:rsidRDefault="005458C6">
      <w:pPr>
        <w:pStyle w:val="a0"/>
        <w:overflowPunct w:val="0"/>
        <w:spacing w:line="58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强化市场配置，公平竞争。充分发挥市场在资源配置中的决定性作用，加快矿产资源管理制度改革，全面推行矿业权竞争性出让，激发市场主体活力，准确掌握矿产资源供需形势，培育公平高效规范的矿业权市场。</w:t>
      </w:r>
    </w:p>
    <w:p w:rsidR="001E6CF4" w:rsidRDefault="005458C6">
      <w:pPr>
        <w:pStyle w:val="2"/>
        <w:keepNext w:val="0"/>
        <w:keepLines w:val="0"/>
        <w:overflowPunct w:val="0"/>
        <w:adjustRightInd/>
        <w:snapToGrid/>
        <w:spacing w:line="580" w:lineRule="exact"/>
        <w:ind w:firstLineChars="200" w:firstLine="643"/>
        <w:rPr>
          <w:rFonts w:ascii="黑体" w:eastAsia="黑体" w:hAnsi="黑体" w:cs="黑体"/>
          <w:bCs w:val="0"/>
          <w:color w:val="000000" w:themeColor="text1"/>
        </w:rPr>
      </w:pPr>
      <w:bookmarkStart w:id="64" w:name="_Toc15670"/>
      <w:bookmarkStart w:id="65" w:name="_Toc6312"/>
      <w:bookmarkStart w:id="66" w:name="_Toc7155"/>
      <w:r>
        <w:rPr>
          <w:rFonts w:ascii="黑体" w:eastAsia="黑体" w:hAnsi="黑体" w:cs="黑体" w:hint="eastAsia"/>
          <w:bCs w:val="0"/>
          <w:color w:val="000000" w:themeColor="text1"/>
        </w:rPr>
        <w:t>三、规划目标</w:t>
      </w:r>
      <w:bookmarkStart w:id="67" w:name="_Toc444767732"/>
      <w:bookmarkEnd w:id="64"/>
      <w:bookmarkEnd w:id="65"/>
      <w:bookmarkEnd w:id="66"/>
    </w:p>
    <w:p w:rsidR="001E6CF4" w:rsidRPr="005A58A9" w:rsidRDefault="005458C6">
      <w:pPr>
        <w:pStyle w:val="3"/>
        <w:keepNext w:val="0"/>
        <w:keepLines w:val="0"/>
        <w:overflowPunct w:val="0"/>
        <w:adjustRightInd/>
        <w:snapToGrid/>
        <w:spacing w:line="580" w:lineRule="exact"/>
        <w:ind w:firstLine="643"/>
        <w:rPr>
          <w:rFonts w:ascii="楷体_GB2312" w:eastAsia="楷体_GB2312" w:hAnsi="仿宋_GB2312" w:cs="仿宋_GB2312"/>
          <w:b/>
          <w:bCs w:val="0"/>
          <w:color w:val="000000" w:themeColor="text1"/>
          <w:sz w:val="32"/>
        </w:rPr>
      </w:pPr>
      <w:r w:rsidRPr="005A58A9">
        <w:rPr>
          <w:rFonts w:ascii="楷体_GB2312" w:eastAsia="楷体_GB2312" w:hAnsi="仿宋_GB2312" w:cs="仿宋_GB2312" w:hint="eastAsia"/>
          <w:b/>
          <w:bCs w:val="0"/>
          <w:color w:val="000000" w:themeColor="text1"/>
          <w:sz w:val="32"/>
        </w:rPr>
        <w:t>（一）2025年目标</w:t>
      </w:r>
      <w:bookmarkEnd w:id="67"/>
    </w:p>
    <w:p w:rsidR="001E6CF4" w:rsidRDefault="005458C6">
      <w:pPr>
        <w:overflowPunct w:val="0"/>
        <w:spacing w:line="58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到2025年，全面提高矿产资源勘查开发与保护水平，矿产资源开发利用布局进一步优化，采石矿山治理成果得到巩固，矿业绿色发展新格局基本形成。</w:t>
      </w:r>
    </w:p>
    <w:p w:rsidR="001E6CF4" w:rsidRDefault="005458C6">
      <w:pPr>
        <w:overflowPunct w:val="0"/>
        <w:spacing w:line="58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主要矿产资源实现找矿新突破。加强石油、天然气、煤层气、煤炭、</w:t>
      </w:r>
      <w:r>
        <w:rPr>
          <w:rFonts w:ascii="仿宋_GB2312" w:eastAsia="仿宋_GB2312" w:hAnsi="仿宋_GB2312" w:cs="仿宋_GB2312" w:hint="eastAsia"/>
          <w:b/>
          <w:color w:val="000000" w:themeColor="text1"/>
          <w:kern w:val="1"/>
          <w:sz w:val="32"/>
          <w:szCs w:val="32"/>
        </w:rPr>
        <w:t>地热</w:t>
      </w:r>
      <w:r>
        <w:rPr>
          <w:rFonts w:ascii="仿宋_GB2312" w:eastAsia="仿宋_GB2312" w:hAnsi="仿宋_GB2312" w:cs="仿宋_GB2312" w:hint="eastAsia"/>
          <w:b/>
          <w:color w:val="000000" w:themeColor="text1"/>
          <w:sz w:val="32"/>
          <w:szCs w:val="32"/>
        </w:rPr>
        <w:t>等能源矿产调查评价与勘查，提高全市的资源安全保障能力。提升全市的岩盐勘查程度，有序开展矿泉水、陶瓷土的勘查工作，新增一批可供开发利用的矿产地，预期新发现大中型</w:t>
      </w:r>
      <w:r>
        <w:rPr>
          <w:rFonts w:ascii="仿宋_GB2312" w:eastAsia="仿宋_GB2312" w:hAnsi="仿宋_GB2312" w:cs="仿宋_GB2312" w:hint="eastAsia"/>
          <w:b/>
          <w:color w:val="000000" w:themeColor="text1"/>
          <w:sz w:val="32"/>
          <w:szCs w:val="32"/>
        </w:rPr>
        <w:lastRenderedPageBreak/>
        <w:t>矿产地1-2处。</w:t>
      </w:r>
    </w:p>
    <w:p w:rsidR="001E6CF4" w:rsidRDefault="005458C6">
      <w:pPr>
        <w:overflowPunct w:val="0"/>
        <w:spacing w:line="58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矿产资源保护与结构进一步优化。提高矿产资源开发准入门槛，矿产资源开发实行总量控制和配置优化，优选对环境影响最低的资源进行开发，到2025年，全市非油气矿山总数控制在≤230个，大、中型矿山占比提高到30%，小型矿山减少10%。</w:t>
      </w:r>
    </w:p>
    <w:p w:rsidR="001E6CF4" w:rsidRDefault="005458C6">
      <w:pPr>
        <w:overflowPunct w:val="0"/>
        <w:spacing w:line="58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绿色矿业发展格局基本形成。推广先进适用技术，提高资源利用效率。树立绿色发展理念，大力发展绿色矿业，提升绿色矿山建设水平，大中型矿山按照绿色矿山标准建设。支持矿山企业智能化设备改造升级，优选具备条件的大型矿山开展智慧矿山建设试点。</w:t>
      </w:r>
    </w:p>
    <w:p w:rsidR="001E6CF4" w:rsidRDefault="005458C6">
      <w:pPr>
        <w:overflowPunct w:val="0"/>
        <w:spacing w:line="58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提升矿产资源领域管理能力和管理水平。健全完善矿业权出让管理制度，加强矿业权交易市场诚信体系建设，培育矿业权市场；进一步推进“放管服”改革，精简办事流程，提高服务水平。</w:t>
      </w: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559"/>
        <w:gridCol w:w="1276"/>
        <w:gridCol w:w="2126"/>
        <w:gridCol w:w="1161"/>
        <w:gridCol w:w="967"/>
      </w:tblGrid>
      <w:tr w:rsidR="001E6CF4">
        <w:trPr>
          <w:trHeight w:val="517"/>
          <w:tblHeader/>
          <w:jc w:val="center"/>
        </w:trPr>
        <w:tc>
          <w:tcPr>
            <w:tcW w:w="8360" w:type="dxa"/>
            <w:gridSpan w:val="6"/>
            <w:vAlign w:val="center"/>
          </w:tcPr>
          <w:p w:rsidR="001E6CF4" w:rsidRDefault="005458C6">
            <w:pPr>
              <w:widowControl/>
              <w:adjustRightInd w:val="0"/>
              <w:snapToGrid w:val="0"/>
              <w:ind w:firstLineChars="0" w:firstLine="0"/>
              <w:jc w:val="center"/>
              <w:rPr>
                <w:rFonts w:eastAsia="宋体" w:cs="宋体"/>
                <w:b/>
                <w:color w:val="000000" w:themeColor="text1"/>
                <w:sz w:val="24"/>
              </w:rPr>
            </w:pPr>
            <w:bookmarkStart w:id="68" w:name="_Hlk75442018"/>
            <w:bookmarkStart w:id="69" w:name="_Hlk75372920"/>
            <w:r>
              <w:rPr>
                <w:rFonts w:ascii="仿宋_GB2312" w:eastAsia="仿宋_GB2312" w:hAnsi="仿宋_GB2312" w:cs="仿宋_GB2312" w:hint="eastAsia"/>
                <w:b/>
                <w:color w:val="000000" w:themeColor="text1"/>
                <w:sz w:val="28"/>
                <w:szCs w:val="20"/>
              </w:rPr>
              <w:t>专栏2   矿产资源勘查开发利用与保护主要指标</w:t>
            </w:r>
          </w:p>
        </w:tc>
      </w:tr>
      <w:tr w:rsidR="001E6CF4">
        <w:trPr>
          <w:trHeight w:val="517"/>
          <w:jc w:val="center"/>
        </w:trPr>
        <w:tc>
          <w:tcPr>
            <w:tcW w:w="1271" w:type="dxa"/>
            <w:vAlign w:val="center"/>
          </w:tcPr>
          <w:p w:rsidR="001E6CF4" w:rsidRDefault="005458C6">
            <w:pPr>
              <w:adjustRightInd w:val="0"/>
              <w:snapToGrid w:val="0"/>
              <w:spacing w:line="240" w:lineRule="auto"/>
              <w:ind w:firstLineChars="0" w:firstLine="0"/>
              <w:jc w:val="center"/>
              <w:rPr>
                <w:rFonts w:ascii="黑体" w:eastAsia="黑体" w:hAnsi="黑体" w:cs="黑体"/>
                <w:b/>
                <w:color w:val="000000" w:themeColor="text1"/>
                <w:sz w:val="24"/>
              </w:rPr>
            </w:pPr>
            <w:r>
              <w:rPr>
                <w:rFonts w:ascii="黑体" w:eastAsia="黑体" w:hAnsi="黑体" w:cs="黑体" w:hint="eastAsia"/>
                <w:b/>
                <w:color w:val="000000" w:themeColor="text1"/>
                <w:sz w:val="24"/>
              </w:rPr>
              <w:t>类别</w:t>
            </w:r>
          </w:p>
        </w:tc>
        <w:tc>
          <w:tcPr>
            <w:tcW w:w="2835" w:type="dxa"/>
            <w:gridSpan w:val="2"/>
            <w:vAlign w:val="center"/>
          </w:tcPr>
          <w:p w:rsidR="001E6CF4" w:rsidRDefault="005458C6">
            <w:pPr>
              <w:adjustRightInd w:val="0"/>
              <w:snapToGrid w:val="0"/>
              <w:spacing w:line="240" w:lineRule="auto"/>
              <w:ind w:firstLineChars="0" w:firstLine="0"/>
              <w:jc w:val="center"/>
              <w:rPr>
                <w:rFonts w:ascii="黑体" w:eastAsia="黑体" w:hAnsi="黑体" w:cs="黑体"/>
                <w:b/>
                <w:color w:val="000000" w:themeColor="text1"/>
                <w:sz w:val="24"/>
              </w:rPr>
            </w:pPr>
            <w:r>
              <w:rPr>
                <w:rFonts w:ascii="黑体" w:eastAsia="黑体" w:hAnsi="黑体" w:cs="黑体" w:hint="eastAsia"/>
                <w:b/>
                <w:color w:val="000000" w:themeColor="text1"/>
                <w:sz w:val="24"/>
              </w:rPr>
              <w:t>指    标</w:t>
            </w:r>
          </w:p>
        </w:tc>
        <w:tc>
          <w:tcPr>
            <w:tcW w:w="2126" w:type="dxa"/>
            <w:vAlign w:val="center"/>
          </w:tcPr>
          <w:p w:rsidR="001E6CF4" w:rsidRDefault="005458C6">
            <w:pPr>
              <w:adjustRightInd w:val="0"/>
              <w:snapToGrid w:val="0"/>
              <w:spacing w:line="240" w:lineRule="auto"/>
              <w:ind w:firstLineChars="0" w:firstLine="0"/>
              <w:jc w:val="center"/>
              <w:rPr>
                <w:rFonts w:ascii="黑体" w:eastAsia="黑体" w:hAnsi="黑体" w:cs="黑体"/>
                <w:b/>
                <w:color w:val="000000" w:themeColor="text1"/>
                <w:sz w:val="24"/>
              </w:rPr>
            </w:pPr>
            <w:r>
              <w:rPr>
                <w:rFonts w:ascii="黑体" w:eastAsia="黑体" w:hAnsi="黑体" w:cs="黑体" w:hint="eastAsia"/>
                <w:b/>
                <w:color w:val="000000" w:themeColor="text1"/>
                <w:sz w:val="24"/>
              </w:rPr>
              <w:t>指标单位</w:t>
            </w:r>
          </w:p>
        </w:tc>
        <w:tc>
          <w:tcPr>
            <w:tcW w:w="1161" w:type="dxa"/>
            <w:vAlign w:val="center"/>
          </w:tcPr>
          <w:p w:rsidR="001E6CF4" w:rsidRDefault="005458C6">
            <w:pPr>
              <w:adjustRightInd w:val="0"/>
              <w:snapToGrid w:val="0"/>
              <w:spacing w:line="240" w:lineRule="auto"/>
              <w:ind w:firstLineChars="0" w:firstLine="0"/>
              <w:jc w:val="center"/>
              <w:rPr>
                <w:rFonts w:ascii="黑体" w:eastAsia="黑体" w:hAnsi="黑体" w:cs="黑体"/>
                <w:b/>
                <w:color w:val="000000" w:themeColor="text1"/>
                <w:sz w:val="24"/>
              </w:rPr>
            </w:pPr>
            <w:r>
              <w:rPr>
                <w:rFonts w:ascii="黑体" w:eastAsia="黑体" w:hAnsi="黑体" w:cs="黑体" w:hint="eastAsia"/>
                <w:b/>
                <w:color w:val="000000" w:themeColor="text1"/>
                <w:sz w:val="24"/>
              </w:rPr>
              <w:t>2025年</w:t>
            </w:r>
          </w:p>
        </w:tc>
        <w:tc>
          <w:tcPr>
            <w:tcW w:w="967" w:type="dxa"/>
            <w:vAlign w:val="center"/>
          </w:tcPr>
          <w:p w:rsidR="001E6CF4" w:rsidRDefault="005458C6">
            <w:pPr>
              <w:adjustRightInd w:val="0"/>
              <w:snapToGrid w:val="0"/>
              <w:spacing w:line="240" w:lineRule="auto"/>
              <w:ind w:firstLineChars="0" w:firstLine="0"/>
              <w:jc w:val="center"/>
              <w:rPr>
                <w:rFonts w:ascii="黑体" w:eastAsia="黑体" w:hAnsi="黑体" w:cs="黑体"/>
                <w:b/>
                <w:color w:val="000000" w:themeColor="text1"/>
                <w:sz w:val="24"/>
              </w:rPr>
            </w:pPr>
            <w:r>
              <w:rPr>
                <w:rFonts w:ascii="黑体" w:eastAsia="黑体" w:hAnsi="黑体" w:cs="黑体" w:hint="eastAsia"/>
                <w:b/>
                <w:color w:val="000000" w:themeColor="text1"/>
                <w:sz w:val="24"/>
              </w:rPr>
              <w:t>属性</w:t>
            </w:r>
          </w:p>
        </w:tc>
      </w:tr>
      <w:bookmarkEnd w:id="68"/>
      <w:tr w:rsidR="001E6CF4">
        <w:trPr>
          <w:trHeight w:val="517"/>
          <w:jc w:val="center"/>
        </w:trPr>
        <w:tc>
          <w:tcPr>
            <w:tcW w:w="1271" w:type="dxa"/>
            <w:vMerge w:val="restart"/>
            <w:vAlign w:val="center"/>
          </w:tcPr>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sz w:val="21"/>
                <w:szCs w:val="21"/>
              </w:rPr>
              <w:t>矿产</w:t>
            </w:r>
          </w:p>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sz w:val="21"/>
                <w:szCs w:val="21"/>
              </w:rPr>
              <w:t>资源</w:t>
            </w:r>
          </w:p>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sz w:val="21"/>
                <w:szCs w:val="21"/>
              </w:rPr>
              <w:t>勘查</w:t>
            </w:r>
          </w:p>
        </w:tc>
        <w:tc>
          <w:tcPr>
            <w:tcW w:w="2835" w:type="dxa"/>
            <w:gridSpan w:val="2"/>
            <w:vAlign w:val="center"/>
          </w:tcPr>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sz w:val="21"/>
                <w:szCs w:val="21"/>
              </w:rPr>
              <w:t>新发现大中型矿产地</w:t>
            </w:r>
          </w:p>
        </w:tc>
        <w:tc>
          <w:tcPr>
            <w:tcW w:w="2126" w:type="dxa"/>
            <w:vAlign w:val="center"/>
          </w:tcPr>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sz w:val="21"/>
                <w:szCs w:val="21"/>
              </w:rPr>
              <w:t>处</w:t>
            </w:r>
          </w:p>
        </w:tc>
        <w:tc>
          <w:tcPr>
            <w:tcW w:w="1161" w:type="dxa"/>
            <w:vAlign w:val="center"/>
          </w:tcPr>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sz w:val="21"/>
                <w:szCs w:val="21"/>
              </w:rPr>
              <w:t>1-2</w:t>
            </w:r>
          </w:p>
        </w:tc>
        <w:tc>
          <w:tcPr>
            <w:tcW w:w="967" w:type="dxa"/>
            <w:vMerge w:val="restart"/>
            <w:vAlign w:val="center"/>
          </w:tcPr>
          <w:p w:rsidR="001E6CF4" w:rsidRDefault="005458C6">
            <w:pPr>
              <w:adjustRightInd w:val="0"/>
              <w:snapToGrid w:val="0"/>
              <w:ind w:firstLineChars="0" w:firstLine="0"/>
              <w:jc w:val="center"/>
              <w:rPr>
                <w:rFonts w:ascii="Times New Roman" w:eastAsia="宋体" w:hAnsi="Times New Roman" w:cs="Times New Roman"/>
                <w:b/>
                <w:color w:val="000000" w:themeColor="text1"/>
                <w:szCs w:val="21"/>
              </w:rPr>
            </w:pPr>
            <w:r>
              <w:rPr>
                <w:rFonts w:ascii="仿宋_GB2312" w:eastAsia="仿宋_GB2312" w:hAnsi="仿宋_GB2312" w:cs="仿宋_GB2312" w:hint="eastAsia"/>
                <w:b/>
                <w:color w:val="000000" w:themeColor="text1"/>
                <w:sz w:val="21"/>
                <w:szCs w:val="21"/>
              </w:rPr>
              <w:t>预期性</w:t>
            </w:r>
          </w:p>
        </w:tc>
      </w:tr>
      <w:tr w:rsidR="001E6CF4">
        <w:trPr>
          <w:trHeight w:val="402"/>
          <w:jc w:val="center"/>
        </w:trPr>
        <w:tc>
          <w:tcPr>
            <w:tcW w:w="1271" w:type="dxa"/>
            <w:vMerge/>
            <w:vAlign w:val="center"/>
          </w:tcPr>
          <w:p w:rsidR="001E6CF4" w:rsidRDefault="001E6CF4">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p>
        </w:tc>
        <w:tc>
          <w:tcPr>
            <w:tcW w:w="1559" w:type="dxa"/>
            <w:vMerge w:val="restart"/>
            <w:vAlign w:val="center"/>
          </w:tcPr>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sz w:val="21"/>
                <w:szCs w:val="21"/>
              </w:rPr>
              <w:t>新增资源量</w:t>
            </w:r>
          </w:p>
        </w:tc>
        <w:tc>
          <w:tcPr>
            <w:tcW w:w="1276" w:type="dxa"/>
            <w:vAlign w:val="center"/>
          </w:tcPr>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sz w:val="21"/>
                <w:szCs w:val="21"/>
              </w:rPr>
              <w:t>岩盐</w:t>
            </w:r>
          </w:p>
        </w:tc>
        <w:tc>
          <w:tcPr>
            <w:tcW w:w="2126" w:type="dxa"/>
            <w:vAlign w:val="center"/>
          </w:tcPr>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sz w:val="21"/>
                <w:szCs w:val="21"/>
              </w:rPr>
              <w:t>NaCl 亿吨</w:t>
            </w:r>
          </w:p>
        </w:tc>
        <w:tc>
          <w:tcPr>
            <w:tcW w:w="1161" w:type="dxa"/>
            <w:vAlign w:val="center"/>
          </w:tcPr>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sz w:val="21"/>
                <w:szCs w:val="21"/>
              </w:rPr>
              <w:t>1-2</w:t>
            </w:r>
          </w:p>
        </w:tc>
        <w:tc>
          <w:tcPr>
            <w:tcW w:w="967" w:type="dxa"/>
            <w:vMerge/>
            <w:vAlign w:val="center"/>
          </w:tcPr>
          <w:p w:rsidR="001E6CF4" w:rsidRDefault="001E6CF4" w:rsidP="00437FD6">
            <w:pPr>
              <w:adjustRightInd w:val="0"/>
              <w:snapToGrid w:val="0"/>
              <w:ind w:firstLine="602"/>
              <w:jc w:val="center"/>
              <w:rPr>
                <w:rFonts w:ascii="Times New Roman" w:eastAsia="宋体" w:hAnsi="Times New Roman" w:cs="Times New Roman"/>
                <w:b/>
                <w:color w:val="000000" w:themeColor="text1"/>
                <w:szCs w:val="21"/>
              </w:rPr>
            </w:pPr>
          </w:p>
        </w:tc>
      </w:tr>
      <w:tr w:rsidR="001E6CF4">
        <w:trPr>
          <w:trHeight w:val="402"/>
          <w:jc w:val="center"/>
        </w:trPr>
        <w:tc>
          <w:tcPr>
            <w:tcW w:w="1271" w:type="dxa"/>
            <w:vMerge/>
            <w:vAlign w:val="center"/>
          </w:tcPr>
          <w:p w:rsidR="001E6CF4" w:rsidRDefault="001E6CF4">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p>
        </w:tc>
        <w:tc>
          <w:tcPr>
            <w:tcW w:w="1559" w:type="dxa"/>
            <w:vMerge/>
            <w:vAlign w:val="center"/>
          </w:tcPr>
          <w:p w:rsidR="001E6CF4" w:rsidRDefault="001E6CF4">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p>
        </w:tc>
        <w:tc>
          <w:tcPr>
            <w:tcW w:w="1276" w:type="dxa"/>
            <w:vAlign w:val="center"/>
          </w:tcPr>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sz w:val="21"/>
                <w:szCs w:val="21"/>
              </w:rPr>
              <w:t>陶瓷土</w:t>
            </w:r>
          </w:p>
        </w:tc>
        <w:tc>
          <w:tcPr>
            <w:tcW w:w="2126" w:type="dxa"/>
            <w:vAlign w:val="center"/>
          </w:tcPr>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sz w:val="21"/>
                <w:szCs w:val="21"/>
              </w:rPr>
              <w:t>矿石 万吨</w:t>
            </w:r>
          </w:p>
        </w:tc>
        <w:tc>
          <w:tcPr>
            <w:tcW w:w="1161" w:type="dxa"/>
            <w:vAlign w:val="center"/>
          </w:tcPr>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sz w:val="21"/>
                <w:szCs w:val="21"/>
              </w:rPr>
              <w:t>200</w:t>
            </w:r>
          </w:p>
        </w:tc>
        <w:tc>
          <w:tcPr>
            <w:tcW w:w="967" w:type="dxa"/>
            <w:vMerge/>
            <w:vAlign w:val="center"/>
          </w:tcPr>
          <w:p w:rsidR="001E6CF4" w:rsidRDefault="001E6CF4" w:rsidP="00437FD6">
            <w:pPr>
              <w:adjustRightInd w:val="0"/>
              <w:snapToGrid w:val="0"/>
              <w:ind w:firstLine="602"/>
              <w:jc w:val="center"/>
              <w:rPr>
                <w:rFonts w:ascii="Times New Roman" w:eastAsia="宋体" w:hAnsi="Times New Roman" w:cs="Times New Roman"/>
                <w:b/>
                <w:color w:val="000000" w:themeColor="text1"/>
                <w:szCs w:val="21"/>
              </w:rPr>
            </w:pPr>
          </w:p>
        </w:tc>
      </w:tr>
      <w:tr w:rsidR="001E6CF4">
        <w:trPr>
          <w:trHeight w:val="417"/>
          <w:jc w:val="center"/>
        </w:trPr>
        <w:tc>
          <w:tcPr>
            <w:tcW w:w="1271" w:type="dxa"/>
            <w:vMerge w:val="restart"/>
            <w:vAlign w:val="center"/>
          </w:tcPr>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sz w:val="21"/>
                <w:szCs w:val="21"/>
              </w:rPr>
              <w:t>矿产</w:t>
            </w:r>
          </w:p>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sz w:val="21"/>
                <w:szCs w:val="21"/>
              </w:rPr>
              <w:t>资源</w:t>
            </w:r>
          </w:p>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sz w:val="21"/>
                <w:szCs w:val="21"/>
              </w:rPr>
              <w:t>开发</w:t>
            </w:r>
          </w:p>
        </w:tc>
        <w:tc>
          <w:tcPr>
            <w:tcW w:w="1559" w:type="dxa"/>
            <w:vMerge w:val="restart"/>
            <w:vAlign w:val="center"/>
          </w:tcPr>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sz w:val="21"/>
                <w:szCs w:val="21"/>
              </w:rPr>
              <w:t>年开采量</w:t>
            </w:r>
          </w:p>
        </w:tc>
        <w:tc>
          <w:tcPr>
            <w:tcW w:w="1276" w:type="dxa"/>
            <w:tcBorders>
              <w:bottom w:val="single" w:sz="4" w:space="0" w:color="auto"/>
            </w:tcBorders>
            <w:vAlign w:val="center"/>
          </w:tcPr>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sz w:val="21"/>
                <w:szCs w:val="21"/>
              </w:rPr>
              <w:t>原煤</w:t>
            </w:r>
          </w:p>
        </w:tc>
        <w:tc>
          <w:tcPr>
            <w:tcW w:w="2126" w:type="dxa"/>
            <w:tcBorders>
              <w:bottom w:val="single" w:sz="4" w:space="0" w:color="auto"/>
            </w:tcBorders>
            <w:vAlign w:val="center"/>
          </w:tcPr>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sz w:val="21"/>
                <w:szCs w:val="21"/>
              </w:rPr>
              <w:t>原煤 万吨</w:t>
            </w:r>
          </w:p>
        </w:tc>
        <w:tc>
          <w:tcPr>
            <w:tcW w:w="1161" w:type="dxa"/>
            <w:tcBorders>
              <w:bottom w:val="single" w:sz="4" w:space="0" w:color="auto"/>
            </w:tcBorders>
            <w:vAlign w:val="center"/>
          </w:tcPr>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sz w:val="21"/>
                <w:szCs w:val="21"/>
              </w:rPr>
              <w:t>8000</w:t>
            </w:r>
          </w:p>
        </w:tc>
        <w:tc>
          <w:tcPr>
            <w:tcW w:w="967" w:type="dxa"/>
            <w:vMerge w:val="restart"/>
            <w:vAlign w:val="center"/>
          </w:tcPr>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sz w:val="21"/>
                <w:szCs w:val="21"/>
              </w:rPr>
              <w:t>预期性</w:t>
            </w:r>
          </w:p>
        </w:tc>
      </w:tr>
      <w:tr w:rsidR="001E6CF4">
        <w:trPr>
          <w:trHeight w:val="417"/>
          <w:jc w:val="center"/>
        </w:trPr>
        <w:tc>
          <w:tcPr>
            <w:tcW w:w="1271" w:type="dxa"/>
            <w:vMerge/>
            <w:vAlign w:val="center"/>
          </w:tcPr>
          <w:p w:rsidR="001E6CF4" w:rsidRDefault="001E6CF4">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p>
        </w:tc>
        <w:tc>
          <w:tcPr>
            <w:tcW w:w="1559" w:type="dxa"/>
            <w:vMerge/>
            <w:vAlign w:val="center"/>
          </w:tcPr>
          <w:p w:rsidR="001E6CF4" w:rsidRDefault="001E6CF4">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p>
        </w:tc>
        <w:tc>
          <w:tcPr>
            <w:tcW w:w="1276" w:type="dxa"/>
            <w:tcBorders>
              <w:bottom w:val="single" w:sz="4" w:space="0" w:color="auto"/>
            </w:tcBorders>
            <w:vAlign w:val="center"/>
          </w:tcPr>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sz w:val="21"/>
                <w:szCs w:val="21"/>
              </w:rPr>
              <w:t>岩盐</w:t>
            </w:r>
          </w:p>
        </w:tc>
        <w:tc>
          <w:tcPr>
            <w:tcW w:w="2126" w:type="dxa"/>
            <w:tcBorders>
              <w:bottom w:val="single" w:sz="4" w:space="0" w:color="auto"/>
            </w:tcBorders>
            <w:vAlign w:val="center"/>
          </w:tcPr>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sz w:val="21"/>
                <w:szCs w:val="21"/>
              </w:rPr>
              <w:t>矿石 万吨</w:t>
            </w:r>
          </w:p>
        </w:tc>
        <w:tc>
          <w:tcPr>
            <w:tcW w:w="1161" w:type="dxa"/>
            <w:tcBorders>
              <w:bottom w:val="single" w:sz="4" w:space="0" w:color="auto"/>
            </w:tcBorders>
            <w:vAlign w:val="center"/>
          </w:tcPr>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sz w:val="21"/>
                <w:szCs w:val="21"/>
              </w:rPr>
              <w:t>2000-3000</w:t>
            </w:r>
          </w:p>
        </w:tc>
        <w:tc>
          <w:tcPr>
            <w:tcW w:w="967" w:type="dxa"/>
            <w:vMerge/>
            <w:vAlign w:val="center"/>
          </w:tcPr>
          <w:p w:rsidR="001E6CF4" w:rsidRDefault="001E6CF4">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p>
        </w:tc>
      </w:tr>
      <w:tr w:rsidR="001E6CF4">
        <w:trPr>
          <w:trHeight w:val="417"/>
          <w:jc w:val="center"/>
        </w:trPr>
        <w:tc>
          <w:tcPr>
            <w:tcW w:w="1271" w:type="dxa"/>
            <w:vMerge/>
            <w:vAlign w:val="center"/>
          </w:tcPr>
          <w:p w:rsidR="001E6CF4" w:rsidRDefault="001E6CF4">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p>
        </w:tc>
        <w:tc>
          <w:tcPr>
            <w:tcW w:w="1559" w:type="dxa"/>
            <w:vMerge/>
            <w:vAlign w:val="center"/>
          </w:tcPr>
          <w:p w:rsidR="001E6CF4" w:rsidRDefault="001E6CF4">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p>
        </w:tc>
        <w:tc>
          <w:tcPr>
            <w:tcW w:w="1276" w:type="dxa"/>
            <w:tcBorders>
              <w:bottom w:val="single" w:sz="4" w:space="0" w:color="auto"/>
            </w:tcBorders>
            <w:vAlign w:val="center"/>
          </w:tcPr>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sz w:val="21"/>
                <w:szCs w:val="21"/>
              </w:rPr>
              <w:t>陶瓷土</w:t>
            </w:r>
          </w:p>
        </w:tc>
        <w:tc>
          <w:tcPr>
            <w:tcW w:w="2126" w:type="dxa"/>
            <w:tcBorders>
              <w:bottom w:val="single" w:sz="4" w:space="0" w:color="auto"/>
            </w:tcBorders>
            <w:vAlign w:val="center"/>
          </w:tcPr>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sz w:val="21"/>
                <w:szCs w:val="21"/>
              </w:rPr>
              <w:t>矿石 万吨</w:t>
            </w:r>
          </w:p>
        </w:tc>
        <w:tc>
          <w:tcPr>
            <w:tcW w:w="1161" w:type="dxa"/>
            <w:tcBorders>
              <w:bottom w:val="single" w:sz="4" w:space="0" w:color="auto"/>
            </w:tcBorders>
            <w:vAlign w:val="center"/>
          </w:tcPr>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sz w:val="21"/>
                <w:szCs w:val="21"/>
              </w:rPr>
              <w:t>20-30</w:t>
            </w:r>
          </w:p>
        </w:tc>
        <w:tc>
          <w:tcPr>
            <w:tcW w:w="967" w:type="dxa"/>
            <w:vAlign w:val="center"/>
          </w:tcPr>
          <w:p w:rsidR="001E6CF4" w:rsidRDefault="001E6CF4">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p>
        </w:tc>
      </w:tr>
      <w:tr w:rsidR="001E6CF4">
        <w:trPr>
          <w:trHeight w:val="431"/>
          <w:jc w:val="center"/>
        </w:trPr>
        <w:tc>
          <w:tcPr>
            <w:tcW w:w="1271" w:type="dxa"/>
            <w:vMerge w:val="restart"/>
            <w:vAlign w:val="center"/>
          </w:tcPr>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sz w:val="21"/>
                <w:szCs w:val="21"/>
              </w:rPr>
              <w:t>结构</w:t>
            </w:r>
          </w:p>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sz w:val="21"/>
                <w:szCs w:val="21"/>
              </w:rPr>
              <w:t>与</w:t>
            </w:r>
          </w:p>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sz w:val="21"/>
                <w:szCs w:val="21"/>
              </w:rPr>
              <w:t>效率</w:t>
            </w:r>
          </w:p>
        </w:tc>
        <w:tc>
          <w:tcPr>
            <w:tcW w:w="2835" w:type="dxa"/>
            <w:gridSpan w:val="2"/>
            <w:vAlign w:val="center"/>
          </w:tcPr>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sz w:val="21"/>
                <w:szCs w:val="21"/>
              </w:rPr>
              <w:t>固体矿山总数</w:t>
            </w:r>
          </w:p>
        </w:tc>
        <w:tc>
          <w:tcPr>
            <w:tcW w:w="2126" w:type="dxa"/>
            <w:vAlign w:val="center"/>
          </w:tcPr>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sz w:val="21"/>
                <w:szCs w:val="21"/>
              </w:rPr>
              <w:t>个</w:t>
            </w:r>
          </w:p>
        </w:tc>
        <w:tc>
          <w:tcPr>
            <w:tcW w:w="1161" w:type="dxa"/>
            <w:vAlign w:val="center"/>
          </w:tcPr>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sz w:val="21"/>
                <w:szCs w:val="21"/>
              </w:rPr>
              <w:t>≤230</w:t>
            </w:r>
          </w:p>
        </w:tc>
        <w:tc>
          <w:tcPr>
            <w:tcW w:w="967" w:type="dxa"/>
            <w:vMerge w:val="restart"/>
            <w:vAlign w:val="center"/>
          </w:tcPr>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sz w:val="21"/>
                <w:szCs w:val="21"/>
              </w:rPr>
              <w:t>预期性</w:t>
            </w:r>
          </w:p>
        </w:tc>
      </w:tr>
      <w:tr w:rsidR="001E6CF4">
        <w:trPr>
          <w:trHeight w:val="423"/>
          <w:jc w:val="center"/>
        </w:trPr>
        <w:tc>
          <w:tcPr>
            <w:tcW w:w="1271" w:type="dxa"/>
            <w:vMerge/>
            <w:vAlign w:val="center"/>
          </w:tcPr>
          <w:p w:rsidR="001E6CF4" w:rsidRDefault="001E6CF4">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p>
        </w:tc>
        <w:tc>
          <w:tcPr>
            <w:tcW w:w="2835" w:type="dxa"/>
            <w:gridSpan w:val="2"/>
            <w:vAlign w:val="center"/>
          </w:tcPr>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sz w:val="21"/>
                <w:szCs w:val="21"/>
              </w:rPr>
              <w:t>大中型矿山占比</w:t>
            </w:r>
          </w:p>
        </w:tc>
        <w:tc>
          <w:tcPr>
            <w:tcW w:w="2126" w:type="dxa"/>
            <w:vAlign w:val="center"/>
          </w:tcPr>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sz w:val="21"/>
                <w:szCs w:val="21"/>
              </w:rPr>
              <w:t>%</w:t>
            </w:r>
          </w:p>
        </w:tc>
        <w:tc>
          <w:tcPr>
            <w:tcW w:w="1161" w:type="dxa"/>
            <w:vAlign w:val="center"/>
          </w:tcPr>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r>
              <w:rPr>
                <w:rFonts w:ascii="仿宋_GB2312" w:eastAsia="仿宋_GB2312" w:hAnsi="仿宋_GB2312" w:cs="仿宋_GB2312" w:hint="eastAsia"/>
                <w:b/>
                <w:color w:val="000000" w:themeColor="text1"/>
                <w:sz w:val="21"/>
                <w:szCs w:val="21"/>
              </w:rPr>
              <w:t>30</w:t>
            </w:r>
          </w:p>
        </w:tc>
        <w:tc>
          <w:tcPr>
            <w:tcW w:w="967" w:type="dxa"/>
            <w:vMerge/>
            <w:vAlign w:val="center"/>
          </w:tcPr>
          <w:p w:rsidR="001E6CF4" w:rsidRDefault="001E6CF4">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p>
        </w:tc>
      </w:tr>
      <w:tr w:rsidR="001E6CF4">
        <w:trPr>
          <w:trHeight w:val="407"/>
          <w:jc w:val="center"/>
        </w:trPr>
        <w:tc>
          <w:tcPr>
            <w:tcW w:w="8360" w:type="dxa"/>
            <w:gridSpan w:val="6"/>
            <w:vAlign w:val="center"/>
          </w:tcPr>
          <w:p w:rsidR="001E6CF4" w:rsidRDefault="005458C6" w:rsidP="00437FD6">
            <w:pPr>
              <w:adjustRightInd w:val="0"/>
              <w:snapToGrid w:val="0"/>
              <w:ind w:firstLine="422"/>
              <w:jc w:val="left"/>
              <w:rPr>
                <w:rFonts w:ascii="仿宋_GB2312" w:eastAsia="仿宋_GB2312" w:hAnsi="仿宋_GB2312" w:cs="仿宋_GB2312"/>
                <w:b/>
                <w:color w:val="000000" w:themeColor="text1"/>
                <w:szCs w:val="21"/>
              </w:rPr>
            </w:pPr>
            <w:r>
              <w:rPr>
                <w:rFonts w:ascii="仿宋_GB2312" w:eastAsia="仿宋_GB2312" w:hAnsi="仿宋_GB2312" w:cs="仿宋_GB2312" w:hint="eastAsia"/>
                <w:b/>
                <w:color w:val="000000" w:themeColor="text1"/>
                <w:kern w:val="1"/>
                <w:sz w:val="21"/>
                <w:szCs w:val="21"/>
              </w:rPr>
              <w:t>注：以上指标均为预期性指标；新增资源量为规划期内累计勘查新增量。</w:t>
            </w:r>
          </w:p>
        </w:tc>
      </w:tr>
    </w:tbl>
    <w:p w:rsidR="001E6CF4" w:rsidRPr="005A58A9" w:rsidRDefault="005458C6" w:rsidP="005A58A9">
      <w:pPr>
        <w:pStyle w:val="3"/>
        <w:keepNext w:val="0"/>
        <w:keepLines w:val="0"/>
        <w:overflowPunct w:val="0"/>
        <w:adjustRightInd/>
        <w:snapToGrid/>
        <w:spacing w:line="580" w:lineRule="exact"/>
        <w:ind w:firstLine="643"/>
        <w:rPr>
          <w:rFonts w:ascii="楷体_GB2312" w:eastAsia="楷体_GB2312" w:hAnsi="仿宋_GB2312" w:cs="仿宋_GB2312"/>
          <w:b/>
          <w:bCs w:val="0"/>
          <w:color w:val="000000" w:themeColor="text1"/>
          <w:sz w:val="32"/>
        </w:rPr>
      </w:pPr>
      <w:bookmarkStart w:id="70" w:name="_Toc444767734"/>
      <w:bookmarkStart w:id="71" w:name="_Toc31650"/>
      <w:bookmarkStart w:id="72" w:name="_Toc7301"/>
      <w:bookmarkStart w:id="73" w:name="_Toc437691290"/>
      <w:bookmarkEnd w:id="69"/>
      <w:r w:rsidRPr="005A58A9">
        <w:rPr>
          <w:rFonts w:ascii="楷体_GB2312" w:eastAsia="楷体_GB2312" w:hAnsi="仿宋_GB2312" w:cs="仿宋_GB2312" w:hint="eastAsia"/>
          <w:b/>
          <w:bCs w:val="0"/>
          <w:color w:val="000000" w:themeColor="text1"/>
          <w:sz w:val="32"/>
        </w:rPr>
        <w:lastRenderedPageBreak/>
        <w:t>（二）2035年展望</w:t>
      </w:r>
      <w:bookmarkEnd w:id="70"/>
      <w:bookmarkEnd w:id="71"/>
      <w:bookmarkEnd w:id="72"/>
      <w:bookmarkEnd w:id="73"/>
    </w:p>
    <w:p w:rsidR="001E6CF4" w:rsidRDefault="005458C6" w:rsidP="00437FD6">
      <w:pPr>
        <w:pStyle w:val="a0"/>
        <w:ind w:firstLine="643"/>
        <w:rPr>
          <w:rFonts w:ascii="仿宋_GB2312" w:eastAsia="仿宋_GB2312" w:hAnsi="仿宋_GB2312" w:cs="仿宋_GB2312"/>
          <w:b/>
          <w:color w:val="000000" w:themeColor="text1"/>
          <w:spacing w:val="-6"/>
          <w:sz w:val="32"/>
          <w:szCs w:val="32"/>
        </w:rPr>
      </w:pPr>
      <w:bookmarkStart w:id="74" w:name="_Toc437691291"/>
      <w:bookmarkStart w:id="75" w:name="_Toc444767735"/>
      <w:bookmarkStart w:id="76" w:name="_Toc444768093"/>
      <w:r>
        <w:rPr>
          <w:rFonts w:ascii="仿宋_GB2312" w:eastAsia="仿宋_GB2312" w:hAnsi="仿宋_GB2312" w:cs="仿宋_GB2312" w:hint="eastAsia"/>
          <w:b/>
          <w:color w:val="000000" w:themeColor="text1"/>
          <w:sz w:val="32"/>
          <w:szCs w:val="32"/>
        </w:rPr>
        <w:t>到2035年，矿产资源开发利用与保护得到加强，产业结构得到全面优化；创新能力、矿产资源综合利用水平、重要矿种矿山规模化集约化程度明显提高；矿业全产业链得到全面发展，资源就地转化率明显提高，矿业利用方式向高中端转变。矿业高质量发展取得成效，矿山地质环境全面治理，形成绿色矿业发展新</w:t>
      </w:r>
      <w:r>
        <w:rPr>
          <w:rFonts w:ascii="仿宋_GB2312" w:eastAsia="仿宋_GB2312" w:hAnsi="仿宋_GB2312" w:cs="仿宋_GB2312" w:hint="eastAsia"/>
          <w:b/>
          <w:color w:val="000000" w:themeColor="text1"/>
          <w:spacing w:val="-6"/>
          <w:sz w:val="32"/>
          <w:szCs w:val="32"/>
        </w:rPr>
        <w:t>格局，使得矿业发展与经济－社会－生态文明建设同步协调发展。</w:t>
      </w:r>
    </w:p>
    <w:p w:rsidR="001E6CF4" w:rsidRDefault="005458C6" w:rsidP="00437FD6">
      <w:pPr>
        <w:ind w:firstLine="602"/>
        <w:rPr>
          <w:rFonts w:ascii="仿宋_GB2312" w:eastAsia="仿宋_GB2312" w:hAnsi="仿宋_GB2312" w:cs="仿宋_GB2312"/>
          <w:b/>
          <w:color w:val="000000" w:themeColor="text1"/>
        </w:rPr>
      </w:pPr>
      <w:r>
        <w:rPr>
          <w:rFonts w:ascii="仿宋_GB2312" w:eastAsia="仿宋_GB2312" w:hAnsi="仿宋_GB2312" w:cs="仿宋_GB2312" w:hint="eastAsia"/>
          <w:b/>
          <w:color w:val="000000" w:themeColor="text1"/>
        </w:rPr>
        <w:br w:type="page"/>
      </w:r>
    </w:p>
    <w:p w:rsidR="001E6CF4" w:rsidRDefault="001E6CF4">
      <w:pPr>
        <w:pStyle w:val="1"/>
        <w:overflowPunct w:val="0"/>
        <w:spacing w:beforeAutospacing="0" w:afterAutospacing="0" w:line="590" w:lineRule="exact"/>
        <w:ind w:firstLineChars="200" w:firstLine="880"/>
        <w:jc w:val="both"/>
        <w:rPr>
          <w:rFonts w:ascii="方正小标宋简体" w:eastAsia="方正小标宋简体" w:hAnsi="方正小标宋简体" w:cs="方正小标宋简体" w:hint="default"/>
          <w:b w:val="0"/>
          <w:color w:val="000000" w:themeColor="text1"/>
          <w:sz w:val="44"/>
          <w:szCs w:val="44"/>
        </w:rPr>
      </w:pPr>
      <w:bookmarkStart w:id="77" w:name="_Toc15376"/>
      <w:bookmarkStart w:id="78" w:name="_Toc4910"/>
      <w:bookmarkStart w:id="79" w:name="_Toc17982"/>
    </w:p>
    <w:bookmarkEnd w:id="74"/>
    <w:bookmarkEnd w:id="75"/>
    <w:bookmarkEnd w:id="76"/>
    <w:p w:rsidR="001E6CF4" w:rsidRDefault="005458C6">
      <w:pPr>
        <w:pStyle w:val="1"/>
        <w:overflowPunct w:val="0"/>
        <w:spacing w:beforeAutospacing="0" w:afterAutospacing="0" w:line="590" w:lineRule="exact"/>
        <w:rPr>
          <w:rFonts w:ascii="方正小标宋简体" w:eastAsia="方正小标宋简体" w:hAnsi="方正小标宋简体" w:cs="方正小标宋简体" w:hint="default"/>
          <w:b w:val="0"/>
          <w:color w:val="000000" w:themeColor="text1"/>
          <w:sz w:val="44"/>
          <w:szCs w:val="44"/>
        </w:rPr>
      </w:pPr>
      <w:r>
        <w:rPr>
          <w:rFonts w:ascii="方正小标宋简体" w:eastAsia="方正小标宋简体" w:hAnsi="方正小标宋简体" w:cs="方正小标宋简体"/>
          <w:b w:val="0"/>
          <w:color w:val="000000" w:themeColor="text1"/>
          <w:sz w:val="44"/>
          <w:szCs w:val="44"/>
        </w:rPr>
        <w:t>第三章 勘查开采与保护布局</w:t>
      </w:r>
      <w:bookmarkEnd w:id="77"/>
      <w:bookmarkEnd w:id="78"/>
      <w:bookmarkEnd w:id="79"/>
    </w:p>
    <w:p w:rsidR="001E6CF4" w:rsidRDefault="001E6CF4">
      <w:pPr>
        <w:overflowPunct w:val="0"/>
        <w:spacing w:line="590" w:lineRule="exact"/>
        <w:ind w:firstLine="600"/>
      </w:pPr>
    </w:p>
    <w:p w:rsidR="001E6CF4" w:rsidRDefault="005458C6">
      <w:pPr>
        <w:pStyle w:val="2"/>
        <w:keepNext w:val="0"/>
        <w:keepLines w:val="0"/>
        <w:overflowPunct w:val="0"/>
        <w:adjustRightInd/>
        <w:snapToGrid/>
        <w:spacing w:line="590" w:lineRule="exact"/>
        <w:ind w:firstLineChars="200" w:firstLine="643"/>
        <w:rPr>
          <w:rFonts w:ascii="黑体" w:eastAsia="黑体" w:hAnsi="黑体" w:cs="黑体"/>
          <w:bCs w:val="0"/>
          <w:color w:val="000000" w:themeColor="text1"/>
        </w:rPr>
      </w:pPr>
      <w:bookmarkStart w:id="80" w:name="_Toc444767739"/>
      <w:bookmarkStart w:id="81" w:name="_Toc360"/>
      <w:bookmarkStart w:id="82" w:name="_Toc8373"/>
      <w:bookmarkStart w:id="83" w:name="_Toc1262"/>
      <w:bookmarkStart w:id="84" w:name="_Toc444768097"/>
      <w:r>
        <w:rPr>
          <w:rFonts w:ascii="黑体" w:eastAsia="黑体" w:hAnsi="黑体" w:cs="黑体" w:hint="eastAsia"/>
          <w:bCs w:val="0"/>
          <w:color w:val="000000" w:themeColor="text1"/>
        </w:rPr>
        <w:t>一、矿产资源勘查开采调控方向</w:t>
      </w:r>
      <w:bookmarkEnd w:id="80"/>
      <w:bookmarkEnd w:id="81"/>
      <w:bookmarkEnd w:id="82"/>
      <w:bookmarkEnd w:id="83"/>
      <w:bookmarkEnd w:id="84"/>
    </w:p>
    <w:p w:rsidR="001E6CF4" w:rsidRPr="005A58A9" w:rsidRDefault="005458C6">
      <w:pPr>
        <w:pStyle w:val="3"/>
        <w:keepNext w:val="0"/>
        <w:keepLines w:val="0"/>
        <w:numPr>
          <w:ilvl w:val="0"/>
          <w:numId w:val="1"/>
        </w:numPr>
        <w:overflowPunct w:val="0"/>
        <w:adjustRightInd/>
        <w:snapToGrid/>
        <w:spacing w:line="590" w:lineRule="exact"/>
        <w:ind w:left="0" w:firstLine="643"/>
        <w:rPr>
          <w:rFonts w:ascii="楷体_GB2312" w:eastAsia="楷体_GB2312" w:hAnsi="仿宋_GB2312" w:cs="仿宋_GB2312"/>
          <w:b/>
          <w:bCs w:val="0"/>
          <w:color w:val="000000" w:themeColor="text1"/>
          <w:sz w:val="32"/>
        </w:rPr>
      </w:pPr>
      <w:bookmarkStart w:id="85" w:name="_Toc453748299"/>
      <w:bookmarkStart w:id="86" w:name="_Toc453747270"/>
      <w:bookmarkStart w:id="87" w:name="_Toc28444"/>
      <w:bookmarkStart w:id="88" w:name="_Toc444767736"/>
      <w:bookmarkStart w:id="89" w:name="_Toc437691292"/>
      <w:bookmarkStart w:id="90" w:name="_Toc444768094"/>
      <w:r w:rsidRPr="005A58A9">
        <w:rPr>
          <w:rFonts w:ascii="楷体_GB2312" w:eastAsia="楷体_GB2312" w:hAnsi="仿宋_GB2312" w:cs="仿宋_GB2312" w:hint="eastAsia"/>
          <w:b/>
          <w:bCs w:val="0"/>
          <w:color w:val="000000" w:themeColor="text1"/>
          <w:sz w:val="32"/>
        </w:rPr>
        <w:t>矿产资源勘查调控方向</w:t>
      </w:r>
      <w:bookmarkEnd w:id="85"/>
      <w:bookmarkEnd w:id="86"/>
      <w:bookmarkEnd w:id="87"/>
    </w:p>
    <w:p w:rsidR="001E6CF4" w:rsidRDefault="005458C6">
      <w:pPr>
        <w:overflowPunct w:val="0"/>
        <w:spacing w:line="590" w:lineRule="exact"/>
        <w:ind w:firstLine="643"/>
        <w:rPr>
          <w:rFonts w:ascii="仿宋_GB2312" w:eastAsia="仿宋_GB2312" w:hAnsi="仿宋_GB2312" w:cs="仿宋_GB2312"/>
          <w:b/>
          <w:snapToGrid w:val="0"/>
          <w:color w:val="000000" w:themeColor="text1"/>
          <w:sz w:val="32"/>
          <w:szCs w:val="32"/>
        </w:rPr>
      </w:pPr>
      <w:r>
        <w:rPr>
          <w:rFonts w:ascii="仿宋_GB2312" w:eastAsia="仿宋_GB2312" w:hAnsi="仿宋_GB2312" w:cs="仿宋_GB2312" w:hint="eastAsia"/>
          <w:b/>
          <w:snapToGrid w:val="0"/>
          <w:color w:val="000000" w:themeColor="text1"/>
          <w:sz w:val="32"/>
          <w:szCs w:val="32"/>
        </w:rPr>
        <w:t>围绕战略性矿产和全市优势矿产,重点加强煤炭的调查评价与勘查，限制勘查高硫煤，适当提升岩盐、陶瓷土等矿产资源的勘查程度，以上矿种可优先划定勘查规划区块。鼓励社会多元化投资勘查。</w:t>
      </w:r>
    </w:p>
    <w:p w:rsidR="001E6CF4" w:rsidRPr="005A58A9" w:rsidRDefault="005458C6">
      <w:pPr>
        <w:pStyle w:val="3"/>
        <w:keepNext w:val="0"/>
        <w:keepLines w:val="0"/>
        <w:numPr>
          <w:ilvl w:val="0"/>
          <w:numId w:val="1"/>
        </w:numPr>
        <w:overflowPunct w:val="0"/>
        <w:adjustRightInd/>
        <w:snapToGrid/>
        <w:spacing w:line="590" w:lineRule="exact"/>
        <w:ind w:left="0" w:firstLine="643"/>
        <w:rPr>
          <w:rFonts w:ascii="楷体_GB2312" w:eastAsia="楷体_GB2312" w:hAnsi="仿宋_GB2312" w:cs="仿宋_GB2312"/>
          <w:b/>
          <w:bCs w:val="0"/>
          <w:color w:val="000000" w:themeColor="text1"/>
          <w:sz w:val="32"/>
        </w:rPr>
      </w:pPr>
      <w:bookmarkStart w:id="91" w:name="_Toc12248"/>
      <w:r w:rsidRPr="005A58A9">
        <w:rPr>
          <w:rFonts w:ascii="楷体_GB2312" w:eastAsia="楷体_GB2312" w:hAnsi="仿宋_GB2312" w:cs="仿宋_GB2312" w:hint="eastAsia"/>
          <w:b/>
          <w:bCs w:val="0"/>
          <w:color w:val="000000" w:themeColor="text1"/>
          <w:sz w:val="32"/>
        </w:rPr>
        <w:t>矿产资源开采调控方向</w:t>
      </w:r>
      <w:bookmarkEnd w:id="91"/>
    </w:p>
    <w:p w:rsidR="001E6CF4" w:rsidRDefault="005458C6">
      <w:pPr>
        <w:overflowPunct w:val="0"/>
        <w:spacing w:line="59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加强岩盐、紫砂陶土、矿泉水等矿产开采；禁止开采砷和放射性等有毒有害物质超过规定标准的煤炭项目、禁止开采可耕地砖瓦用粘土；限制开采湿地泥炭；适度控制煤炭、建筑石料、砖瓦用粘土开采。</w:t>
      </w:r>
    </w:p>
    <w:p w:rsidR="001E6CF4" w:rsidRDefault="005458C6">
      <w:pPr>
        <w:pStyle w:val="2"/>
        <w:keepNext w:val="0"/>
        <w:keepLines w:val="0"/>
        <w:overflowPunct w:val="0"/>
        <w:adjustRightInd/>
        <w:snapToGrid/>
        <w:spacing w:line="590" w:lineRule="exact"/>
        <w:ind w:firstLineChars="200" w:firstLine="643"/>
        <w:rPr>
          <w:rFonts w:ascii="黑体" w:eastAsia="黑体" w:hAnsi="黑体" w:cs="黑体"/>
          <w:bCs w:val="0"/>
          <w:color w:val="000000" w:themeColor="text1"/>
        </w:rPr>
      </w:pPr>
      <w:bookmarkStart w:id="92" w:name="_Toc22990"/>
      <w:bookmarkStart w:id="93" w:name="_Toc6754"/>
      <w:bookmarkStart w:id="94" w:name="_Toc24620"/>
      <w:r>
        <w:rPr>
          <w:rFonts w:ascii="黑体" w:eastAsia="黑体" w:hAnsi="黑体" w:cs="黑体" w:hint="eastAsia"/>
          <w:bCs w:val="0"/>
          <w:color w:val="000000" w:themeColor="text1"/>
        </w:rPr>
        <w:t>二、矿产资源产业重点发展区域</w:t>
      </w:r>
      <w:bookmarkEnd w:id="88"/>
      <w:bookmarkEnd w:id="89"/>
      <w:bookmarkEnd w:id="90"/>
      <w:bookmarkEnd w:id="92"/>
      <w:bookmarkEnd w:id="93"/>
      <w:bookmarkEnd w:id="94"/>
    </w:p>
    <w:p w:rsidR="001E6CF4" w:rsidRDefault="005458C6">
      <w:pPr>
        <w:overflowPunct w:val="0"/>
        <w:spacing w:line="590" w:lineRule="exact"/>
        <w:ind w:firstLine="643"/>
        <w:rPr>
          <w:rFonts w:ascii="仿宋_GB2312" w:eastAsia="仿宋_GB2312" w:hAnsi="仿宋_GB2312" w:cs="仿宋_GB2312"/>
          <w:b/>
          <w:color w:val="000000" w:themeColor="text1"/>
          <w:sz w:val="32"/>
          <w:szCs w:val="32"/>
          <w:highlight w:val="yellow"/>
        </w:rPr>
      </w:pPr>
      <w:r>
        <w:rPr>
          <w:rFonts w:ascii="仿宋_GB2312" w:eastAsia="仿宋_GB2312" w:hAnsi="仿宋_GB2312" w:cs="仿宋_GB2312" w:hint="eastAsia"/>
          <w:b/>
          <w:color w:val="000000" w:themeColor="text1"/>
          <w:sz w:val="32"/>
          <w:szCs w:val="32"/>
        </w:rPr>
        <w:t>依托黄河流域生态保护和高质量发展、资源型地区高质量发展等国家重大发展战略，全面落实全国矿产资源规划、陕西省矿产资源总体规划、延安市国土空间规划。充分发挥城镇化后发优势，以“2+3”发展核心和洛河、沿黄经济带建设为重点，加快构建“核心引领、两带支撑、多点发力”的区域经济布局。打造洛河生态长廊，稳定能源生产，能源化工链条延伸，大力发展高端能源、新能源，形成相对完善的区域能源化工和制造业链条。</w:t>
      </w:r>
    </w:p>
    <w:p w:rsidR="001E6CF4" w:rsidRDefault="005458C6">
      <w:pPr>
        <w:overflowPunct w:val="0"/>
        <w:spacing w:line="590" w:lineRule="exact"/>
        <w:ind w:firstLine="643"/>
        <w:rPr>
          <w:rFonts w:ascii="仿宋_GB2312" w:eastAsia="仿宋_GB2312" w:hAnsi="仿宋_GB2312" w:cs="仿宋_GB2312"/>
          <w:b/>
          <w:color w:val="000000" w:themeColor="text1"/>
          <w:kern w:val="1"/>
          <w:sz w:val="32"/>
          <w:szCs w:val="32"/>
        </w:rPr>
      </w:pPr>
      <w:r>
        <w:rPr>
          <w:rFonts w:ascii="仿宋_GB2312" w:eastAsia="仿宋_GB2312" w:hAnsi="仿宋_GB2312" w:cs="仿宋_GB2312" w:hint="eastAsia"/>
          <w:b/>
          <w:color w:val="000000" w:themeColor="text1"/>
          <w:sz w:val="32"/>
          <w:szCs w:val="32"/>
        </w:rPr>
        <w:lastRenderedPageBreak/>
        <w:t>矿产资源产业重点发展区要以矿产资源赋存条件为基础，以生态文明城市建设为导向，按照构建区域资源优势、资源开发定位与环境协调发展的要求，对矿业发展进行区域布局。加强能源资源基地勘查开发，依托国家煤炭资源基地，</w:t>
      </w:r>
      <w:r>
        <w:rPr>
          <w:rFonts w:ascii="仿宋_GB2312" w:eastAsia="仿宋_GB2312" w:hAnsi="仿宋_GB2312" w:cs="仿宋_GB2312" w:hint="eastAsia"/>
          <w:b/>
          <w:color w:val="000000" w:themeColor="text1"/>
          <w:kern w:val="1"/>
          <w:sz w:val="32"/>
          <w:szCs w:val="32"/>
        </w:rPr>
        <w:t>稳定煤炭总产能，“控制总量，兜住底线”，提高煤炭综合利用效能，促进能源产业高端化、多元化、低碳化发展。</w:t>
      </w:r>
      <w:r>
        <w:rPr>
          <w:rFonts w:ascii="仿宋_GB2312" w:eastAsia="仿宋_GB2312" w:hAnsi="仿宋_GB2312" w:cs="仿宋_GB2312" w:hint="eastAsia"/>
          <w:b/>
          <w:color w:val="000000" w:themeColor="text1"/>
          <w:sz w:val="32"/>
          <w:szCs w:val="32"/>
        </w:rPr>
        <w:t>积极推进国家现代能源经济示范区和综合能源基地建设。结合国民经济与社会的发展及延安市矿产资源的禀赋特征，提高国家能源资源基地、国家规划矿区、重点勘查区、重点矿区勘查开发利用水平，发挥矿业经济区位优势，深化矿业供给侧结构性改革。</w:t>
      </w:r>
      <w:r>
        <w:rPr>
          <w:rFonts w:ascii="仿宋_GB2312" w:eastAsia="仿宋_GB2312" w:hAnsi="仿宋_GB2312" w:cs="仿宋_GB2312" w:hint="eastAsia"/>
          <w:b/>
          <w:color w:val="000000" w:themeColor="text1"/>
          <w:kern w:val="1"/>
          <w:sz w:val="32"/>
          <w:szCs w:val="32"/>
        </w:rPr>
        <w:t>加强能源资源一体化开发利用，推动延安综合能源基地建设。</w:t>
      </w:r>
    </w:p>
    <w:p w:rsidR="001E6CF4" w:rsidRPr="005A58A9" w:rsidRDefault="005458C6">
      <w:pPr>
        <w:pStyle w:val="3"/>
        <w:keepNext w:val="0"/>
        <w:keepLines w:val="0"/>
        <w:overflowPunct w:val="0"/>
        <w:adjustRightInd/>
        <w:snapToGrid/>
        <w:spacing w:line="590" w:lineRule="exact"/>
        <w:ind w:firstLine="643"/>
        <w:rPr>
          <w:rFonts w:ascii="楷体_GB2312" w:eastAsia="楷体_GB2312" w:hAnsi="仿宋_GB2312" w:cs="仿宋_GB2312"/>
          <w:b/>
          <w:bCs w:val="0"/>
          <w:color w:val="000000" w:themeColor="text1"/>
          <w:sz w:val="32"/>
        </w:rPr>
      </w:pPr>
      <w:bookmarkStart w:id="95" w:name="_Toc31750"/>
      <w:bookmarkStart w:id="96" w:name="_Toc21668"/>
      <w:bookmarkStart w:id="97" w:name="_Toc437691294"/>
      <w:r w:rsidRPr="005A58A9">
        <w:rPr>
          <w:rFonts w:ascii="楷体_GB2312" w:eastAsia="楷体_GB2312" w:hAnsi="仿宋_GB2312" w:cs="仿宋_GB2312" w:hint="eastAsia"/>
          <w:b/>
          <w:bCs w:val="0"/>
          <w:color w:val="000000" w:themeColor="text1"/>
          <w:sz w:val="32"/>
        </w:rPr>
        <w:t>（一）能源资源基地</w:t>
      </w:r>
    </w:p>
    <w:tbl>
      <w:tblPr>
        <w:tblStyle w:val="ae"/>
        <w:tblpPr w:leftFromText="180" w:rightFromText="180" w:vertAnchor="text" w:horzAnchor="page" w:tblpXSpec="center" w:tblpY="179"/>
        <w:tblOverlap w:val="never"/>
        <w:tblW w:w="0" w:type="auto"/>
        <w:jc w:val="center"/>
        <w:tblLook w:val="04A0"/>
      </w:tblPr>
      <w:tblGrid>
        <w:gridCol w:w="2124"/>
        <w:gridCol w:w="1965"/>
        <w:gridCol w:w="4433"/>
      </w:tblGrid>
      <w:tr w:rsidR="001E6CF4">
        <w:trPr>
          <w:trHeight w:val="575"/>
          <w:jc w:val="center"/>
        </w:trPr>
        <w:tc>
          <w:tcPr>
            <w:tcW w:w="8522" w:type="dxa"/>
            <w:gridSpan w:val="3"/>
            <w:vAlign w:val="center"/>
          </w:tcPr>
          <w:p w:rsidR="001E6CF4" w:rsidRDefault="005458C6">
            <w:pPr>
              <w:pStyle w:val="a0"/>
              <w:ind w:firstLineChars="0" w:firstLine="0"/>
              <w:jc w:val="center"/>
              <w:rPr>
                <w:rFonts w:ascii="仿宋_GB2312" w:eastAsia="仿宋_GB2312" w:hAnsi="仿宋_GB2312" w:cs="仿宋_GB2312"/>
                <w:b/>
                <w:color w:val="000000" w:themeColor="text1"/>
              </w:rPr>
            </w:pPr>
            <w:r>
              <w:rPr>
                <w:rFonts w:ascii="仿宋_GB2312" w:eastAsia="仿宋_GB2312" w:hAnsi="仿宋_GB2312" w:cs="仿宋_GB2312" w:hint="eastAsia"/>
                <w:b/>
                <w:color w:val="000000" w:themeColor="text1"/>
                <w:sz w:val="28"/>
                <w:szCs w:val="20"/>
              </w:rPr>
              <w:t>专栏3    能源资源基地</w:t>
            </w:r>
          </w:p>
        </w:tc>
      </w:tr>
      <w:tr w:rsidR="001E6CF4">
        <w:trPr>
          <w:trHeight w:val="915"/>
          <w:jc w:val="center"/>
        </w:trPr>
        <w:tc>
          <w:tcPr>
            <w:tcW w:w="2124" w:type="dxa"/>
            <w:vAlign w:val="center"/>
          </w:tcPr>
          <w:p w:rsidR="001E6CF4" w:rsidRDefault="005458C6">
            <w:pPr>
              <w:adjustRightInd w:val="0"/>
              <w:snapToGrid w:val="0"/>
              <w:spacing w:line="600" w:lineRule="exact"/>
              <w:ind w:firstLineChars="0" w:firstLine="0"/>
              <w:jc w:val="center"/>
              <w:rPr>
                <w:rFonts w:ascii="黑体" w:eastAsia="黑体" w:hAnsi="黑体" w:cs="黑体"/>
                <w:b/>
                <w:color w:val="000000" w:themeColor="text1"/>
                <w:sz w:val="24"/>
              </w:rPr>
            </w:pPr>
            <w:r>
              <w:rPr>
                <w:rFonts w:ascii="黑体" w:eastAsia="黑体" w:hAnsi="黑体" w:cs="黑体" w:hint="eastAsia"/>
                <w:b/>
                <w:color w:val="000000" w:themeColor="text1"/>
                <w:sz w:val="24"/>
              </w:rPr>
              <w:t>矿类</w:t>
            </w:r>
          </w:p>
        </w:tc>
        <w:tc>
          <w:tcPr>
            <w:tcW w:w="1965" w:type="dxa"/>
            <w:vAlign w:val="center"/>
          </w:tcPr>
          <w:p w:rsidR="001E6CF4" w:rsidRDefault="005458C6">
            <w:pPr>
              <w:adjustRightInd w:val="0"/>
              <w:snapToGrid w:val="0"/>
              <w:spacing w:line="600" w:lineRule="exact"/>
              <w:ind w:firstLineChars="0" w:firstLine="0"/>
              <w:jc w:val="center"/>
              <w:rPr>
                <w:rFonts w:ascii="黑体" w:eastAsia="黑体" w:hAnsi="黑体" w:cs="黑体"/>
                <w:b/>
                <w:color w:val="000000" w:themeColor="text1"/>
                <w:sz w:val="24"/>
              </w:rPr>
            </w:pPr>
            <w:r>
              <w:rPr>
                <w:rFonts w:ascii="黑体" w:eastAsia="黑体" w:hAnsi="黑体" w:cs="黑体" w:hint="eastAsia"/>
                <w:b/>
                <w:color w:val="000000" w:themeColor="text1"/>
                <w:sz w:val="24"/>
              </w:rPr>
              <w:t>矿种</w:t>
            </w:r>
          </w:p>
        </w:tc>
        <w:tc>
          <w:tcPr>
            <w:tcW w:w="4433" w:type="dxa"/>
            <w:vAlign w:val="center"/>
          </w:tcPr>
          <w:p w:rsidR="001E6CF4" w:rsidRDefault="005458C6">
            <w:pPr>
              <w:adjustRightInd w:val="0"/>
              <w:snapToGrid w:val="0"/>
              <w:spacing w:line="600" w:lineRule="exact"/>
              <w:ind w:firstLineChars="0" w:firstLine="0"/>
              <w:jc w:val="center"/>
              <w:rPr>
                <w:rFonts w:ascii="黑体" w:eastAsia="黑体" w:hAnsi="黑体" w:cs="黑体"/>
                <w:b/>
                <w:color w:val="000000" w:themeColor="text1"/>
                <w:sz w:val="24"/>
              </w:rPr>
            </w:pPr>
            <w:r>
              <w:rPr>
                <w:rFonts w:ascii="黑体" w:eastAsia="黑体" w:hAnsi="黑体" w:cs="黑体" w:hint="eastAsia"/>
                <w:b/>
                <w:color w:val="000000" w:themeColor="text1"/>
                <w:sz w:val="24"/>
              </w:rPr>
              <w:t>名称</w:t>
            </w:r>
          </w:p>
        </w:tc>
      </w:tr>
      <w:tr w:rsidR="001E6CF4">
        <w:trPr>
          <w:trHeight w:val="1083"/>
          <w:jc w:val="center"/>
        </w:trPr>
        <w:tc>
          <w:tcPr>
            <w:tcW w:w="2124" w:type="dxa"/>
            <w:vAlign w:val="center"/>
          </w:tcPr>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rPr>
              <w:t>能源矿产</w:t>
            </w:r>
          </w:p>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rPr>
              <w:t>（2个）</w:t>
            </w:r>
          </w:p>
        </w:tc>
        <w:tc>
          <w:tcPr>
            <w:tcW w:w="1965" w:type="dxa"/>
            <w:vAlign w:val="center"/>
          </w:tcPr>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rPr>
              <w:t>煤炭</w:t>
            </w:r>
          </w:p>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rPr>
              <w:t>（2个）</w:t>
            </w:r>
          </w:p>
        </w:tc>
        <w:tc>
          <w:tcPr>
            <w:tcW w:w="4433" w:type="dxa"/>
            <w:vAlign w:val="center"/>
          </w:tcPr>
          <w:p w:rsidR="001E6CF4" w:rsidRDefault="005458C6">
            <w:pPr>
              <w:adjustRightInd w:val="0"/>
              <w:snapToGrid w:val="0"/>
              <w:spacing w:line="360" w:lineRule="auto"/>
              <w:ind w:firstLineChars="0" w:firstLine="0"/>
              <w:jc w:val="cente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rPr>
              <w:t>陕北（延安市部分）、黄陇（延安市部分）</w:t>
            </w:r>
          </w:p>
        </w:tc>
      </w:tr>
    </w:tbl>
    <w:p w:rsidR="001E6CF4" w:rsidRDefault="005458C6" w:rsidP="00B86950">
      <w:pPr>
        <w:overflowPunct w:val="0"/>
        <w:spacing w:line="600" w:lineRule="exact"/>
        <w:ind w:firstLine="643"/>
        <w:jc w:val="left"/>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以保障国家能源资源安全为目标，推动化工高端化发展，牢固树立生态保护优先的发展理念，严守生态保护红线，遵循矿产资源区域赋存规律，持续推进找矿突破战略行动。持续加大基地内深部与外围的勘查力度，增加煤炭新增查明资源量，提高矿区整体勘查程度。落实国家煤炭能源资源基地（延安市部分）和黄</w:t>
      </w:r>
      <w:r>
        <w:rPr>
          <w:rFonts w:ascii="仿宋_GB2312" w:eastAsia="仿宋_GB2312" w:hAnsi="仿宋_GB2312" w:cs="仿宋_GB2312" w:hint="eastAsia"/>
          <w:b/>
          <w:color w:val="000000" w:themeColor="text1"/>
          <w:sz w:val="32"/>
          <w:szCs w:val="32"/>
        </w:rPr>
        <w:lastRenderedPageBreak/>
        <w:t>陇煤炭能源基地（延安市部分），大力推进深部和外围资源找矿增储，实现资源规模开发和产业集聚发展。以加强煤炭产能和技术储备，推动智慧矿山建设、推进能源资源一体化开发利用建设，高水平建设延安综合能源基地、打造世界一流水平高端能源化工基地。</w:t>
      </w:r>
    </w:p>
    <w:p w:rsidR="001E6CF4" w:rsidRPr="005A58A9" w:rsidRDefault="005458C6" w:rsidP="00B86950">
      <w:pPr>
        <w:pStyle w:val="3"/>
        <w:keepNext w:val="0"/>
        <w:keepLines w:val="0"/>
        <w:overflowPunct w:val="0"/>
        <w:adjustRightInd/>
        <w:snapToGrid/>
        <w:spacing w:line="580" w:lineRule="exact"/>
        <w:ind w:firstLine="643"/>
        <w:rPr>
          <w:rFonts w:ascii="楷体_GB2312" w:eastAsia="楷体_GB2312" w:hAnsi="仿宋_GB2312" w:cs="仿宋_GB2312"/>
          <w:b/>
          <w:bCs w:val="0"/>
          <w:color w:val="000000" w:themeColor="text1"/>
          <w:sz w:val="32"/>
        </w:rPr>
      </w:pPr>
      <w:r w:rsidRPr="005A58A9">
        <w:rPr>
          <w:rFonts w:ascii="楷体_GB2312" w:eastAsia="楷体_GB2312" w:hAnsi="仿宋_GB2312" w:cs="仿宋_GB2312" w:hint="eastAsia"/>
          <w:b/>
          <w:bCs w:val="0"/>
          <w:color w:val="000000" w:themeColor="text1"/>
          <w:sz w:val="32"/>
        </w:rPr>
        <w:t>（二）国家规划矿区</w:t>
      </w:r>
    </w:p>
    <w:p w:rsidR="001E6CF4" w:rsidRDefault="005458C6" w:rsidP="00B86950">
      <w:pPr>
        <w:overflowPunct w:val="0"/>
        <w:spacing w:line="580" w:lineRule="exact"/>
        <w:ind w:firstLine="643"/>
        <w:rPr>
          <w:rFonts w:ascii="仿宋_GB2312" w:eastAsia="仿宋_GB2312" w:hAnsi="仿宋_GB2312" w:cs="仿宋_GB2312"/>
          <w:b/>
          <w:color w:val="000000" w:themeColor="text1"/>
          <w:kern w:val="1"/>
          <w:sz w:val="32"/>
          <w:szCs w:val="32"/>
        </w:rPr>
      </w:pPr>
      <w:r>
        <w:rPr>
          <w:rFonts w:ascii="仿宋_GB2312" w:eastAsia="仿宋_GB2312" w:hAnsi="仿宋_GB2312" w:cs="仿宋_GB2312" w:hint="eastAsia"/>
          <w:b/>
          <w:color w:val="000000" w:themeColor="text1"/>
          <w:sz w:val="32"/>
          <w:szCs w:val="32"/>
        </w:rPr>
        <w:t>落实子长、黄陵、韩城煤炭国家规划矿区延安市部分。</w:t>
      </w:r>
    </w:p>
    <w:p w:rsidR="001E6CF4" w:rsidRDefault="005458C6" w:rsidP="00B86950">
      <w:pPr>
        <w:overflowPunct w:val="0"/>
        <w:spacing w:line="60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全面提升矿业经济发展的现代化、生态化和智能化，稳定煤炭总产能，提高优质产能，实现煤炭智能化绿色高效开采，确保煤炭市场供应，加强煤层气开发，促进采煤采气一体化发展，加快推进已探明煤炭资源开发利用进程，重点推动先进产能建设，提高准入门槛，推动优势资源的规模开发、集约利用，有序退出落后产能。加强煤炭国家规划矿区规划管理，按照严控增量、优化存量、清洁利用的要求，巩固去产能成效，坚持供给侧结构性改革，执行国家煤炭产业政策，落实碳达峰、碳中和政策要求。支持和鼓励煤炭企业采用先进适用绿色开采技术，将煤炭国家规划矿区打造成为新型现代化资源高效开发利用示范区。</w:t>
      </w:r>
    </w:p>
    <w:tbl>
      <w:tblPr>
        <w:tblStyle w:val="ae"/>
        <w:tblW w:w="0" w:type="auto"/>
        <w:jc w:val="center"/>
        <w:tblLook w:val="04A0"/>
      </w:tblPr>
      <w:tblGrid>
        <w:gridCol w:w="2124"/>
        <w:gridCol w:w="1965"/>
        <w:gridCol w:w="4433"/>
      </w:tblGrid>
      <w:tr w:rsidR="001E6CF4">
        <w:trPr>
          <w:trHeight w:val="604"/>
          <w:jc w:val="center"/>
        </w:trPr>
        <w:tc>
          <w:tcPr>
            <w:tcW w:w="8522" w:type="dxa"/>
            <w:gridSpan w:val="3"/>
          </w:tcPr>
          <w:p w:rsidR="001E6CF4" w:rsidRDefault="005458C6">
            <w:pPr>
              <w:pStyle w:val="a0"/>
              <w:ind w:firstLineChars="0" w:firstLine="0"/>
              <w:jc w:val="center"/>
              <w:rPr>
                <w:rFonts w:ascii="仿宋_GB2312" w:eastAsia="仿宋_GB2312" w:hAnsi="仿宋_GB2312" w:cs="仿宋_GB2312"/>
                <w:b/>
                <w:color w:val="000000" w:themeColor="text1"/>
              </w:rPr>
            </w:pPr>
            <w:r>
              <w:rPr>
                <w:rFonts w:ascii="仿宋_GB2312" w:eastAsia="仿宋_GB2312" w:hAnsi="仿宋_GB2312" w:cs="仿宋_GB2312" w:hint="eastAsia"/>
                <w:b/>
                <w:color w:val="000000" w:themeColor="text1"/>
                <w:sz w:val="28"/>
                <w:szCs w:val="28"/>
              </w:rPr>
              <w:t>专栏4    国家规划矿区</w:t>
            </w:r>
          </w:p>
        </w:tc>
      </w:tr>
      <w:tr w:rsidR="001E6CF4">
        <w:trPr>
          <w:trHeight w:val="648"/>
          <w:jc w:val="center"/>
        </w:trPr>
        <w:tc>
          <w:tcPr>
            <w:tcW w:w="2124" w:type="dxa"/>
          </w:tcPr>
          <w:p w:rsidR="001E6CF4" w:rsidRDefault="005458C6">
            <w:pPr>
              <w:adjustRightInd w:val="0"/>
              <w:snapToGrid w:val="0"/>
              <w:spacing w:line="600" w:lineRule="exact"/>
              <w:ind w:firstLineChars="0" w:firstLine="0"/>
              <w:jc w:val="center"/>
              <w:rPr>
                <w:rFonts w:ascii="黑体" w:eastAsia="黑体" w:hAnsi="黑体" w:cs="黑体"/>
                <w:b/>
                <w:color w:val="000000" w:themeColor="text1"/>
                <w:sz w:val="24"/>
              </w:rPr>
            </w:pPr>
            <w:r>
              <w:rPr>
                <w:rFonts w:ascii="黑体" w:eastAsia="黑体" w:hAnsi="黑体" w:cs="黑体" w:hint="eastAsia"/>
                <w:b/>
                <w:color w:val="000000" w:themeColor="text1"/>
                <w:sz w:val="24"/>
              </w:rPr>
              <w:t>矿类</w:t>
            </w:r>
          </w:p>
        </w:tc>
        <w:tc>
          <w:tcPr>
            <w:tcW w:w="1965" w:type="dxa"/>
          </w:tcPr>
          <w:p w:rsidR="001E6CF4" w:rsidRDefault="005458C6">
            <w:pPr>
              <w:adjustRightInd w:val="0"/>
              <w:snapToGrid w:val="0"/>
              <w:spacing w:line="600" w:lineRule="exact"/>
              <w:ind w:firstLineChars="0" w:firstLine="0"/>
              <w:jc w:val="center"/>
              <w:rPr>
                <w:rFonts w:ascii="黑体" w:eastAsia="黑体" w:hAnsi="黑体" w:cs="黑体"/>
                <w:b/>
                <w:color w:val="000000" w:themeColor="text1"/>
                <w:sz w:val="24"/>
              </w:rPr>
            </w:pPr>
            <w:r>
              <w:rPr>
                <w:rFonts w:ascii="黑体" w:eastAsia="黑体" w:hAnsi="黑体" w:cs="黑体" w:hint="eastAsia"/>
                <w:b/>
                <w:color w:val="000000" w:themeColor="text1"/>
                <w:sz w:val="24"/>
              </w:rPr>
              <w:t>矿种</w:t>
            </w:r>
          </w:p>
        </w:tc>
        <w:tc>
          <w:tcPr>
            <w:tcW w:w="4433" w:type="dxa"/>
          </w:tcPr>
          <w:p w:rsidR="001E6CF4" w:rsidRDefault="005458C6">
            <w:pPr>
              <w:adjustRightInd w:val="0"/>
              <w:snapToGrid w:val="0"/>
              <w:spacing w:line="600" w:lineRule="exact"/>
              <w:ind w:firstLineChars="0" w:firstLine="0"/>
              <w:jc w:val="center"/>
              <w:rPr>
                <w:rFonts w:ascii="黑体" w:eastAsia="黑体" w:hAnsi="黑体" w:cs="黑体"/>
                <w:b/>
                <w:color w:val="000000" w:themeColor="text1"/>
                <w:sz w:val="24"/>
              </w:rPr>
            </w:pPr>
            <w:r>
              <w:rPr>
                <w:rFonts w:ascii="黑体" w:eastAsia="黑体" w:hAnsi="黑体" w:cs="黑体" w:hint="eastAsia"/>
                <w:b/>
                <w:color w:val="000000" w:themeColor="text1"/>
                <w:sz w:val="24"/>
              </w:rPr>
              <w:t>名称</w:t>
            </w:r>
          </w:p>
        </w:tc>
      </w:tr>
      <w:tr w:rsidR="001E6CF4">
        <w:trPr>
          <w:trHeight w:val="965"/>
          <w:jc w:val="center"/>
        </w:trPr>
        <w:tc>
          <w:tcPr>
            <w:tcW w:w="2124" w:type="dxa"/>
            <w:vAlign w:val="center"/>
          </w:tcPr>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rPr>
              <w:t>能源矿产</w:t>
            </w:r>
          </w:p>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rPr>
              <w:t>（3个）</w:t>
            </w:r>
          </w:p>
        </w:tc>
        <w:tc>
          <w:tcPr>
            <w:tcW w:w="1965" w:type="dxa"/>
            <w:vAlign w:val="center"/>
          </w:tcPr>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rPr>
              <w:t>煤炭</w:t>
            </w:r>
          </w:p>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rPr>
              <w:t>（3个）</w:t>
            </w:r>
          </w:p>
        </w:tc>
        <w:tc>
          <w:tcPr>
            <w:tcW w:w="4433" w:type="dxa"/>
            <w:vAlign w:val="center"/>
          </w:tcPr>
          <w:p w:rsidR="001E6CF4" w:rsidRDefault="005458C6">
            <w:pPr>
              <w:adjustRightInd w:val="0"/>
              <w:snapToGrid w:val="0"/>
              <w:spacing w:line="240" w:lineRule="auto"/>
              <w:ind w:firstLineChars="0" w:firstLine="0"/>
              <w:jc w:val="left"/>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rPr>
              <w:t>子长（延安市部分）、黄陵（延安市部分）、</w:t>
            </w:r>
          </w:p>
          <w:p w:rsidR="001E6CF4" w:rsidRDefault="005458C6">
            <w:pPr>
              <w:adjustRightInd w:val="0"/>
              <w:snapToGrid w:val="0"/>
              <w:spacing w:line="240" w:lineRule="auto"/>
              <w:ind w:firstLineChars="0" w:firstLine="0"/>
              <w:jc w:val="left"/>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rPr>
              <w:t>韩城（延安市部分）</w:t>
            </w:r>
          </w:p>
        </w:tc>
      </w:tr>
    </w:tbl>
    <w:p w:rsidR="001E6CF4" w:rsidRDefault="005458C6">
      <w:pPr>
        <w:pStyle w:val="2"/>
        <w:keepNext w:val="0"/>
        <w:keepLines w:val="0"/>
        <w:overflowPunct w:val="0"/>
        <w:adjustRightInd/>
        <w:snapToGrid/>
        <w:spacing w:line="590" w:lineRule="exact"/>
        <w:ind w:firstLineChars="200" w:firstLine="643"/>
        <w:rPr>
          <w:rFonts w:ascii="黑体" w:eastAsia="黑体" w:hAnsi="黑体" w:cs="黑体"/>
          <w:bCs w:val="0"/>
          <w:color w:val="000000" w:themeColor="text1"/>
        </w:rPr>
      </w:pPr>
      <w:bookmarkStart w:id="98" w:name="_Toc11739"/>
      <w:r>
        <w:rPr>
          <w:rFonts w:ascii="黑体" w:eastAsia="黑体" w:hAnsi="黑体" w:cs="黑体" w:hint="eastAsia"/>
          <w:bCs w:val="0"/>
          <w:color w:val="000000" w:themeColor="text1"/>
        </w:rPr>
        <w:t>三、推进勘查开采合理布局</w:t>
      </w:r>
      <w:bookmarkEnd w:id="95"/>
      <w:bookmarkEnd w:id="96"/>
      <w:bookmarkEnd w:id="98"/>
    </w:p>
    <w:p w:rsidR="001E6CF4" w:rsidRDefault="005458C6" w:rsidP="00437FD6">
      <w:pPr>
        <w:overflowPunct w:val="0"/>
        <w:spacing w:line="59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lastRenderedPageBreak/>
        <w:t>落实延安国土空间规划，遵循矿产资源区域赋存规律，持续推进绿色勘查和找矿突破战略行动，衔接落实全市“三线一单”生态分区管控要求，做好与生态保护红线和自然保护地的衔接，构建区域资源优势互补、资源开发定位清晰、资源环境协调发展的空间格局，科学划定重点勘查区和重点开采区。</w:t>
      </w:r>
    </w:p>
    <w:p w:rsidR="001E6CF4" w:rsidRPr="005A58A9" w:rsidRDefault="005458C6" w:rsidP="00437FD6">
      <w:pPr>
        <w:pStyle w:val="3"/>
        <w:keepNext w:val="0"/>
        <w:keepLines w:val="0"/>
        <w:overflowPunct w:val="0"/>
        <w:adjustRightInd/>
        <w:snapToGrid/>
        <w:spacing w:line="590" w:lineRule="exact"/>
        <w:ind w:firstLine="643"/>
        <w:rPr>
          <w:rFonts w:ascii="楷体_GB2312" w:eastAsia="楷体_GB2312" w:hAnsi="仿宋_GB2312" w:cs="仿宋_GB2312"/>
          <w:b/>
          <w:bCs w:val="0"/>
          <w:color w:val="000000" w:themeColor="text1"/>
          <w:sz w:val="32"/>
        </w:rPr>
      </w:pPr>
      <w:r w:rsidRPr="005A58A9">
        <w:rPr>
          <w:rFonts w:ascii="楷体_GB2312" w:eastAsia="楷体_GB2312" w:hAnsi="仿宋_GB2312" w:cs="仿宋_GB2312" w:hint="eastAsia"/>
          <w:b/>
          <w:bCs w:val="0"/>
          <w:color w:val="000000" w:themeColor="text1"/>
          <w:sz w:val="32"/>
        </w:rPr>
        <w:t>（一）重点勘查区</w:t>
      </w:r>
    </w:p>
    <w:p w:rsidR="001E6CF4" w:rsidRDefault="005458C6" w:rsidP="00437FD6">
      <w:pPr>
        <w:overflowPunct w:val="0"/>
        <w:spacing w:line="59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本轮省级规划未在延安设置重点勘查区。</w:t>
      </w:r>
    </w:p>
    <w:p w:rsidR="001E6CF4" w:rsidRDefault="005458C6" w:rsidP="00437FD6">
      <w:pPr>
        <w:pStyle w:val="a0"/>
        <w:overflowPunct w:val="0"/>
        <w:spacing w:line="59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为兼顾延安市岩盐、陶瓷土矿产资源的供给与需求，结合成矿地质条件和以往勘查成果信息，全市共划定重点勘查区2个，勘查矿种以岩盐、陶瓷土为主，分别为延长岩盐重点勘查区，宝塔陶瓷土重点勘查区。</w:t>
      </w:r>
    </w:p>
    <w:p w:rsidR="001E6CF4" w:rsidRDefault="005458C6" w:rsidP="00437FD6">
      <w:pPr>
        <w:overflowPunct w:val="0"/>
        <w:spacing w:line="59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重点勘查区内积极推进矿产资源综合勘查与综合评价，科学掌握资源家底，为合理利用奠定基础。同时，整合各级财政资金，加大投入力度，积极引导社会资本在重点勘查区，开展商业性矿产勘查工作，力争实现找矿重大突破。</w:t>
      </w:r>
    </w:p>
    <w:tbl>
      <w:tblPr>
        <w:tblStyle w:val="ae"/>
        <w:tblW w:w="0" w:type="auto"/>
        <w:tblLook w:val="04A0"/>
      </w:tblPr>
      <w:tblGrid>
        <w:gridCol w:w="1795"/>
        <w:gridCol w:w="1980"/>
        <w:gridCol w:w="2868"/>
        <w:gridCol w:w="1879"/>
      </w:tblGrid>
      <w:tr w:rsidR="001E6CF4">
        <w:trPr>
          <w:trHeight w:val="604"/>
        </w:trPr>
        <w:tc>
          <w:tcPr>
            <w:tcW w:w="8522" w:type="dxa"/>
            <w:gridSpan w:val="4"/>
          </w:tcPr>
          <w:p w:rsidR="001E6CF4" w:rsidRDefault="005458C6">
            <w:pPr>
              <w:pStyle w:val="a0"/>
              <w:ind w:firstLineChars="0" w:firstLine="0"/>
              <w:jc w:val="center"/>
              <w:rPr>
                <w:rFonts w:ascii="黑体" w:eastAsia="黑体" w:cs="宋体"/>
                <w:b/>
                <w:color w:val="000000" w:themeColor="text1"/>
                <w:sz w:val="28"/>
                <w:szCs w:val="20"/>
              </w:rPr>
            </w:pPr>
            <w:r>
              <w:rPr>
                <w:rFonts w:ascii="仿宋_GB2312" w:eastAsia="仿宋_GB2312" w:hAnsi="仿宋_GB2312" w:cs="仿宋_GB2312" w:hint="eastAsia"/>
                <w:b/>
                <w:color w:val="000000" w:themeColor="text1"/>
                <w:sz w:val="28"/>
                <w:szCs w:val="28"/>
              </w:rPr>
              <w:t>专栏5    重点勘查区</w:t>
            </w:r>
          </w:p>
        </w:tc>
      </w:tr>
      <w:tr w:rsidR="001E6CF4">
        <w:trPr>
          <w:trHeight w:val="711"/>
        </w:trPr>
        <w:tc>
          <w:tcPr>
            <w:tcW w:w="1795" w:type="dxa"/>
          </w:tcPr>
          <w:p w:rsidR="001E6CF4" w:rsidRDefault="005458C6">
            <w:pPr>
              <w:adjustRightInd w:val="0"/>
              <w:snapToGrid w:val="0"/>
              <w:spacing w:line="600" w:lineRule="exact"/>
              <w:ind w:firstLineChars="0" w:firstLine="0"/>
              <w:jc w:val="center"/>
              <w:rPr>
                <w:rFonts w:ascii="黑体" w:eastAsia="黑体" w:hAnsi="黑体" w:cs="黑体"/>
                <w:b/>
                <w:color w:val="000000" w:themeColor="text1"/>
                <w:sz w:val="24"/>
              </w:rPr>
            </w:pPr>
            <w:r>
              <w:rPr>
                <w:rFonts w:ascii="黑体" w:eastAsia="黑体" w:hAnsi="黑体" w:cs="黑体" w:hint="eastAsia"/>
                <w:b/>
                <w:color w:val="000000" w:themeColor="text1"/>
                <w:sz w:val="24"/>
              </w:rPr>
              <w:t>矿类</w:t>
            </w:r>
          </w:p>
        </w:tc>
        <w:tc>
          <w:tcPr>
            <w:tcW w:w="1980" w:type="dxa"/>
          </w:tcPr>
          <w:p w:rsidR="001E6CF4" w:rsidRDefault="005458C6">
            <w:pPr>
              <w:adjustRightInd w:val="0"/>
              <w:snapToGrid w:val="0"/>
              <w:spacing w:line="600" w:lineRule="exact"/>
              <w:ind w:firstLineChars="0" w:firstLine="0"/>
              <w:jc w:val="center"/>
              <w:rPr>
                <w:rFonts w:ascii="黑体" w:eastAsia="黑体" w:hAnsi="黑体" w:cs="黑体"/>
                <w:b/>
                <w:color w:val="000000" w:themeColor="text1"/>
                <w:sz w:val="24"/>
              </w:rPr>
            </w:pPr>
            <w:r>
              <w:rPr>
                <w:rFonts w:ascii="黑体" w:eastAsia="黑体" w:hAnsi="黑体" w:cs="黑体" w:hint="eastAsia"/>
                <w:b/>
                <w:color w:val="000000" w:themeColor="text1"/>
                <w:sz w:val="24"/>
              </w:rPr>
              <w:t>矿种</w:t>
            </w:r>
          </w:p>
        </w:tc>
        <w:tc>
          <w:tcPr>
            <w:tcW w:w="2868" w:type="dxa"/>
          </w:tcPr>
          <w:p w:rsidR="001E6CF4" w:rsidRDefault="005458C6">
            <w:pPr>
              <w:adjustRightInd w:val="0"/>
              <w:snapToGrid w:val="0"/>
              <w:spacing w:line="600" w:lineRule="exact"/>
              <w:ind w:firstLineChars="0" w:firstLine="0"/>
              <w:jc w:val="center"/>
              <w:rPr>
                <w:rFonts w:ascii="黑体" w:eastAsia="黑体" w:hAnsi="黑体" w:cs="黑体"/>
                <w:b/>
                <w:color w:val="000000" w:themeColor="text1"/>
                <w:sz w:val="24"/>
              </w:rPr>
            </w:pPr>
            <w:r>
              <w:rPr>
                <w:rFonts w:ascii="黑体" w:eastAsia="黑体" w:hAnsi="黑体" w:cs="黑体" w:hint="eastAsia"/>
                <w:b/>
                <w:color w:val="000000" w:themeColor="text1"/>
                <w:sz w:val="24"/>
              </w:rPr>
              <w:t>名称</w:t>
            </w:r>
          </w:p>
        </w:tc>
        <w:tc>
          <w:tcPr>
            <w:tcW w:w="1879" w:type="dxa"/>
          </w:tcPr>
          <w:p w:rsidR="001E6CF4" w:rsidRDefault="005458C6">
            <w:pPr>
              <w:adjustRightInd w:val="0"/>
              <w:snapToGrid w:val="0"/>
              <w:spacing w:line="600" w:lineRule="exact"/>
              <w:ind w:firstLineChars="0" w:firstLine="0"/>
              <w:jc w:val="center"/>
              <w:rPr>
                <w:rFonts w:ascii="黑体" w:eastAsia="黑体" w:hAnsi="黑体" w:cs="黑体"/>
                <w:b/>
                <w:color w:val="000000" w:themeColor="text1"/>
                <w:sz w:val="24"/>
              </w:rPr>
            </w:pPr>
            <w:r>
              <w:rPr>
                <w:rFonts w:ascii="黑体" w:eastAsia="黑体" w:hAnsi="黑体" w:cs="黑体" w:hint="eastAsia"/>
                <w:b/>
                <w:color w:val="000000" w:themeColor="text1"/>
                <w:sz w:val="24"/>
              </w:rPr>
              <w:t>备注</w:t>
            </w:r>
          </w:p>
        </w:tc>
      </w:tr>
      <w:tr w:rsidR="001E6CF4">
        <w:trPr>
          <w:trHeight w:val="602"/>
        </w:trPr>
        <w:tc>
          <w:tcPr>
            <w:tcW w:w="1795" w:type="dxa"/>
            <w:vMerge w:val="restart"/>
            <w:vAlign w:val="center"/>
          </w:tcPr>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rPr>
              <w:t>非金属矿产</w:t>
            </w:r>
          </w:p>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rPr>
              <w:t>（2个）</w:t>
            </w:r>
          </w:p>
        </w:tc>
        <w:tc>
          <w:tcPr>
            <w:tcW w:w="1980" w:type="dxa"/>
            <w:vAlign w:val="center"/>
          </w:tcPr>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rPr>
              <w:t>岩盐（1个）</w:t>
            </w:r>
          </w:p>
        </w:tc>
        <w:tc>
          <w:tcPr>
            <w:tcW w:w="2868" w:type="dxa"/>
            <w:vAlign w:val="center"/>
          </w:tcPr>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rPr>
              <w:t>延长县</w:t>
            </w:r>
          </w:p>
        </w:tc>
        <w:tc>
          <w:tcPr>
            <w:tcW w:w="1879" w:type="dxa"/>
            <w:vMerge w:val="restart"/>
            <w:vAlign w:val="center"/>
          </w:tcPr>
          <w:p w:rsidR="001E6CF4" w:rsidRDefault="005458C6">
            <w:pPr>
              <w:adjustRightInd w:val="0"/>
              <w:snapToGrid w:val="0"/>
              <w:spacing w:line="360" w:lineRule="auto"/>
              <w:ind w:firstLineChars="0" w:firstLine="0"/>
              <w:jc w:val="cente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rPr>
              <w:t>市级规划划定</w:t>
            </w:r>
          </w:p>
        </w:tc>
      </w:tr>
      <w:tr w:rsidR="001E6CF4">
        <w:trPr>
          <w:trHeight w:val="636"/>
        </w:trPr>
        <w:tc>
          <w:tcPr>
            <w:tcW w:w="1795" w:type="dxa"/>
            <w:vMerge/>
            <w:vAlign w:val="center"/>
          </w:tcPr>
          <w:p w:rsidR="001E6CF4" w:rsidRDefault="001E6CF4">
            <w:pPr>
              <w:adjustRightInd w:val="0"/>
              <w:snapToGrid w:val="0"/>
              <w:spacing w:line="240" w:lineRule="auto"/>
              <w:ind w:firstLineChars="0" w:firstLine="0"/>
              <w:jc w:val="center"/>
              <w:rPr>
                <w:rFonts w:ascii="仿宋_GB2312" w:eastAsia="仿宋_GB2312" w:hAnsi="仿宋_GB2312" w:cs="仿宋_GB2312"/>
                <w:b/>
                <w:color w:val="000000" w:themeColor="text1"/>
                <w:sz w:val="21"/>
                <w:szCs w:val="21"/>
              </w:rPr>
            </w:pPr>
          </w:p>
        </w:tc>
        <w:tc>
          <w:tcPr>
            <w:tcW w:w="1980" w:type="dxa"/>
            <w:vAlign w:val="center"/>
          </w:tcPr>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rPr>
              <w:t>陶瓷土（1个）</w:t>
            </w:r>
          </w:p>
        </w:tc>
        <w:tc>
          <w:tcPr>
            <w:tcW w:w="2868" w:type="dxa"/>
            <w:vAlign w:val="center"/>
          </w:tcPr>
          <w:p w:rsidR="001E6CF4" w:rsidRDefault="005458C6">
            <w:pPr>
              <w:adjustRightInd w:val="0"/>
              <w:snapToGrid w:val="0"/>
              <w:spacing w:line="240" w:lineRule="auto"/>
              <w:ind w:firstLineChars="0" w:firstLine="0"/>
              <w:jc w:val="cente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rPr>
              <w:t>宝塔区</w:t>
            </w:r>
          </w:p>
        </w:tc>
        <w:tc>
          <w:tcPr>
            <w:tcW w:w="1879" w:type="dxa"/>
            <w:vMerge/>
            <w:vAlign w:val="center"/>
          </w:tcPr>
          <w:p w:rsidR="001E6CF4" w:rsidRDefault="001E6CF4">
            <w:pPr>
              <w:adjustRightInd w:val="0"/>
              <w:snapToGrid w:val="0"/>
              <w:spacing w:line="360" w:lineRule="auto"/>
              <w:ind w:firstLineChars="0" w:firstLine="0"/>
              <w:jc w:val="left"/>
              <w:rPr>
                <w:rFonts w:ascii="仿宋_GB2312" w:eastAsia="仿宋_GB2312" w:hAnsi="仿宋_GB2312" w:cs="仿宋_GB2312"/>
                <w:b/>
                <w:color w:val="000000" w:themeColor="text1"/>
                <w:sz w:val="21"/>
                <w:szCs w:val="21"/>
              </w:rPr>
            </w:pPr>
          </w:p>
        </w:tc>
      </w:tr>
    </w:tbl>
    <w:p w:rsidR="001E6CF4" w:rsidRPr="005A58A9" w:rsidRDefault="005458C6" w:rsidP="00437FD6">
      <w:pPr>
        <w:pStyle w:val="3"/>
        <w:keepNext w:val="0"/>
        <w:keepLines w:val="0"/>
        <w:overflowPunct w:val="0"/>
        <w:adjustRightInd/>
        <w:snapToGrid/>
        <w:spacing w:line="590" w:lineRule="exact"/>
        <w:ind w:firstLine="643"/>
        <w:rPr>
          <w:rFonts w:ascii="楷体_GB2312" w:eastAsia="楷体_GB2312" w:hAnsi="仿宋_GB2312" w:cs="仿宋_GB2312"/>
          <w:b/>
          <w:bCs w:val="0"/>
          <w:color w:val="000000" w:themeColor="text1"/>
          <w:sz w:val="32"/>
        </w:rPr>
      </w:pPr>
      <w:bookmarkStart w:id="99" w:name="_Toc439860575"/>
      <w:bookmarkStart w:id="100" w:name="_Toc29292"/>
      <w:bookmarkStart w:id="101" w:name="_Toc3183"/>
      <w:bookmarkEnd w:id="97"/>
      <w:r w:rsidRPr="005A58A9">
        <w:rPr>
          <w:rFonts w:ascii="楷体_GB2312" w:eastAsia="楷体_GB2312" w:hAnsi="仿宋_GB2312" w:cs="仿宋_GB2312" w:hint="eastAsia"/>
          <w:b/>
          <w:bCs w:val="0"/>
          <w:color w:val="000000" w:themeColor="text1"/>
          <w:sz w:val="32"/>
        </w:rPr>
        <w:t>（二）划定勘查规划区块</w:t>
      </w:r>
    </w:p>
    <w:p w:rsidR="001E6CF4" w:rsidRDefault="005458C6" w:rsidP="00437FD6">
      <w:pPr>
        <w:overflowPunct w:val="0"/>
        <w:spacing w:line="590" w:lineRule="exact"/>
        <w:ind w:firstLine="643"/>
        <w:rPr>
          <w:rFonts w:ascii="仿宋_GB2312" w:eastAsia="仿宋_GB2312" w:hAnsi="仿宋_GB2312" w:cs="仿宋_GB2312"/>
          <w:b/>
          <w:color w:val="000000" w:themeColor="text1"/>
          <w:kern w:val="1"/>
          <w:sz w:val="32"/>
          <w:szCs w:val="32"/>
        </w:rPr>
      </w:pPr>
      <w:r>
        <w:rPr>
          <w:rFonts w:ascii="仿宋_GB2312" w:eastAsia="仿宋_GB2312" w:hAnsi="仿宋_GB2312" w:cs="仿宋_GB2312" w:hint="eastAsia"/>
          <w:b/>
          <w:color w:val="000000" w:themeColor="text1"/>
          <w:kern w:val="1"/>
          <w:sz w:val="32"/>
          <w:szCs w:val="32"/>
        </w:rPr>
        <w:t>按照探矿权审批发证权限，划定市级发证矿种勘查规划区</w:t>
      </w:r>
      <w:r>
        <w:rPr>
          <w:rFonts w:ascii="仿宋_GB2312" w:eastAsia="仿宋_GB2312" w:hAnsi="仿宋_GB2312" w:cs="仿宋_GB2312" w:hint="eastAsia"/>
          <w:b/>
          <w:color w:val="000000" w:themeColor="text1"/>
          <w:kern w:val="1"/>
          <w:sz w:val="32"/>
          <w:szCs w:val="32"/>
        </w:rPr>
        <w:lastRenderedPageBreak/>
        <w:t>块。根据勘查程度、矿产类型和外部条件，依法依规避让生态保护红线、自然保护地以及其它行业政策法规规定的禁止勘查活动的地区，划定勘查规划区块。</w:t>
      </w:r>
    </w:p>
    <w:p w:rsidR="001E6CF4" w:rsidRDefault="005458C6" w:rsidP="00437FD6">
      <w:pPr>
        <w:overflowPunct w:val="0"/>
        <w:spacing w:line="590" w:lineRule="exact"/>
        <w:ind w:firstLine="643"/>
        <w:rPr>
          <w:rFonts w:ascii="仿宋_GB2312" w:eastAsia="仿宋_GB2312" w:hAnsi="仿宋_GB2312" w:cs="仿宋_GB2312"/>
          <w:b/>
          <w:color w:val="000000" w:themeColor="text1"/>
          <w:kern w:val="1"/>
          <w:sz w:val="32"/>
          <w:szCs w:val="32"/>
        </w:rPr>
      </w:pPr>
      <w:r>
        <w:rPr>
          <w:rFonts w:ascii="仿宋_GB2312" w:eastAsia="仿宋_GB2312" w:hAnsi="仿宋_GB2312" w:cs="仿宋_GB2312" w:hint="eastAsia"/>
          <w:b/>
          <w:color w:val="000000" w:themeColor="text1"/>
          <w:kern w:val="1"/>
          <w:sz w:val="32"/>
          <w:szCs w:val="32"/>
        </w:rPr>
        <w:t>全市共划定勘查规划区块16个。其中岩盐2个，陶瓷土8个，陶粒用页岩1个，矿泉水5个。在一个勘查规划区块原则上只设一个勘查主体，要有利于整体勘查评价和整体开发。</w:t>
      </w:r>
    </w:p>
    <w:p w:rsidR="001E6CF4" w:rsidRDefault="005458C6" w:rsidP="00437FD6">
      <w:pPr>
        <w:overflowPunct w:val="0"/>
        <w:spacing w:line="590" w:lineRule="exact"/>
        <w:ind w:firstLine="643"/>
        <w:rPr>
          <w:rFonts w:ascii="仿宋_GB2312" w:eastAsia="仿宋_GB2312" w:hAnsi="仿宋_GB2312" w:cs="仿宋_GB2312"/>
          <w:b/>
          <w:color w:val="000000" w:themeColor="text1"/>
          <w:kern w:val="1"/>
          <w:sz w:val="32"/>
          <w:szCs w:val="32"/>
        </w:rPr>
      </w:pPr>
      <w:r>
        <w:rPr>
          <w:rFonts w:ascii="仿宋_GB2312" w:eastAsia="仿宋_GB2312" w:hAnsi="仿宋_GB2312" w:cs="仿宋_GB2312" w:hint="eastAsia"/>
          <w:b/>
          <w:color w:val="000000" w:themeColor="text1"/>
          <w:kern w:val="1"/>
          <w:sz w:val="32"/>
          <w:szCs w:val="32"/>
        </w:rPr>
        <w:t>生态保护红线批准后，按照生态保护红线管控要求，对勘查规划区块进行调整。</w:t>
      </w:r>
    </w:p>
    <w:bookmarkEnd w:id="99"/>
    <w:p w:rsidR="001E6CF4" w:rsidRPr="005A58A9" w:rsidRDefault="005458C6" w:rsidP="00437FD6">
      <w:pPr>
        <w:pStyle w:val="3"/>
        <w:keepNext w:val="0"/>
        <w:keepLines w:val="0"/>
        <w:overflowPunct w:val="0"/>
        <w:adjustRightInd/>
        <w:snapToGrid/>
        <w:spacing w:line="590" w:lineRule="exact"/>
        <w:ind w:firstLine="643"/>
        <w:rPr>
          <w:rFonts w:ascii="楷体_GB2312" w:eastAsia="楷体_GB2312" w:hAnsi="仿宋_GB2312" w:cs="仿宋_GB2312"/>
          <w:b/>
          <w:bCs w:val="0"/>
          <w:color w:val="000000" w:themeColor="text1"/>
          <w:sz w:val="32"/>
        </w:rPr>
      </w:pPr>
      <w:r w:rsidRPr="005A58A9">
        <w:rPr>
          <w:rFonts w:ascii="楷体_GB2312" w:eastAsia="楷体_GB2312" w:hAnsi="仿宋_GB2312" w:cs="仿宋_GB2312" w:hint="eastAsia"/>
          <w:b/>
          <w:bCs w:val="0"/>
          <w:color w:val="000000" w:themeColor="text1"/>
          <w:sz w:val="32"/>
        </w:rPr>
        <w:t>（三）开采规划区块</w:t>
      </w:r>
    </w:p>
    <w:p w:rsidR="001E6CF4" w:rsidRDefault="005458C6" w:rsidP="00437FD6">
      <w:pPr>
        <w:pStyle w:val="a0"/>
        <w:overflowPunct w:val="0"/>
        <w:spacing w:line="59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落实省级规划的6个煤炭开采规划区块。</w:t>
      </w:r>
    </w:p>
    <w:p w:rsidR="001E6CF4" w:rsidRDefault="005458C6" w:rsidP="00437FD6">
      <w:pPr>
        <w:pStyle w:val="a0"/>
        <w:overflowPunct w:val="0"/>
        <w:spacing w:line="59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按照采矿权审批发证权限，对于经主管部门审批、达到相应勘查程度、符合有关法律法规、产业政策、矿产资源开采管理政策及开采准入条件的区域，依法依规避让各类保护区。一个开采规划区块只设置一个开采主体。</w:t>
      </w:r>
    </w:p>
    <w:p w:rsidR="001E6CF4" w:rsidRDefault="001E6CF4" w:rsidP="00437FD6">
      <w:pPr>
        <w:pStyle w:val="a0"/>
        <w:spacing w:line="360" w:lineRule="auto"/>
        <w:ind w:firstLine="602"/>
        <w:rPr>
          <w:rFonts w:ascii="仿宋_GB2312" w:eastAsia="仿宋_GB2312" w:hAnsi="仿宋_GB2312" w:cs="仿宋_GB2312"/>
          <w:b/>
          <w:color w:val="000000" w:themeColor="text1"/>
          <w:szCs w:val="30"/>
        </w:rPr>
      </w:pPr>
    </w:p>
    <w:p w:rsidR="001E6CF4" w:rsidRDefault="005458C6" w:rsidP="00437FD6">
      <w:pPr>
        <w:ind w:firstLine="602"/>
        <w:rPr>
          <w:rFonts w:ascii="仿宋_GB2312" w:eastAsia="仿宋_GB2312" w:hAnsi="仿宋_GB2312" w:cs="仿宋_GB2312"/>
          <w:b/>
          <w:color w:val="000000" w:themeColor="text1"/>
        </w:rPr>
      </w:pPr>
      <w:bookmarkStart w:id="102" w:name="_Toc26443"/>
      <w:bookmarkStart w:id="103" w:name="_Toc25016"/>
      <w:bookmarkEnd w:id="100"/>
      <w:bookmarkEnd w:id="101"/>
      <w:r>
        <w:rPr>
          <w:rFonts w:ascii="仿宋_GB2312" w:eastAsia="仿宋_GB2312" w:hAnsi="仿宋_GB2312" w:cs="仿宋_GB2312" w:hint="eastAsia"/>
          <w:b/>
          <w:color w:val="000000" w:themeColor="text1"/>
        </w:rPr>
        <w:br w:type="page"/>
      </w:r>
    </w:p>
    <w:p w:rsidR="001E6CF4" w:rsidRDefault="001E6CF4">
      <w:pPr>
        <w:pStyle w:val="1"/>
        <w:spacing w:beforeAutospacing="0" w:afterAutospacing="0" w:line="590" w:lineRule="exact"/>
        <w:rPr>
          <w:rFonts w:ascii="方正小标宋简体" w:eastAsia="方正小标宋简体" w:hAnsi="方正小标宋简体" w:cs="方正小标宋简体" w:hint="default"/>
          <w:b w:val="0"/>
          <w:color w:val="000000" w:themeColor="text1"/>
          <w:sz w:val="44"/>
          <w:szCs w:val="44"/>
        </w:rPr>
      </w:pPr>
      <w:bookmarkStart w:id="104" w:name="_Toc31782"/>
    </w:p>
    <w:p w:rsidR="001E6CF4" w:rsidRDefault="005458C6">
      <w:pPr>
        <w:pStyle w:val="1"/>
        <w:spacing w:beforeAutospacing="0" w:afterAutospacing="0" w:line="590" w:lineRule="exact"/>
        <w:rPr>
          <w:rFonts w:ascii="方正小标宋简体" w:eastAsia="方正小标宋简体" w:hAnsi="方正小标宋简体" w:cs="方正小标宋简体" w:hint="default"/>
          <w:b w:val="0"/>
          <w:color w:val="000000" w:themeColor="text1"/>
          <w:sz w:val="44"/>
          <w:szCs w:val="44"/>
        </w:rPr>
      </w:pPr>
      <w:r>
        <w:rPr>
          <w:rFonts w:ascii="方正小标宋简体" w:eastAsia="方正小标宋简体" w:hAnsi="方正小标宋简体" w:cs="方正小标宋简体"/>
          <w:b w:val="0"/>
          <w:color w:val="000000" w:themeColor="text1"/>
          <w:sz w:val="44"/>
          <w:szCs w:val="44"/>
        </w:rPr>
        <w:t>第四章 矿产资源勘查开发利用与保护</w:t>
      </w:r>
      <w:bookmarkEnd w:id="104"/>
    </w:p>
    <w:p w:rsidR="001E6CF4" w:rsidRDefault="001E6CF4">
      <w:pPr>
        <w:ind w:firstLineChars="0" w:firstLine="0"/>
      </w:pPr>
    </w:p>
    <w:p w:rsidR="001E6CF4" w:rsidRDefault="005458C6">
      <w:pPr>
        <w:pStyle w:val="2"/>
        <w:keepNext w:val="0"/>
        <w:keepLines w:val="0"/>
        <w:overflowPunct w:val="0"/>
        <w:adjustRightInd/>
        <w:snapToGrid/>
        <w:spacing w:line="590" w:lineRule="exact"/>
        <w:ind w:firstLineChars="200" w:firstLine="643"/>
        <w:rPr>
          <w:rFonts w:ascii="黑体" w:eastAsia="黑体" w:hAnsi="黑体" w:cs="黑体"/>
          <w:bCs w:val="0"/>
          <w:color w:val="000000" w:themeColor="text1"/>
        </w:rPr>
      </w:pPr>
      <w:bookmarkStart w:id="105" w:name="_Toc10899"/>
      <w:r>
        <w:rPr>
          <w:rFonts w:ascii="黑体" w:eastAsia="黑体" w:hAnsi="黑体" w:cs="黑体" w:hint="eastAsia"/>
          <w:bCs w:val="0"/>
          <w:color w:val="000000" w:themeColor="text1"/>
        </w:rPr>
        <w:t>一、矿产资源调查评价与勘查</w:t>
      </w:r>
      <w:bookmarkEnd w:id="105"/>
    </w:p>
    <w:p w:rsidR="001E6CF4" w:rsidRDefault="005458C6" w:rsidP="00437FD6">
      <w:pPr>
        <w:overflowPunct w:val="0"/>
        <w:spacing w:line="59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查明鄂尔多斯南缘综合成矿地质背景和成矿条件，为新一轮战略性矿产找矿突破提供基础数据和支撑。落实《省规》延安延川-宝塔-富县地热资源调查评价项目、陕西省延川县沿黄生态城镇带地热资源调查评价，查明全市地热资源分布、地质条件、热储特征等基本情况，为进一步清洁能源科学开发利用提供依据。进一步开展子长矿区、韩城矿区（延安市部分）煤层气勘查，摸清子长矿区焦煤、无烟煤、肥煤等特殊和稀缺煤种分布区域与赋存特征，促进煤炭资源优质优用、梯级利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8"/>
        <w:gridCol w:w="3689"/>
        <w:gridCol w:w="2667"/>
        <w:gridCol w:w="1526"/>
      </w:tblGrid>
      <w:tr w:rsidR="001E6CF4">
        <w:trPr>
          <w:trHeight w:val="567"/>
        </w:trPr>
        <w:tc>
          <w:tcPr>
            <w:tcW w:w="5000" w:type="pct"/>
            <w:gridSpan w:val="4"/>
          </w:tcPr>
          <w:p w:rsidR="001E6CF4" w:rsidRDefault="005458C6">
            <w:pPr>
              <w:ind w:firstLineChars="0" w:firstLine="0"/>
              <w:jc w:val="cente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8"/>
                <w:szCs w:val="28"/>
              </w:rPr>
              <w:t>专栏6   矿产资源调查评价重点项目</w:t>
            </w:r>
          </w:p>
        </w:tc>
      </w:tr>
      <w:tr w:rsidR="001E6CF4">
        <w:tc>
          <w:tcPr>
            <w:tcW w:w="650" w:type="pct"/>
          </w:tcPr>
          <w:p w:rsidR="001E6CF4" w:rsidRDefault="005458C6">
            <w:pPr>
              <w:spacing w:line="360" w:lineRule="auto"/>
              <w:ind w:firstLineChars="0" w:firstLine="0"/>
              <w:jc w:val="center"/>
              <w:rPr>
                <w:rFonts w:ascii="黑体" w:eastAsia="黑体" w:hAnsi="黑体" w:cs="黑体"/>
                <w:b/>
                <w:color w:val="000000" w:themeColor="text1"/>
                <w:sz w:val="24"/>
                <w:szCs w:val="18"/>
              </w:rPr>
            </w:pPr>
            <w:r>
              <w:rPr>
                <w:rFonts w:ascii="黑体" w:eastAsia="黑体" w:hAnsi="黑体" w:cs="黑体" w:hint="eastAsia"/>
                <w:b/>
                <w:color w:val="000000" w:themeColor="text1"/>
                <w:sz w:val="24"/>
                <w:szCs w:val="18"/>
              </w:rPr>
              <w:t>序号</w:t>
            </w:r>
          </w:p>
        </w:tc>
        <w:tc>
          <w:tcPr>
            <w:tcW w:w="2036" w:type="pct"/>
            <w:vAlign w:val="center"/>
          </w:tcPr>
          <w:p w:rsidR="001E6CF4" w:rsidRDefault="005458C6">
            <w:pPr>
              <w:spacing w:line="360" w:lineRule="auto"/>
              <w:ind w:firstLineChars="0" w:firstLine="0"/>
              <w:jc w:val="center"/>
              <w:rPr>
                <w:rFonts w:ascii="黑体" w:eastAsia="黑体" w:hAnsi="黑体" w:cs="黑体"/>
                <w:b/>
                <w:color w:val="000000" w:themeColor="text1"/>
                <w:kern w:val="1"/>
                <w:sz w:val="24"/>
                <w:szCs w:val="18"/>
              </w:rPr>
            </w:pPr>
            <w:r>
              <w:rPr>
                <w:rFonts w:ascii="黑体" w:eastAsia="黑体" w:hAnsi="黑体" w:cs="黑体" w:hint="eastAsia"/>
                <w:b/>
                <w:color w:val="000000" w:themeColor="text1"/>
                <w:sz w:val="24"/>
                <w:szCs w:val="18"/>
              </w:rPr>
              <w:t>项目名称</w:t>
            </w:r>
          </w:p>
        </w:tc>
        <w:tc>
          <w:tcPr>
            <w:tcW w:w="1472" w:type="pct"/>
            <w:vAlign w:val="center"/>
          </w:tcPr>
          <w:p w:rsidR="001E6CF4" w:rsidRDefault="005458C6">
            <w:pPr>
              <w:spacing w:line="360" w:lineRule="auto"/>
              <w:ind w:firstLineChars="0" w:firstLine="0"/>
              <w:jc w:val="center"/>
              <w:rPr>
                <w:rFonts w:ascii="黑体" w:eastAsia="黑体" w:hAnsi="黑体" w:cs="黑体"/>
                <w:b/>
                <w:color w:val="000000" w:themeColor="text1"/>
                <w:kern w:val="1"/>
                <w:sz w:val="24"/>
                <w:szCs w:val="18"/>
              </w:rPr>
            </w:pPr>
            <w:r>
              <w:rPr>
                <w:rFonts w:ascii="黑体" w:eastAsia="黑体" w:hAnsi="黑体" w:cs="黑体" w:hint="eastAsia"/>
                <w:b/>
                <w:color w:val="000000" w:themeColor="text1"/>
                <w:sz w:val="24"/>
                <w:szCs w:val="18"/>
              </w:rPr>
              <w:t>预期成效</w:t>
            </w:r>
          </w:p>
        </w:tc>
        <w:tc>
          <w:tcPr>
            <w:tcW w:w="840" w:type="pct"/>
          </w:tcPr>
          <w:p w:rsidR="001E6CF4" w:rsidRDefault="005458C6">
            <w:pPr>
              <w:spacing w:line="360" w:lineRule="auto"/>
              <w:ind w:firstLineChars="0" w:firstLine="0"/>
              <w:jc w:val="center"/>
              <w:rPr>
                <w:rFonts w:ascii="黑体" w:eastAsia="黑体" w:hAnsi="黑体" w:cs="黑体"/>
                <w:b/>
                <w:color w:val="000000" w:themeColor="text1"/>
                <w:sz w:val="24"/>
                <w:szCs w:val="18"/>
              </w:rPr>
            </w:pPr>
            <w:r>
              <w:rPr>
                <w:rFonts w:ascii="黑体" w:eastAsia="黑体" w:hAnsi="黑体" w:cs="黑体" w:hint="eastAsia"/>
                <w:b/>
                <w:color w:val="000000" w:themeColor="text1"/>
                <w:sz w:val="24"/>
                <w:szCs w:val="18"/>
              </w:rPr>
              <w:t>进度安排</w:t>
            </w:r>
          </w:p>
        </w:tc>
      </w:tr>
      <w:tr w:rsidR="001E6CF4">
        <w:trPr>
          <w:trHeight w:val="1629"/>
        </w:trPr>
        <w:tc>
          <w:tcPr>
            <w:tcW w:w="650" w:type="pct"/>
            <w:vAlign w:val="center"/>
          </w:tcPr>
          <w:p w:rsidR="001E6CF4" w:rsidRDefault="005458C6">
            <w:pPr>
              <w:ind w:firstLineChars="0" w:firstLine="0"/>
              <w:jc w:val="cente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rPr>
              <w:t>1</w:t>
            </w:r>
          </w:p>
        </w:tc>
        <w:tc>
          <w:tcPr>
            <w:tcW w:w="2036" w:type="pct"/>
            <w:vAlign w:val="center"/>
          </w:tcPr>
          <w:p w:rsidR="001E6CF4" w:rsidRDefault="005458C6">
            <w:pPr>
              <w:spacing w:line="400" w:lineRule="exact"/>
              <w:ind w:firstLineChars="0" w:firstLine="0"/>
              <w:jc w:val="left"/>
              <w:rPr>
                <w:rFonts w:ascii="仿宋_GB2312" w:eastAsia="仿宋_GB2312" w:hAnsi="仿宋_GB2312" w:cs="仿宋_GB2312"/>
                <w:b/>
                <w:color w:val="000000" w:themeColor="text1"/>
                <w:kern w:val="1"/>
                <w:sz w:val="24"/>
              </w:rPr>
            </w:pPr>
            <w:r>
              <w:rPr>
                <w:rFonts w:ascii="仿宋_GB2312" w:eastAsia="仿宋_GB2312" w:hAnsi="仿宋_GB2312" w:cs="仿宋_GB2312" w:hint="eastAsia"/>
                <w:b/>
                <w:color w:val="000000" w:themeColor="text1"/>
                <w:sz w:val="24"/>
              </w:rPr>
              <w:t>陕西省延川县沿黄生态城镇带地热资源调查评价</w:t>
            </w:r>
          </w:p>
        </w:tc>
        <w:tc>
          <w:tcPr>
            <w:tcW w:w="1472" w:type="pct"/>
            <w:vAlign w:val="center"/>
          </w:tcPr>
          <w:p w:rsidR="001E6CF4" w:rsidRDefault="005458C6" w:rsidP="00437FD6">
            <w:pPr>
              <w:spacing w:line="300" w:lineRule="exact"/>
              <w:ind w:firstLine="482"/>
              <w:jc w:val="center"/>
              <w:rPr>
                <w:rFonts w:ascii="仿宋_GB2312" w:eastAsia="仿宋_GB2312" w:hAnsi="仿宋_GB2312" w:cs="仿宋_GB2312"/>
                <w:b/>
                <w:color w:val="000000" w:themeColor="text1"/>
                <w:kern w:val="1"/>
                <w:sz w:val="24"/>
              </w:rPr>
            </w:pPr>
            <w:r>
              <w:rPr>
                <w:rFonts w:ascii="仿宋_GB2312" w:eastAsia="仿宋_GB2312" w:hAnsi="仿宋_GB2312" w:cs="仿宋_GB2312" w:hint="eastAsia"/>
                <w:b/>
                <w:color w:val="000000" w:themeColor="text1"/>
                <w:sz w:val="24"/>
              </w:rPr>
              <w:t>提交地热井1眼，初步评价工作区地热资源，为延安地区（沿黄段）下一步地热勘查及开发利用提供示范。</w:t>
            </w:r>
          </w:p>
        </w:tc>
        <w:tc>
          <w:tcPr>
            <w:tcW w:w="840" w:type="pct"/>
            <w:vAlign w:val="center"/>
          </w:tcPr>
          <w:p w:rsidR="001E6CF4" w:rsidRDefault="005458C6">
            <w:pPr>
              <w:spacing w:line="400" w:lineRule="exact"/>
              <w:ind w:firstLineChars="0" w:firstLine="0"/>
              <w:jc w:val="center"/>
              <w:rPr>
                <w:rFonts w:ascii="仿宋_GB2312" w:eastAsia="仿宋_GB2312" w:hAnsi="仿宋_GB2312" w:cs="仿宋_GB2312"/>
                <w:b/>
                <w:color w:val="000000" w:themeColor="text1"/>
                <w:kern w:val="1"/>
                <w:sz w:val="24"/>
              </w:rPr>
            </w:pPr>
            <w:r>
              <w:rPr>
                <w:rFonts w:ascii="仿宋_GB2312" w:eastAsia="仿宋_GB2312" w:hAnsi="仿宋_GB2312" w:cs="仿宋_GB2312" w:hint="eastAsia"/>
                <w:b/>
                <w:color w:val="000000" w:themeColor="text1"/>
                <w:sz w:val="24"/>
              </w:rPr>
              <w:t>2022年—2023年</w:t>
            </w:r>
          </w:p>
        </w:tc>
      </w:tr>
    </w:tbl>
    <w:p w:rsidR="001E6CF4" w:rsidRDefault="005458C6">
      <w:pPr>
        <w:pStyle w:val="2"/>
        <w:keepNext w:val="0"/>
        <w:keepLines w:val="0"/>
        <w:overflowPunct w:val="0"/>
        <w:adjustRightInd/>
        <w:snapToGrid/>
        <w:spacing w:line="564" w:lineRule="exact"/>
        <w:ind w:firstLineChars="200" w:firstLine="643"/>
        <w:rPr>
          <w:rFonts w:ascii="黑体" w:eastAsia="黑体" w:hAnsi="黑体" w:cs="黑体"/>
          <w:bCs w:val="0"/>
          <w:color w:val="000000" w:themeColor="text1"/>
        </w:rPr>
      </w:pPr>
      <w:bookmarkStart w:id="106" w:name="_Toc30994"/>
      <w:r>
        <w:rPr>
          <w:rFonts w:ascii="黑体" w:eastAsia="黑体" w:hAnsi="黑体" w:cs="黑体" w:hint="eastAsia"/>
          <w:bCs w:val="0"/>
          <w:color w:val="000000" w:themeColor="text1"/>
        </w:rPr>
        <w:t>二、合理调控开发利用强度</w:t>
      </w:r>
      <w:bookmarkEnd w:id="102"/>
      <w:bookmarkEnd w:id="103"/>
      <w:bookmarkEnd w:id="106"/>
    </w:p>
    <w:p w:rsidR="001E6CF4" w:rsidRDefault="005458C6" w:rsidP="00437FD6">
      <w:pPr>
        <w:overflowPunct w:val="0"/>
        <w:spacing w:line="564"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围绕煤炭分质利用和煤基精细化工两大主攻方向，加快延安综合能源基地建设，推动煤化工向下游高附加值产业链延伸。</w:t>
      </w:r>
    </w:p>
    <w:p w:rsidR="001E6CF4" w:rsidRDefault="005458C6" w:rsidP="00437FD6">
      <w:pPr>
        <w:overflowPunct w:val="0"/>
        <w:spacing w:line="564"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持续优化煤炭产业结构，同步推进落后产能处置和优质产能建设，稳步推进转化项目配套和资源接续，对煤炭、岩盐实行总</w:t>
      </w:r>
      <w:r>
        <w:rPr>
          <w:rFonts w:ascii="仿宋_GB2312" w:eastAsia="仿宋_GB2312" w:hAnsi="仿宋_GB2312" w:cs="仿宋_GB2312" w:hint="eastAsia"/>
          <w:b/>
          <w:color w:val="000000" w:themeColor="text1"/>
          <w:sz w:val="32"/>
          <w:szCs w:val="32"/>
        </w:rPr>
        <w:lastRenderedPageBreak/>
        <w:t>量控制。为了切实保护生态环境，矿产开采总量要与社会经济发展水平、市场需求相适应，同时符合耕地保护和生态环境保护的有关要求，推进黄河流域生态保护和高质量发展，进一步打造千万吨级现代化矿井集群，使大型煤炭基地建设绿色化、智能化、现代化。</w:t>
      </w:r>
    </w:p>
    <w:p w:rsidR="001E6CF4" w:rsidRDefault="005458C6" w:rsidP="00437FD6">
      <w:pPr>
        <w:overflowPunct w:val="0"/>
        <w:spacing w:line="564"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在落实省规对煤炭总量控制的基础上，支持规模化开发，规划期内不再新建年产120万吨以下煤矿。到2025年，全市煤炭矿山数量控制在60处左右，煤炭产量到达8000万吨。</w:t>
      </w:r>
    </w:p>
    <w:p w:rsidR="001E6CF4" w:rsidRDefault="005458C6" w:rsidP="00437FD6">
      <w:pPr>
        <w:overflowPunct w:val="0"/>
        <w:spacing w:line="564" w:lineRule="exact"/>
        <w:ind w:firstLine="643"/>
        <w:rPr>
          <w:rFonts w:ascii="仿宋_GB2312" w:eastAsia="仿宋_GB2312" w:hAnsi="仿宋_GB2312" w:cs="仿宋_GB2312"/>
          <w:b/>
          <w:color w:val="000000" w:themeColor="text1"/>
          <w:sz w:val="32"/>
          <w:szCs w:val="32"/>
          <w:lang w:val="zh-CN"/>
        </w:rPr>
      </w:pPr>
      <w:r>
        <w:rPr>
          <w:rFonts w:ascii="仿宋_GB2312" w:eastAsia="仿宋_GB2312" w:hAnsi="仿宋_GB2312" w:cs="仿宋_GB2312" w:hint="eastAsia"/>
          <w:b/>
          <w:color w:val="000000" w:themeColor="text1"/>
          <w:sz w:val="32"/>
          <w:szCs w:val="32"/>
        </w:rPr>
        <w:t>提高砂石土矿资源对延安市社会经济可持续发展的保障能力。规划期内，新建采石矿山生产规模不得低于15万吨/年，占用资源量可供开采年限不超过30年，原依法设立的年产10万吨以下采石场要逐步关停。到2025年，全市13个县（市、区）加1个市辖区，每个区县保留3-5个露天采石矿山，一个乡镇原则上保留1-2个年生产能力2000万块标准砖以上的多孔（空心）粘土砖厂。</w:t>
      </w:r>
    </w:p>
    <w:p w:rsidR="001E6CF4" w:rsidRDefault="005458C6">
      <w:pPr>
        <w:pStyle w:val="2"/>
        <w:keepNext w:val="0"/>
        <w:keepLines w:val="0"/>
        <w:overflowPunct w:val="0"/>
        <w:adjustRightInd/>
        <w:snapToGrid/>
        <w:spacing w:line="564" w:lineRule="exact"/>
        <w:ind w:firstLineChars="200" w:firstLine="643"/>
        <w:rPr>
          <w:rFonts w:ascii="黑体" w:eastAsia="黑体" w:hAnsi="黑体" w:cs="黑体"/>
          <w:bCs w:val="0"/>
          <w:color w:val="000000" w:themeColor="text1"/>
        </w:rPr>
      </w:pPr>
      <w:bookmarkStart w:id="107" w:name="_Toc31182"/>
      <w:bookmarkStart w:id="108" w:name="_Toc7849"/>
      <w:bookmarkStart w:id="109" w:name="_Toc20273"/>
      <w:r>
        <w:rPr>
          <w:rFonts w:ascii="黑体" w:eastAsia="黑体" w:hAnsi="黑体" w:cs="黑体" w:hint="eastAsia"/>
          <w:bCs w:val="0"/>
          <w:color w:val="000000" w:themeColor="text1"/>
        </w:rPr>
        <w:t>三、优化开发利用</w:t>
      </w:r>
      <w:bookmarkEnd w:id="107"/>
      <w:bookmarkEnd w:id="108"/>
      <w:r>
        <w:rPr>
          <w:rFonts w:ascii="黑体" w:eastAsia="黑体" w:hAnsi="黑体" w:cs="黑体" w:hint="eastAsia"/>
          <w:bCs w:val="0"/>
          <w:color w:val="000000" w:themeColor="text1"/>
        </w:rPr>
        <w:t>结构</w:t>
      </w:r>
      <w:bookmarkEnd w:id="109"/>
    </w:p>
    <w:p w:rsidR="001E6CF4" w:rsidRPr="005A58A9" w:rsidRDefault="005458C6" w:rsidP="00437FD6">
      <w:pPr>
        <w:pStyle w:val="3"/>
        <w:keepNext w:val="0"/>
        <w:keepLines w:val="0"/>
        <w:overflowPunct w:val="0"/>
        <w:adjustRightInd/>
        <w:snapToGrid/>
        <w:spacing w:line="564" w:lineRule="exact"/>
        <w:ind w:firstLine="643"/>
        <w:rPr>
          <w:rFonts w:ascii="楷体_GB2312" w:eastAsia="楷体_GB2312" w:hAnsi="仿宋_GB2312" w:cs="仿宋_GB2312"/>
          <w:b/>
          <w:bCs w:val="0"/>
          <w:color w:val="000000" w:themeColor="text1"/>
          <w:sz w:val="32"/>
        </w:rPr>
      </w:pPr>
      <w:r w:rsidRPr="005A58A9">
        <w:rPr>
          <w:rFonts w:ascii="楷体_GB2312" w:eastAsia="楷体_GB2312" w:hAnsi="仿宋_GB2312" w:cs="仿宋_GB2312" w:hint="eastAsia"/>
          <w:b/>
          <w:bCs w:val="0"/>
          <w:color w:val="000000" w:themeColor="text1"/>
          <w:sz w:val="32"/>
        </w:rPr>
        <w:t>（一）确定矿山最低开采规模</w:t>
      </w:r>
    </w:p>
    <w:p w:rsidR="001E6CF4" w:rsidRDefault="005458C6" w:rsidP="00437FD6">
      <w:pPr>
        <w:overflowPunct w:val="0"/>
        <w:spacing w:line="564"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坚持矿山开采规模与矿山资源量规模相匹配的原则，遏制“大矿小开，一矿多开”的现象；提高大中型矿山企业的产能比例，严格执行矿山最低开采规模和最低服务年限及准入条件；结合国家产业政策，延安市矿山开采现状，制定新建矿山最低开采规模标准。矿产资源开发中应严格执行本规划新立采矿权最低开采规模的要求。</w:t>
      </w:r>
    </w:p>
    <w:p w:rsidR="001E6CF4" w:rsidRPr="005A58A9" w:rsidRDefault="005458C6" w:rsidP="00437FD6">
      <w:pPr>
        <w:pStyle w:val="3"/>
        <w:keepNext w:val="0"/>
        <w:keepLines w:val="0"/>
        <w:overflowPunct w:val="0"/>
        <w:adjustRightInd/>
        <w:snapToGrid/>
        <w:spacing w:line="564" w:lineRule="exact"/>
        <w:ind w:firstLine="643"/>
        <w:rPr>
          <w:rFonts w:ascii="楷体_GB2312" w:eastAsia="楷体_GB2312" w:hAnsi="仿宋_GB2312" w:cs="仿宋_GB2312"/>
          <w:b/>
          <w:bCs w:val="0"/>
          <w:color w:val="000000" w:themeColor="text1"/>
          <w:sz w:val="32"/>
        </w:rPr>
      </w:pPr>
      <w:bookmarkStart w:id="110" w:name="_Toc6289"/>
      <w:bookmarkStart w:id="111" w:name="_Toc32750"/>
      <w:bookmarkStart w:id="112" w:name="_Toc7182"/>
      <w:r w:rsidRPr="005A58A9">
        <w:rPr>
          <w:rFonts w:ascii="楷体_GB2312" w:eastAsia="楷体_GB2312" w:hAnsi="仿宋_GB2312" w:cs="仿宋_GB2312" w:hint="eastAsia"/>
          <w:b/>
          <w:bCs w:val="0"/>
          <w:color w:val="000000" w:themeColor="text1"/>
          <w:sz w:val="32"/>
        </w:rPr>
        <w:lastRenderedPageBreak/>
        <w:t>（二）调整优化矿山规模结构</w:t>
      </w:r>
    </w:p>
    <w:p w:rsidR="001E6CF4" w:rsidRDefault="005458C6" w:rsidP="00437FD6">
      <w:pPr>
        <w:overflowPunct w:val="0"/>
        <w:spacing w:line="564"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按照集约高效的原则鼓励引导矿山规模化开采，鼓励岩盐、陶瓷土的开发利用，进一步优化大、中型矿山比例结构，合理控制矿山数量，不再建设技术落后、资源浪费严重、矿区环境问题突出、安全无保障的矿山。</w:t>
      </w:r>
    </w:p>
    <w:p w:rsidR="001E6CF4" w:rsidRDefault="005458C6" w:rsidP="00437FD6">
      <w:pPr>
        <w:overflowPunct w:val="0"/>
        <w:spacing w:line="564"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到2025年，全市矿山总量控制在230个以内，大中型矿山占比达到30%，小型矿山减少10%。逐步形成以大中型矿山为主体，大、中、小型矿山协调发展的矿产开发新格局。</w:t>
      </w:r>
    </w:p>
    <w:tbl>
      <w:tblPr>
        <w:tblpPr w:leftFromText="180" w:rightFromText="180" w:vertAnchor="text" w:horzAnchor="page" w:tblpXSpec="center" w:tblpY="321"/>
        <w:tblOverlap w:val="never"/>
        <w:tblW w:w="4743" w:type="pct"/>
        <w:jc w:val="center"/>
        <w:tblCellMar>
          <w:left w:w="0" w:type="dxa"/>
          <w:right w:w="0" w:type="dxa"/>
        </w:tblCellMar>
        <w:tblLook w:val="04A0"/>
      </w:tblPr>
      <w:tblGrid>
        <w:gridCol w:w="2050"/>
        <w:gridCol w:w="1597"/>
        <w:gridCol w:w="1292"/>
        <w:gridCol w:w="1400"/>
        <w:gridCol w:w="2073"/>
      </w:tblGrid>
      <w:tr w:rsidR="001E6CF4">
        <w:trPr>
          <w:trHeight w:val="567"/>
          <w:jc w:val="center"/>
        </w:trPr>
        <w:tc>
          <w:tcPr>
            <w:tcW w:w="5000" w:type="pct"/>
            <w:gridSpan w:val="5"/>
            <w:tcBorders>
              <w:top w:val="single" w:sz="8" w:space="0" w:color="000000"/>
              <w:left w:val="single" w:sz="8" w:space="0" w:color="000000"/>
              <w:bottom w:val="nil"/>
              <w:right w:val="single" w:sz="8" w:space="0" w:color="000000"/>
            </w:tcBorders>
            <w:shd w:val="clear" w:color="auto" w:fill="auto"/>
            <w:tcMar>
              <w:top w:w="12" w:type="dxa"/>
              <w:left w:w="12" w:type="dxa"/>
              <w:right w:w="12" w:type="dxa"/>
            </w:tcMar>
            <w:vAlign w:val="center"/>
          </w:tcPr>
          <w:p w:rsidR="001E6CF4" w:rsidRDefault="005458C6">
            <w:pPr>
              <w:widowControl/>
              <w:spacing w:line="300" w:lineRule="exact"/>
              <w:ind w:firstLineChars="0" w:firstLine="0"/>
              <w:jc w:val="center"/>
              <w:textAlignment w:val="center"/>
              <w:rPr>
                <w:rFonts w:ascii="黑体" w:eastAsia="黑体" w:cs="宋体"/>
                <w:b/>
                <w:color w:val="000000" w:themeColor="text1"/>
                <w:sz w:val="28"/>
                <w:szCs w:val="20"/>
              </w:rPr>
            </w:pPr>
            <w:bookmarkStart w:id="113" w:name="_Toc80535820"/>
            <w:bookmarkEnd w:id="110"/>
            <w:r>
              <w:rPr>
                <w:rFonts w:ascii="仿宋_GB2312" w:eastAsia="仿宋_GB2312" w:hAnsi="仿宋_GB2312" w:cs="仿宋_GB2312" w:hint="eastAsia"/>
                <w:b/>
                <w:color w:val="000000" w:themeColor="text1"/>
                <w:sz w:val="28"/>
                <w:szCs w:val="28"/>
              </w:rPr>
              <w:t>专栏7   矿山最低生产规模表</w:t>
            </w:r>
          </w:p>
        </w:tc>
      </w:tr>
      <w:tr w:rsidR="001E6CF4">
        <w:trPr>
          <w:trHeight w:val="312"/>
          <w:jc w:val="center"/>
        </w:trPr>
        <w:tc>
          <w:tcPr>
            <w:tcW w:w="1219"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E6CF4" w:rsidRDefault="005458C6">
            <w:pPr>
              <w:widowControl/>
              <w:spacing w:line="300" w:lineRule="exact"/>
              <w:ind w:firstLineChars="0" w:firstLine="0"/>
              <w:jc w:val="center"/>
              <w:textAlignment w:val="center"/>
              <w:rPr>
                <w:rFonts w:ascii="黑体" w:eastAsia="黑体" w:hAnsi="黑体" w:cs="黑体"/>
                <w:b/>
                <w:color w:val="000000" w:themeColor="text1"/>
                <w:kern w:val="0"/>
                <w:sz w:val="24"/>
              </w:rPr>
            </w:pPr>
            <w:r>
              <w:rPr>
                <w:rFonts w:ascii="黑体" w:eastAsia="黑体" w:hAnsi="黑体" w:cs="黑体" w:hint="eastAsia"/>
                <w:b/>
                <w:color w:val="000000" w:themeColor="text1"/>
                <w:kern w:val="0"/>
                <w:sz w:val="24"/>
              </w:rPr>
              <w:t>矿种名称</w:t>
            </w:r>
          </w:p>
        </w:tc>
        <w:tc>
          <w:tcPr>
            <w:tcW w:w="949" w:type="pct"/>
            <w:vMerge w:val="restart"/>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1E6CF4" w:rsidRDefault="005458C6">
            <w:pPr>
              <w:widowControl/>
              <w:spacing w:line="300" w:lineRule="exact"/>
              <w:ind w:firstLineChars="0" w:firstLine="0"/>
              <w:jc w:val="center"/>
              <w:textAlignment w:val="center"/>
              <w:rPr>
                <w:rFonts w:ascii="黑体" w:eastAsia="黑体" w:hAnsi="黑体" w:cs="黑体"/>
                <w:b/>
                <w:color w:val="000000" w:themeColor="text1"/>
                <w:kern w:val="0"/>
                <w:sz w:val="24"/>
              </w:rPr>
            </w:pPr>
            <w:r>
              <w:rPr>
                <w:rFonts w:ascii="黑体" w:eastAsia="黑体" w:hAnsi="黑体" w:cs="黑体" w:hint="eastAsia"/>
                <w:b/>
                <w:color w:val="000000" w:themeColor="text1"/>
                <w:kern w:val="0"/>
                <w:sz w:val="24"/>
              </w:rPr>
              <w:t>单位/年</w:t>
            </w:r>
          </w:p>
        </w:tc>
        <w:tc>
          <w:tcPr>
            <w:tcW w:w="768"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E6CF4" w:rsidRDefault="005458C6">
            <w:pPr>
              <w:widowControl/>
              <w:spacing w:line="300" w:lineRule="exact"/>
              <w:ind w:firstLineChars="0" w:firstLine="0"/>
              <w:jc w:val="center"/>
              <w:textAlignment w:val="center"/>
              <w:rPr>
                <w:rFonts w:ascii="黑体" w:eastAsia="黑体" w:hAnsi="黑体" w:cs="黑体"/>
                <w:b/>
                <w:color w:val="000000" w:themeColor="text1"/>
                <w:kern w:val="0"/>
                <w:sz w:val="24"/>
              </w:rPr>
            </w:pPr>
            <w:r>
              <w:rPr>
                <w:rFonts w:ascii="黑体" w:eastAsia="黑体" w:hAnsi="黑体" w:cs="黑体" w:hint="eastAsia"/>
                <w:b/>
                <w:color w:val="000000" w:themeColor="text1"/>
                <w:kern w:val="0"/>
                <w:sz w:val="24"/>
              </w:rPr>
              <w:t>新建矿山</w:t>
            </w:r>
          </w:p>
        </w:tc>
        <w:tc>
          <w:tcPr>
            <w:tcW w:w="832"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E6CF4" w:rsidRDefault="005458C6">
            <w:pPr>
              <w:widowControl/>
              <w:spacing w:line="300" w:lineRule="exact"/>
              <w:ind w:firstLineChars="0" w:firstLine="0"/>
              <w:jc w:val="center"/>
              <w:textAlignment w:val="center"/>
              <w:rPr>
                <w:rFonts w:ascii="黑体" w:eastAsia="黑体" w:hAnsi="黑体" w:cs="黑体"/>
                <w:b/>
                <w:color w:val="000000" w:themeColor="text1"/>
                <w:kern w:val="0"/>
                <w:sz w:val="24"/>
              </w:rPr>
            </w:pPr>
            <w:r>
              <w:rPr>
                <w:rFonts w:ascii="黑体" w:eastAsia="黑体" w:hAnsi="黑体" w:cs="黑体" w:hint="eastAsia"/>
                <w:b/>
                <w:color w:val="000000" w:themeColor="text1"/>
                <w:kern w:val="0"/>
                <w:sz w:val="24"/>
              </w:rPr>
              <w:t>保留或技改矿山</w:t>
            </w:r>
          </w:p>
        </w:tc>
        <w:tc>
          <w:tcPr>
            <w:tcW w:w="1230" w:type="pct"/>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rsidR="001E6CF4" w:rsidRDefault="005458C6">
            <w:pPr>
              <w:widowControl/>
              <w:spacing w:line="300" w:lineRule="exact"/>
              <w:ind w:firstLineChars="0" w:firstLine="0"/>
              <w:jc w:val="center"/>
              <w:textAlignment w:val="center"/>
              <w:rPr>
                <w:rFonts w:ascii="黑体" w:eastAsia="黑体" w:hAnsi="黑体" w:cs="黑体"/>
                <w:b/>
                <w:color w:val="000000" w:themeColor="text1"/>
                <w:kern w:val="0"/>
                <w:sz w:val="24"/>
              </w:rPr>
            </w:pPr>
            <w:r>
              <w:rPr>
                <w:rFonts w:ascii="黑体" w:eastAsia="黑体" w:hAnsi="黑体" w:cs="黑体" w:hint="eastAsia"/>
                <w:b/>
                <w:color w:val="000000" w:themeColor="text1"/>
                <w:kern w:val="0"/>
                <w:sz w:val="24"/>
              </w:rPr>
              <w:t>备注</w:t>
            </w:r>
          </w:p>
        </w:tc>
      </w:tr>
      <w:tr w:rsidR="001E6CF4">
        <w:trPr>
          <w:trHeight w:val="560"/>
          <w:jc w:val="center"/>
        </w:trPr>
        <w:tc>
          <w:tcPr>
            <w:tcW w:w="1219"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E6CF4" w:rsidRDefault="001E6CF4">
            <w:pPr>
              <w:widowControl/>
              <w:ind w:firstLineChars="0" w:firstLine="0"/>
              <w:jc w:val="center"/>
              <w:rPr>
                <w:rFonts w:ascii="黑体" w:eastAsia="黑体" w:hAnsi="黑体" w:cs="黑体"/>
                <w:b/>
                <w:color w:val="000000" w:themeColor="text1"/>
                <w:sz w:val="24"/>
              </w:rPr>
            </w:pPr>
          </w:p>
        </w:tc>
        <w:tc>
          <w:tcPr>
            <w:tcW w:w="949" w:type="pct"/>
            <w:vMerge/>
            <w:tcBorders>
              <w:top w:val="single" w:sz="4" w:space="0" w:color="000000"/>
              <w:left w:val="single" w:sz="4" w:space="0" w:color="000000"/>
              <w:bottom w:val="single" w:sz="4" w:space="0" w:color="000000"/>
              <w:right w:val="single" w:sz="4" w:space="0" w:color="auto"/>
            </w:tcBorders>
            <w:shd w:val="clear" w:color="auto" w:fill="auto"/>
            <w:tcMar>
              <w:top w:w="12" w:type="dxa"/>
              <w:left w:w="12" w:type="dxa"/>
              <w:right w:w="12" w:type="dxa"/>
            </w:tcMar>
            <w:vAlign w:val="center"/>
          </w:tcPr>
          <w:p w:rsidR="001E6CF4" w:rsidRDefault="001E6CF4">
            <w:pPr>
              <w:widowControl/>
              <w:ind w:firstLineChars="0" w:firstLine="0"/>
              <w:jc w:val="center"/>
              <w:rPr>
                <w:rFonts w:ascii="黑体" w:eastAsia="黑体" w:hAnsi="黑体" w:cs="黑体"/>
                <w:b/>
                <w:color w:val="000000" w:themeColor="text1"/>
                <w:sz w:val="24"/>
              </w:rPr>
            </w:pPr>
          </w:p>
        </w:tc>
        <w:tc>
          <w:tcPr>
            <w:tcW w:w="768"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E6CF4" w:rsidRDefault="001E6CF4">
            <w:pPr>
              <w:widowControl/>
              <w:ind w:firstLineChars="0" w:firstLine="0"/>
              <w:jc w:val="center"/>
              <w:rPr>
                <w:rFonts w:ascii="黑体" w:eastAsia="黑体" w:hAnsi="黑体" w:cs="黑体"/>
                <w:b/>
                <w:color w:val="000000" w:themeColor="text1"/>
                <w:sz w:val="24"/>
              </w:rPr>
            </w:pPr>
          </w:p>
        </w:tc>
        <w:tc>
          <w:tcPr>
            <w:tcW w:w="832"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E6CF4" w:rsidRDefault="001E6CF4">
            <w:pPr>
              <w:widowControl/>
              <w:ind w:firstLineChars="0" w:firstLine="0"/>
              <w:jc w:val="center"/>
              <w:rPr>
                <w:rFonts w:ascii="黑体" w:eastAsia="黑体" w:hAnsi="黑体" w:cs="黑体"/>
                <w:b/>
                <w:color w:val="000000" w:themeColor="text1"/>
                <w:sz w:val="24"/>
              </w:rPr>
            </w:pPr>
          </w:p>
        </w:tc>
        <w:tc>
          <w:tcPr>
            <w:tcW w:w="1230" w:type="pct"/>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E6CF4" w:rsidRDefault="001E6CF4">
            <w:pPr>
              <w:widowControl/>
              <w:ind w:firstLineChars="0" w:firstLine="0"/>
              <w:jc w:val="center"/>
              <w:rPr>
                <w:rFonts w:ascii="黑体" w:eastAsia="黑体" w:hAnsi="黑体" w:cs="黑体"/>
                <w:b/>
                <w:color w:val="000000" w:themeColor="text1"/>
                <w:sz w:val="24"/>
              </w:rPr>
            </w:pPr>
          </w:p>
        </w:tc>
      </w:tr>
      <w:tr w:rsidR="001E6CF4">
        <w:trPr>
          <w:trHeight w:val="472"/>
          <w:jc w:val="center"/>
        </w:trPr>
        <w:tc>
          <w:tcPr>
            <w:tcW w:w="121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1E6CF4" w:rsidRDefault="005458C6">
            <w:pPr>
              <w:widowControl/>
              <w:spacing w:line="300" w:lineRule="exact"/>
              <w:ind w:firstLineChars="0" w:firstLine="0"/>
              <w:jc w:val="center"/>
              <w:textAlignment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rPr>
              <w:t>煤（地下开采/露天开采）</w:t>
            </w:r>
          </w:p>
        </w:tc>
        <w:tc>
          <w:tcPr>
            <w:tcW w:w="9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1E6CF4" w:rsidRDefault="005458C6">
            <w:pPr>
              <w:widowControl/>
              <w:spacing w:line="300" w:lineRule="exact"/>
              <w:ind w:firstLineChars="0" w:firstLine="0"/>
              <w:jc w:val="center"/>
              <w:textAlignment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rPr>
              <w:t>原煤 万吨</w:t>
            </w:r>
          </w:p>
        </w:tc>
        <w:tc>
          <w:tcPr>
            <w:tcW w:w="76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1E6CF4" w:rsidRDefault="005458C6">
            <w:pPr>
              <w:widowControl/>
              <w:spacing w:line="300" w:lineRule="exact"/>
              <w:ind w:firstLineChars="0" w:firstLine="0"/>
              <w:jc w:val="center"/>
              <w:textAlignment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rPr>
              <w:t>120/400</w:t>
            </w:r>
          </w:p>
        </w:tc>
        <w:tc>
          <w:tcPr>
            <w:tcW w:w="83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1E6CF4" w:rsidRDefault="005458C6">
            <w:pPr>
              <w:widowControl/>
              <w:spacing w:line="300" w:lineRule="exact"/>
              <w:ind w:firstLineChars="0" w:firstLine="0"/>
              <w:jc w:val="center"/>
              <w:textAlignment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rPr>
              <w:t>按照煤炭行业政策执行</w:t>
            </w:r>
          </w:p>
        </w:tc>
        <w:tc>
          <w:tcPr>
            <w:tcW w:w="123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1E6CF4" w:rsidRDefault="001E6CF4">
            <w:pPr>
              <w:widowControl/>
              <w:spacing w:line="300" w:lineRule="exact"/>
              <w:ind w:firstLineChars="0" w:firstLine="0"/>
              <w:jc w:val="center"/>
              <w:textAlignment w:val="center"/>
              <w:rPr>
                <w:rFonts w:ascii="仿宋_GB2312" w:eastAsia="仿宋_GB2312" w:hAnsi="仿宋_GB2312" w:cs="仿宋_GB2312"/>
                <w:b/>
                <w:color w:val="000000" w:themeColor="text1"/>
                <w:kern w:val="0"/>
                <w:sz w:val="24"/>
              </w:rPr>
            </w:pPr>
          </w:p>
        </w:tc>
      </w:tr>
      <w:tr w:rsidR="001E6CF4">
        <w:trPr>
          <w:trHeight w:val="455"/>
          <w:jc w:val="center"/>
        </w:trPr>
        <w:tc>
          <w:tcPr>
            <w:tcW w:w="121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1E6CF4" w:rsidRDefault="005458C6">
            <w:pPr>
              <w:widowControl/>
              <w:spacing w:line="300" w:lineRule="exact"/>
              <w:ind w:firstLineChars="0" w:firstLine="0"/>
              <w:jc w:val="center"/>
              <w:textAlignment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rPr>
              <w:t>岩盐</w:t>
            </w:r>
          </w:p>
        </w:tc>
        <w:tc>
          <w:tcPr>
            <w:tcW w:w="9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1E6CF4" w:rsidRDefault="005458C6">
            <w:pPr>
              <w:widowControl/>
              <w:spacing w:line="300" w:lineRule="exact"/>
              <w:ind w:firstLineChars="0" w:firstLine="0"/>
              <w:jc w:val="center"/>
              <w:textAlignment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rPr>
              <w:t>矿石 万吨</w:t>
            </w:r>
          </w:p>
        </w:tc>
        <w:tc>
          <w:tcPr>
            <w:tcW w:w="768"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right w:w="0" w:type="dxa"/>
            </w:tcMar>
            <w:vAlign w:val="center"/>
          </w:tcPr>
          <w:p w:rsidR="001E6CF4" w:rsidRDefault="005458C6">
            <w:pPr>
              <w:widowControl/>
              <w:spacing w:line="300" w:lineRule="exact"/>
              <w:ind w:firstLineChars="0" w:firstLine="0"/>
              <w:jc w:val="center"/>
              <w:textAlignment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rPr>
              <w:t>60</w:t>
            </w:r>
          </w:p>
        </w:tc>
        <w:tc>
          <w:tcPr>
            <w:tcW w:w="83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right w:w="0" w:type="dxa"/>
            </w:tcMar>
            <w:vAlign w:val="center"/>
          </w:tcPr>
          <w:p w:rsidR="001E6CF4" w:rsidRDefault="001E6CF4">
            <w:pPr>
              <w:widowControl/>
              <w:spacing w:line="300" w:lineRule="exact"/>
              <w:ind w:firstLineChars="0" w:firstLine="0"/>
              <w:jc w:val="center"/>
              <w:textAlignment w:val="center"/>
              <w:rPr>
                <w:rFonts w:ascii="仿宋_GB2312" w:eastAsia="仿宋_GB2312" w:hAnsi="仿宋_GB2312" w:cs="仿宋_GB2312"/>
                <w:b/>
                <w:color w:val="000000" w:themeColor="text1"/>
                <w:kern w:val="0"/>
                <w:sz w:val="24"/>
              </w:rPr>
            </w:pPr>
          </w:p>
        </w:tc>
        <w:tc>
          <w:tcPr>
            <w:tcW w:w="1230"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right w:w="0" w:type="dxa"/>
            </w:tcMar>
            <w:vAlign w:val="center"/>
          </w:tcPr>
          <w:p w:rsidR="001E6CF4" w:rsidRDefault="001E6CF4">
            <w:pPr>
              <w:widowControl/>
              <w:spacing w:line="300" w:lineRule="exact"/>
              <w:ind w:firstLineChars="0" w:firstLine="0"/>
              <w:jc w:val="center"/>
              <w:textAlignment w:val="center"/>
              <w:rPr>
                <w:rFonts w:ascii="仿宋_GB2312" w:eastAsia="仿宋_GB2312" w:hAnsi="仿宋_GB2312" w:cs="仿宋_GB2312"/>
                <w:b/>
                <w:color w:val="000000" w:themeColor="text1"/>
                <w:kern w:val="0"/>
                <w:sz w:val="24"/>
              </w:rPr>
            </w:pPr>
          </w:p>
        </w:tc>
      </w:tr>
      <w:tr w:rsidR="001E6CF4">
        <w:trPr>
          <w:trHeight w:val="455"/>
          <w:jc w:val="center"/>
        </w:trPr>
        <w:tc>
          <w:tcPr>
            <w:tcW w:w="121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1E6CF4" w:rsidRDefault="005458C6">
            <w:pPr>
              <w:widowControl/>
              <w:spacing w:line="300" w:lineRule="exact"/>
              <w:ind w:firstLineChars="0" w:firstLine="0"/>
              <w:jc w:val="center"/>
              <w:textAlignment w:val="center"/>
              <w:rPr>
                <w:rFonts w:ascii="仿宋" w:eastAsia="仿宋_GB2312" w:hAnsi="仿宋" w:cs="仿宋"/>
                <w:b/>
                <w:color w:val="000000" w:themeColor="text1"/>
                <w:kern w:val="0"/>
                <w:sz w:val="24"/>
              </w:rPr>
            </w:pPr>
            <w:r>
              <w:rPr>
                <w:rFonts w:ascii="仿宋_GB2312" w:eastAsia="仿宋_GB2312" w:hAnsi="仿宋_GB2312" w:cs="仿宋_GB2312" w:hint="eastAsia"/>
                <w:b/>
                <w:color w:val="000000" w:themeColor="text1"/>
                <w:kern w:val="0"/>
                <w:sz w:val="24"/>
              </w:rPr>
              <w:t>陶粒页岩</w:t>
            </w:r>
          </w:p>
        </w:tc>
        <w:tc>
          <w:tcPr>
            <w:tcW w:w="9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1E6CF4" w:rsidRDefault="005458C6">
            <w:pPr>
              <w:widowControl/>
              <w:spacing w:line="300" w:lineRule="exact"/>
              <w:ind w:firstLineChars="0" w:firstLine="0"/>
              <w:jc w:val="center"/>
              <w:textAlignment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rPr>
              <w:t>矿石 万吨</w:t>
            </w:r>
          </w:p>
        </w:tc>
        <w:tc>
          <w:tcPr>
            <w:tcW w:w="768"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right w:w="0" w:type="dxa"/>
            </w:tcMar>
            <w:vAlign w:val="center"/>
          </w:tcPr>
          <w:p w:rsidR="001E6CF4" w:rsidRDefault="005458C6">
            <w:pPr>
              <w:widowControl/>
              <w:spacing w:line="300" w:lineRule="exact"/>
              <w:ind w:firstLineChars="0" w:firstLine="0"/>
              <w:jc w:val="center"/>
              <w:textAlignment w:val="center"/>
              <w:rPr>
                <w:rFonts w:ascii="仿宋" w:eastAsia="仿宋_GB2312" w:hAnsi="仿宋" w:cs="仿宋"/>
                <w:b/>
                <w:color w:val="000000" w:themeColor="text1"/>
                <w:kern w:val="0"/>
                <w:sz w:val="24"/>
              </w:rPr>
            </w:pPr>
            <w:r>
              <w:rPr>
                <w:rFonts w:ascii="仿宋_GB2312" w:eastAsia="仿宋_GB2312" w:hAnsi="仿宋_GB2312" w:cs="仿宋_GB2312" w:hint="eastAsia"/>
                <w:b/>
                <w:color w:val="000000" w:themeColor="text1"/>
                <w:kern w:val="0"/>
                <w:sz w:val="24"/>
              </w:rPr>
              <w:t>6</w:t>
            </w:r>
          </w:p>
        </w:tc>
        <w:tc>
          <w:tcPr>
            <w:tcW w:w="83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right w:w="0" w:type="dxa"/>
            </w:tcMar>
            <w:vAlign w:val="center"/>
          </w:tcPr>
          <w:p w:rsidR="001E6CF4" w:rsidRDefault="001E6CF4">
            <w:pPr>
              <w:widowControl/>
              <w:spacing w:line="300" w:lineRule="exact"/>
              <w:ind w:firstLineChars="0" w:firstLine="0"/>
              <w:jc w:val="center"/>
              <w:textAlignment w:val="center"/>
              <w:rPr>
                <w:rFonts w:ascii="仿宋_GB2312" w:eastAsia="仿宋_GB2312" w:hAnsi="仿宋_GB2312" w:cs="仿宋_GB2312"/>
                <w:b/>
                <w:color w:val="000000" w:themeColor="text1"/>
                <w:kern w:val="0"/>
                <w:sz w:val="24"/>
              </w:rPr>
            </w:pPr>
          </w:p>
        </w:tc>
        <w:tc>
          <w:tcPr>
            <w:tcW w:w="1230"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right w:w="0" w:type="dxa"/>
            </w:tcMar>
            <w:vAlign w:val="center"/>
          </w:tcPr>
          <w:p w:rsidR="001E6CF4" w:rsidRDefault="001E6CF4">
            <w:pPr>
              <w:widowControl/>
              <w:spacing w:line="300" w:lineRule="exact"/>
              <w:ind w:firstLineChars="0" w:firstLine="0"/>
              <w:jc w:val="center"/>
              <w:textAlignment w:val="center"/>
              <w:rPr>
                <w:rFonts w:ascii="仿宋_GB2312" w:eastAsia="仿宋_GB2312" w:hAnsi="仿宋_GB2312" w:cs="仿宋_GB2312"/>
                <w:b/>
                <w:color w:val="000000" w:themeColor="text1"/>
                <w:kern w:val="0"/>
                <w:sz w:val="24"/>
              </w:rPr>
            </w:pPr>
          </w:p>
        </w:tc>
      </w:tr>
      <w:tr w:rsidR="001E6CF4">
        <w:trPr>
          <w:trHeight w:val="456"/>
          <w:jc w:val="center"/>
        </w:trPr>
        <w:tc>
          <w:tcPr>
            <w:tcW w:w="121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1E6CF4" w:rsidRDefault="005458C6">
            <w:pPr>
              <w:widowControl/>
              <w:spacing w:line="300" w:lineRule="exact"/>
              <w:ind w:firstLineChars="0" w:firstLine="0"/>
              <w:jc w:val="center"/>
              <w:textAlignment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rPr>
              <w:t>陶瓷土</w:t>
            </w:r>
          </w:p>
        </w:tc>
        <w:tc>
          <w:tcPr>
            <w:tcW w:w="9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1E6CF4" w:rsidRDefault="005458C6">
            <w:pPr>
              <w:widowControl/>
              <w:spacing w:line="300" w:lineRule="exact"/>
              <w:ind w:firstLineChars="0" w:firstLine="0"/>
              <w:jc w:val="center"/>
              <w:textAlignment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rPr>
              <w:t>矿石 万吨</w:t>
            </w:r>
          </w:p>
        </w:tc>
        <w:tc>
          <w:tcPr>
            <w:tcW w:w="76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1E6CF4" w:rsidRDefault="005458C6">
            <w:pPr>
              <w:widowControl/>
              <w:spacing w:line="300" w:lineRule="exact"/>
              <w:ind w:firstLineChars="0" w:firstLine="0"/>
              <w:jc w:val="center"/>
              <w:textAlignment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rPr>
              <w:t>5</w:t>
            </w:r>
          </w:p>
        </w:tc>
        <w:tc>
          <w:tcPr>
            <w:tcW w:w="83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1E6CF4" w:rsidRDefault="001E6CF4">
            <w:pPr>
              <w:widowControl/>
              <w:spacing w:line="300" w:lineRule="exact"/>
              <w:ind w:firstLineChars="0" w:firstLine="0"/>
              <w:jc w:val="center"/>
              <w:textAlignment w:val="center"/>
              <w:rPr>
                <w:rFonts w:ascii="仿宋_GB2312" w:eastAsia="仿宋_GB2312" w:hAnsi="仿宋_GB2312" w:cs="仿宋_GB2312"/>
                <w:b/>
                <w:color w:val="000000" w:themeColor="text1"/>
                <w:kern w:val="0"/>
                <w:sz w:val="24"/>
              </w:rPr>
            </w:pPr>
          </w:p>
        </w:tc>
        <w:tc>
          <w:tcPr>
            <w:tcW w:w="123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1E6CF4" w:rsidRDefault="001E6CF4">
            <w:pPr>
              <w:widowControl/>
              <w:spacing w:line="300" w:lineRule="exact"/>
              <w:ind w:firstLineChars="0" w:firstLine="0"/>
              <w:jc w:val="center"/>
              <w:textAlignment w:val="center"/>
              <w:rPr>
                <w:rFonts w:ascii="仿宋_GB2312" w:eastAsia="仿宋_GB2312" w:hAnsi="仿宋_GB2312" w:cs="仿宋_GB2312"/>
                <w:b/>
                <w:color w:val="000000" w:themeColor="text1"/>
                <w:kern w:val="0"/>
                <w:sz w:val="24"/>
              </w:rPr>
            </w:pPr>
          </w:p>
        </w:tc>
      </w:tr>
      <w:tr w:rsidR="001E6CF4">
        <w:trPr>
          <w:trHeight w:val="456"/>
          <w:jc w:val="center"/>
        </w:trPr>
        <w:tc>
          <w:tcPr>
            <w:tcW w:w="121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1E6CF4" w:rsidRDefault="005458C6">
            <w:pPr>
              <w:widowControl/>
              <w:spacing w:line="300" w:lineRule="exact"/>
              <w:ind w:firstLineChars="0" w:firstLine="0"/>
              <w:jc w:val="center"/>
              <w:textAlignment w:val="center"/>
              <w:rPr>
                <w:rFonts w:ascii="仿宋" w:eastAsia="仿宋_GB2312" w:hAnsi="仿宋" w:cs="仿宋"/>
                <w:b/>
                <w:color w:val="000000" w:themeColor="text1"/>
                <w:kern w:val="0"/>
                <w:sz w:val="24"/>
              </w:rPr>
            </w:pPr>
            <w:r>
              <w:rPr>
                <w:rFonts w:ascii="仿宋_GB2312" w:eastAsia="仿宋_GB2312" w:hAnsi="仿宋_GB2312" w:cs="仿宋_GB2312" w:hint="eastAsia"/>
                <w:b/>
                <w:color w:val="000000" w:themeColor="text1"/>
                <w:kern w:val="0"/>
                <w:sz w:val="24"/>
              </w:rPr>
              <w:t>建筑用砂岩</w:t>
            </w:r>
          </w:p>
        </w:tc>
        <w:tc>
          <w:tcPr>
            <w:tcW w:w="9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1E6CF4" w:rsidRDefault="005458C6">
            <w:pPr>
              <w:widowControl/>
              <w:spacing w:line="300" w:lineRule="exact"/>
              <w:ind w:firstLineChars="0" w:firstLine="0"/>
              <w:jc w:val="center"/>
              <w:textAlignment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rPr>
              <w:t>矿石 万吨</w:t>
            </w:r>
          </w:p>
        </w:tc>
        <w:tc>
          <w:tcPr>
            <w:tcW w:w="76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1E6CF4" w:rsidRDefault="005458C6">
            <w:pPr>
              <w:widowControl/>
              <w:spacing w:line="300" w:lineRule="exact"/>
              <w:ind w:firstLineChars="0" w:firstLine="0"/>
              <w:jc w:val="center"/>
              <w:textAlignment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rPr>
              <w:t>15</w:t>
            </w:r>
          </w:p>
        </w:tc>
        <w:tc>
          <w:tcPr>
            <w:tcW w:w="83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1E6CF4" w:rsidRDefault="005458C6">
            <w:pPr>
              <w:widowControl/>
              <w:spacing w:line="300" w:lineRule="exact"/>
              <w:ind w:firstLineChars="0" w:firstLine="0"/>
              <w:jc w:val="center"/>
              <w:textAlignment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rPr>
              <w:t>10</w:t>
            </w:r>
          </w:p>
        </w:tc>
        <w:tc>
          <w:tcPr>
            <w:tcW w:w="123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1E6CF4" w:rsidRDefault="005458C6">
            <w:pPr>
              <w:widowControl/>
              <w:spacing w:line="300" w:lineRule="exact"/>
              <w:ind w:firstLineChars="0" w:firstLine="0"/>
              <w:jc w:val="center"/>
              <w:textAlignment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rPr>
              <w:t>15万吨约6万方</w:t>
            </w:r>
          </w:p>
        </w:tc>
      </w:tr>
      <w:tr w:rsidR="001E6CF4">
        <w:trPr>
          <w:trHeight w:val="899"/>
          <w:jc w:val="center"/>
        </w:trPr>
        <w:tc>
          <w:tcPr>
            <w:tcW w:w="1219" w:type="pct"/>
            <w:vMerge w:val="restart"/>
            <w:tcBorders>
              <w:left w:val="single" w:sz="4" w:space="0" w:color="000000"/>
              <w:right w:val="single" w:sz="4" w:space="0" w:color="000000"/>
            </w:tcBorders>
            <w:shd w:val="clear" w:color="auto" w:fill="auto"/>
            <w:tcMar>
              <w:top w:w="0" w:type="dxa"/>
              <w:left w:w="0" w:type="dxa"/>
              <w:right w:w="0" w:type="dxa"/>
            </w:tcMar>
            <w:vAlign w:val="center"/>
          </w:tcPr>
          <w:p w:rsidR="001E6CF4" w:rsidRDefault="005458C6">
            <w:pPr>
              <w:widowControl/>
              <w:spacing w:line="300" w:lineRule="exact"/>
              <w:ind w:firstLineChars="0" w:firstLine="0"/>
              <w:jc w:val="center"/>
              <w:textAlignment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rPr>
              <w:t>砖瓦用粘土</w:t>
            </w:r>
          </w:p>
        </w:tc>
        <w:tc>
          <w:tcPr>
            <w:tcW w:w="949" w:type="pct"/>
            <w:tcBorders>
              <w:top w:val="single" w:sz="4" w:space="0" w:color="000000"/>
              <w:left w:val="single" w:sz="4" w:space="0" w:color="000000"/>
              <w:bottom w:val="single" w:sz="4" w:space="0" w:color="auto"/>
              <w:right w:val="single" w:sz="4" w:space="0" w:color="000000"/>
            </w:tcBorders>
            <w:shd w:val="clear" w:color="auto" w:fill="auto"/>
            <w:tcMar>
              <w:top w:w="0" w:type="dxa"/>
              <w:left w:w="0" w:type="dxa"/>
              <w:right w:w="0" w:type="dxa"/>
            </w:tcMar>
            <w:vAlign w:val="center"/>
          </w:tcPr>
          <w:p w:rsidR="001E6CF4" w:rsidRDefault="005458C6">
            <w:pPr>
              <w:widowControl/>
              <w:spacing w:line="300" w:lineRule="exact"/>
              <w:ind w:firstLineChars="0" w:firstLine="0"/>
              <w:jc w:val="center"/>
              <w:textAlignment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rPr>
              <w:t>标准多孔（空心）砖万块</w:t>
            </w:r>
          </w:p>
        </w:tc>
        <w:tc>
          <w:tcPr>
            <w:tcW w:w="768" w:type="pct"/>
            <w:tcBorders>
              <w:top w:val="single" w:sz="4" w:space="0" w:color="000000"/>
              <w:left w:val="single" w:sz="4" w:space="0" w:color="000000"/>
              <w:bottom w:val="single" w:sz="4" w:space="0" w:color="auto"/>
              <w:right w:val="single" w:sz="4" w:space="0" w:color="000000"/>
            </w:tcBorders>
            <w:shd w:val="clear" w:color="auto" w:fill="auto"/>
            <w:tcMar>
              <w:top w:w="0" w:type="dxa"/>
              <w:left w:w="0" w:type="dxa"/>
              <w:right w:w="0" w:type="dxa"/>
            </w:tcMar>
            <w:vAlign w:val="center"/>
          </w:tcPr>
          <w:p w:rsidR="001E6CF4" w:rsidRDefault="005458C6">
            <w:pPr>
              <w:widowControl/>
              <w:spacing w:line="300" w:lineRule="exact"/>
              <w:ind w:firstLineChars="0" w:firstLine="0"/>
              <w:jc w:val="center"/>
              <w:textAlignment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rPr>
              <w:t>2000</w:t>
            </w:r>
          </w:p>
        </w:tc>
        <w:tc>
          <w:tcPr>
            <w:tcW w:w="832" w:type="pct"/>
            <w:tcBorders>
              <w:top w:val="single" w:sz="4" w:space="0" w:color="000000"/>
              <w:left w:val="single" w:sz="4" w:space="0" w:color="000000"/>
              <w:bottom w:val="single" w:sz="4" w:space="0" w:color="auto"/>
              <w:right w:val="single" w:sz="4" w:space="0" w:color="000000"/>
            </w:tcBorders>
            <w:shd w:val="clear" w:color="auto" w:fill="auto"/>
            <w:tcMar>
              <w:top w:w="0" w:type="dxa"/>
              <w:left w:w="0" w:type="dxa"/>
              <w:right w:w="0" w:type="dxa"/>
            </w:tcMar>
            <w:vAlign w:val="center"/>
          </w:tcPr>
          <w:p w:rsidR="001E6CF4" w:rsidRDefault="001E6CF4" w:rsidP="00437FD6">
            <w:pPr>
              <w:ind w:firstLine="482"/>
              <w:jc w:val="center"/>
              <w:rPr>
                <w:rFonts w:ascii="仿宋_GB2312" w:eastAsia="仿宋_GB2312" w:hAnsi="仿宋_GB2312" w:cs="仿宋_GB2312"/>
                <w:b/>
                <w:color w:val="000000" w:themeColor="text1"/>
                <w:kern w:val="0"/>
                <w:sz w:val="24"/>
              </w:rPr>
            </w:pPr>
          </w:p>
        </w:tc>
        <w:tc>
          <w:tcPr>
            <w:tcW w:w="1230" w:type="pct"/>
            <w:vMerge w:val="restart"/>
            <w:tcBorders>
              <w:left w:val="single" w:sz="4" w:space="0" w:color="000000"/>
              <w:right w:val="single" w:sz="4" w:space="0" w:color="000000"/>
            </w:tcBorders>
            <w:shd w:val="clear" w:color="auto" w:fill="auto"/>
            <w:tcMar>
              <w:top w:w="0" w:type="dxa"/>
              <w:left w:w="0" w:type="dxa"/>
              <w:right w:w="0" w:type="dxa"/>
            </w:tcMar>
            <w:vAlign w:val="center"/>
          </w:tcPr>
          <w:p w:rsidR="001E6CF4" w:rsidRDefault="005458C6">
            <w:pPr>
              <w:widowControl/>
              <w:spacing w:line="300" w:lineRule="exact"/>
              <w:ind w:firstLineChars="0" w:firstLine="0"/>
              <w:jc w:val="left"/>
              <w:textAlignment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rPr>
              <w:t>如有</w:t>
            </w:r>
            <w:bookmarkStart w:id="114" w:name="_Hlk79845689"/>
            <w:r>
              <w:rPr>
                <w:rFonts w:ascii="仿宋_GB2312" w:eastAsia="仿宋_GB2312" w:hAnsi="仿宋_GB2312" w:cs="仿宋_GB2312" w:hint="eastAsia"/>
                <w:b/>
                <w:color w:val="000000" w:themeColor="text1"/>
                <w:kern w:val="0"/>
                <w:sz w:val="24"/>
              </w:rPr>
              <w:t>配套砖厂则矿山产量必须满足年产2000万块标砖的规模，无配套砖厂则产量应达到8万吨/年</w:t>
            </w:r>
            <w:bookmarkEnd w:id="114"/>
          </w:p>
        </w:tc>
      </w:tr>
      <w:tr w:rsidR="001E6CF4">
        <w:trPr>
          <w:trHeight w:val="90"/>
          <w:jc w:val="center"/>
        </w:trPr>
        <w:tc>
          <w:tcPr>
            <w:tcW w:w="1219" w:type="pct"/>
            <w:vMerge/>
            <w:tcBorders>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1E6CF4" w:rsidRDefault="001E6CF4">
            <w:pPr>
              <w:widowControl/>
              <w:spacing w:line="300" w:lineRule="exact"/>
              <w:ind w:firstLineChars="0" w:firstLine="0"/>
              <w:jc w:val="center"/>
              <w:textAlignment w:val="center"/>
              <w:rPr>
                <w:rFonts w:ascii="仿宋_GB2312" w:eastAsia="仿宋_GB2312" w:hAnsi="仿宋_GB2312" w:cs="仿宋_GB2312"/>
                <w:b/>
                <w:color w:val="000000" w:themeColor="text1"/>
                <w:kern w:val="0"/>
                <w:sz w:val="24"/>
              </w:rPr>
            </w:pPr>
          </w:p>
        </w:tc>
        <w:tc>
          <w:tcPr>
            <w:tcW w:w="949" w:type="pct"/>
            <w:tcBorders>
              <w:top w:val="single" w:sz="4" w:space="0" w:color="auto"/>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1E6CF4" w:rsidRDefault="005458C6">
            <w:pPr>
              <w:widowControl/>
              <w:spacing w:line="300" w:lineRule="exact"/>
              <w:ind w:firstLineChars="0" w:firstLine="0"/>
              <w:jc w:val="center"/>
              <w:textAlignment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rPr>
              <w:t>矿石 万吨</w:t>
            </w:r>
          </w:p>
        </w:tc>
        <w:tc>
          <w:tcPr>
            <w:tcW w:w="768" w:type="pct"/>
            <w:tcBorders>
              <w:top w:val="single" w:sz="4" w:space="0" w:color="auto"/>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1E6CF4" w:rsidRDefault="005458C6">
            <w:pPr>
              <w:widowControl/>
              <w:spacing w:line="300" w:lineRule="exact"/>
              <w:ind w:firstLineChars="0" w:firstLine="0"/>
              <w:jc w:val="center"/>
              <w:textAlignment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rPr>
              <w:t>8</w:t>
            </w:r>
          </w:p>
        </w:tc>
        <w:tc>
          <w:tcPr>
            <w:tcW w:w="832" w:type="pct"/>
            <w:tcBorders>
              <w:top w:val="single" w:sz="4" w:space="0" w:color="auto"/>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1E6CF4" w:rsidRDefault="001E6CF4">
            <w:pPr>
              <w:widowControl/>
              <w:spacing w:line="300" w:lineRule="exact"/>
              <w:ind w:firstLineChars="0" w:firstLine="0"/>
              <w:jc w:val="center"/>
              <w:textAlignment w:val="center"/>
              <w:rPr>
                <w:rFonts w:ascii="仿宋_GB2312" w:eastAsia="仿宋_GB2312" w:hAnsi="仿宋_GB2312" w:cs="仿宋_GB2312"/>
                <w:b/>
                <w:color w:val="000000" w:themeColor="text1"/>
                <w:kern w:val="0"/>
                <w:sz w:val="24"/>
              </w:rPr>
            </w:pPr>
          </w:p>
        </w:tc>
        <w:tc>
          <w:tcPr>
            <w:tcW w:w="1230" w:type="pct"/>
            <w:vMerge/>
            <w:tcBorders>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1E6CF4" w:rsidRDefault="001E6CF4">
            <w:pPr>
              <w:widowControl/>
              <w:spacing w:line="300" w:lineRule="exact"/>
              <w:ind w:firstLineChars="0" w:firstLine="0"/>
              <w:jc w:val="center"/>
              <w:textAlignment w:val="center"/>
              <w:rPr>
                <w:rFonts w:ascii="仿宋_GB2312" w:eastAsia="仿宋_GB2312" w:hAnsi="仿宋_GB2312" w:cs="仿宋_GB2312"/>
                <w:b/>
                <w:color w:val="000000" w:themeColor="text1"/>
                <w:kern w:val="0"/>
                <w:sz w:val="24"/>
              </w:rPr>
            </w:pPr>
          </w:p>
        </w:tc>
      </w:tr>
      <w:tr w:rsidR="001E6CF4">
        <w:trPr>
          <w:trHeight w:val="497"/>
          <w:jc w:val="center"/>
        </w:trPr>
        <w:tc>
          <w:tcPr>
            <w:tcW w:w="121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1E6CF4" w:rsidRDefault="005458C6">
            <w:pPr>
              <w:widowControl/>
              <w:spacing w:line="300" w:lineRule="exact"/>
              <w:ind w:firstLineChars="0" w:firstLine="0"/>
              <w:jc w:val="center"/>
              <w:textAlignment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rPr>
              <w:t>建筑用砂</w:t>
            </w:r>
          </w:p>
        </w:tc>
        <w:tc>
          <w:tcPr>
            <w:tcW w:w="9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1E6CF4" w:rsidRDefault="005458C6">
            <w:pPr>
              <w:widowControl/>
              <w:spacing w:line="300" w:lineRule="exact"/>
              <w:ind w:firstLineChars="0" w:firstLine="0"/>
              <w:jc w:val="center"/>
              <w:textAlignment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rPr>
              <w:t>矿石 万吨</w:t>
            </w:r>
          </w:p>
        </w:tc>
        <w:tc>
          <w:tcPr>
            <w:tcW w:w="76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1E6CF4" w:rsidRDefault="005458C6">
            <w:pPr>
              <w:widowControl/>
              <w:spacing w:line="300" w:lineRule="exact"/>
              <w:ind w:firstLineChars="0" w:firstLine="0"/>
              <w:jc w:val="center"/>
              <w:textAlignment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rPr>
              <w:t>15</w:t>
            </w:r>
          </w:p>
        </w:tc>
        <w:tc>
          <w:tcPr>
            <w:tcW w:w="83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1E6CF4" w:rsidRDefault="005458C6">
            <w:pPr>
              <w:widowControl/>
              <w:spacing w:line="300" w:lineRule="exact"/>
              <w:ind w:firstLineChars="0" w:firstLine="0"/>
              <w:jc w:val="center"/>
              <w:textAlignment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rPr>
              <w:t>10</w:t>
            </w:r>
          </w:p>
        </w:tc>
        <w:tc>
          <w:tcPr>
            <w:tcW w:w="123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1E6CF4" w:rsidRDefault="001E6CF4">
            <w:pPr>
              <w:widowControl/>
              <w:spacing w:line="300" w:lineRule="exact"/>
              <w:ind w:firstLineChars="0" w:firstLine="0"/>
              <w:jc w:val="center"/>
              <w:textAlignment w:val="center"/>
              <w:rPr>
                <w:rFonts w:ascii="仿宋_GB2312" w:eastAsia="仿宋_GB2312" w:hAnsi="仿宋_GB2312" w:cs="仿宋_GB2312"/>
                <w:b/>
                <w:color w:val="000000" w:themeColor="text1"/>
                <w:kern w:val="0"/>
                <w:sz w:val="24"/>
              </w:rPr>
            </w:pPr>
          </w:p>
        </w:tc>
      </w:tr>
      <w:tr w:rsidR="001E6CF4">
        <w:trPr>
          <w:trHeight w:val="497"/>
          <w:jc w:val="center"/>
        </w:trPr>
        <w:tc>
          <w:tcPr>
            <w:tcW w:w="121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1E6CF4" w:rsidRDefault="005458C6">
            <w:pPr>
              <w:widowControl/>
              <w:spacing w:line="300" w:lineRule="exact"/>
              <w:ind w:firstLineChars="0" w:firstLine="0"/>
              <w:jc w:val="center"/>
              <w:textAlignment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rPr>
              <w:t>矿泉水</w:t>
            </w:r>
          </w:p>
        </w:tc>
        <w:tc>
          <w:tcPr>
            <w:tcW w:w="94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1E6CF4" w:rsidRDefault="005458C6">
            <w:pPr>
              <w:widowControl/>
              <w:spacing w:line="300" w:lineRule="exact"/>
              <w:ind w:firstLineChars="0" w:firstLine="0"/>
              <w:jc w:val="center"/>
              <w:textAlignment w:val="center"/>
              <w:rPr>
                <w:rFonts w:ascii="仿宋" w:eastAsia="仿宋_GB2312" w:hAnsi="仿宋" w:cs="仿宋"/>
                <w:b/>
                <w:color w:val="000000" w:themeColor="text1"/>
                <w:kern w:val="0"/>
                <w:sz w:val="24"/>
              </w:rPr>
            </w:pPr>
            <w:r>
              <w:rPr>
                <w:rFonts w:ascii="仿宋_GB2312" w:eastAsia="仿宋_GB2312" w:hAnsi="仿宋_GB2312" w:cs="仿宋_GB2312" w:hint="eastAsia"/>
                <w:b/>
                <w:color w:val="000000" w:themeColor="text1"/>
                <w:kern w:val="0"/>
                <w:sz w:val="24"/>
              </w:rPr>
              <w:t>万立方米</w:t>
            </w:r>
          </w:p>
        </w:tc>
        <w:tc>
          <w:tcPr>
            <w:tcW w:w="76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1E6CF4" w:rsidRDefault="005458C6">
            <w:pPr>
              <w:widowControl/>
              <w:spacing w:line="300" w:lineRule="exact"/>
              <w:ind w:firstLineChars="0" w:firstLine="0"/>
              <w:jc w:val="center"/>
              <w:textAlignment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rPr>
              <w:t>2</w:t>
            </w:r>
          </w:p>
        </w:tc>
        <w:tc>
          <w:tcPr>
            <w:tcW w:w="83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1E6CF4" w:rsidRDefault="005458C6">
            <w:pPr>
              <w:widowControl/>
              <w:spacing w:line="300" w:lineRule="exact"/>
              <w:ind w:firstLineChars="0" w:firstLine="0"/>
              <w:jc w:val="center"/>
              <w:textAlignment w:val="center"/>
              <w:rPr>
                <w:rFonts w:ascii="仿宋_GB2312" w:eastAsia="仿宋_GB2312" w:hAnsi="仿宋_GB2312" w:cs="仿宋_GB2312"/>
                <w:b/>
                <w:color w:val="000000" w:themeColor="text1"/>
                <w:kern w:val="0"/>
                <w:sz w:val="24"/>
              </w:rPr>
            </w:pPr>
            <w:r>
              <w:rPr>
                <w:rFonts w:ascii="仿宋_GB2312" w:eastAsia="仿宋_GB2312" w:hAnsi="仿宋_GB2312" w:cs="仿宋_GB2312" w:hint="eastAsia"/>
                <w:b/>
                <w:color w:val="000000" w:themeColor="text1"/>
                <w:kern w:val="0"/>
                <w:sz w:val="24"/>
              </w:rPr>
              <w:t>1</w:t>
            </w:r>
          </w:p>
        </w:tc>
        <w:tc>
          <w:tcPr>
            <w:tcW w:w="123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right w:w="0" w:type="dxa"/>
            </w:tcMar>
            <w:vAlign w:val="center"/>
          </w:tcPr>
          <w:p w:rsidR="001E6CF4" w:rsidRDefault="001E6CF4">
            <w:pPr>
              <w:widowControl/>
              <w:spacing w:line="300" w:lineRule="exact"/>
              <w:ind w:firstLineChars="0" w:firstLine="0"/>
              <w:jc w:val="center"/>
              <w:textAlignment w:val="center"/>
              <w:rPr>
                <w:rFonts w:ascii="仿宋_GB2312" w:eastAsia="仿宋_GB2312" w:hAnsi="仿宋_GB2312" w:cs="仿宋_GB2312"/>
                <w:b/>
                <w:color w:val="000000" w:themeColor="text1"/>
                <w:kern w:val="0"/>
                <w:sz w:val="24"/>
              </w:rPr>
            </w:pPr>
          </w:p>
        </w:tc>
      </w:tr>
    </w:tbl>
    <w:p w:rsidR="001E6CF4" w:rsidRDefault="005458C6">
      <w:pPr>
        <w:pStyle w:val="2"/>
        <w:keepNext w:val="0"/>
        <w:keepLines w:val="0"/>
        <w:overflowPunct w:val="0"/>
        <w:adjustRightInd/>
        <w:snapToGrid/>
        <w:spacing w:line="564" w:lineRule="exact"/>
        <w:ind w:firstLineChars="200" w:firstLine="643"/>
        <w:rPr>
          <w:rFonts w:ascii="黑体" w:eastAsia="黑体" w:hAnsi="黑体" w:cs="黑体"/>
          <w:bCs w:val="0"/>
          <w:color w:val="000000" w:themeColor="text1"/>
        </w:rPr>
      </w:pPr>
      <w:bookmarkStart w:id="115" w:name="_Toc23347"/>
      <w:r>
        <w:rPr>
          <w:rFonts w:ascii="黑体" w:eastAsia="黑体" w:hAnsi="黑体" w:cs="黑体" w:hint="eastAsia"/>
          <w:bCs w:val="0"/>
          <w:color w:val="000000" w:themeColor="text1"/>
        </w:rPr>
        <w:t>四、推进科技创新技术的进一步应用</w:t>
      </w:r>
      <w:bookmarkEnd w:id="113"/>
      <w:bookmarkEnd w:id="115"/>
    </w:p>
    <w:p w:rsidR="001E6CF4" w:rsidRDefault="005458C6" w:rsidP="00437FD6">
      <w:pPr>
        <w:overflowPunct w:val="0"/>
        <w:spacing w:line="564"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加强政府引导，推广矿产资源开采先进适用技术和科学管理</w:t>
      </w:r>
      <w:r>
        <w:rPr>
          <w:rFonts w:ascii="仿宋_GB2312" w:eastAsia="仿宋_GB2312" w:hAnsi="仿宋_GB2312" w:cs="仿宋_GB2312" w:hint="eastAsia"/>
          <w:b/>
          <w:color w:val="000000" w:themeColor="text1"/>
          <w:sz w:val="32"/>
          <w:szCs w:val="32"/>
        </w:rPr>
        <w:lastRenderedPageBreak/>
        <w:t>模式，推进技术与资本、技术与市场的融合，开展矿产资源节约与综合利用技术攻关。</w:t>
      </w:r>
    </w:p>
    <w:p w:rsidR="001E6CF4" w:rsidRDefault="005458C6" w:rsidP="00437FD6">
      <w:pPr>
        <w:overflowPunct w:val="0"/>
        <w:spacing w:line="564"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加快推进煤矿智能化发展，将人工智能、工业物联网、云计算、大数据、机器人、智能装备等与现代煤炭开发利用深度融合，实现煤矿开拓、采掘（剥）、运输、通风、洗选、安全保障、经营管理等过程的智能化运行。支持煤炭企业制定煤矿智能化发展实施方案，落实建设任务、技术体系和建设进度，对具备条件的生产煤矿加快智能化改造，推进固定岗位的无人值守和危险岗位的机器人作业，实现传统煤矿的智能化转型升级。改善掘进工作面的劳动条件、实现减员提效，保障掘进工作面安全高效生产，实现煤矿的高产高效集约化生产。推行新建煤矿智能化设计，鼓励具有严重灾害威胁的矿井加快智能化建设，率先提升智能化水平。建立煤矿智能化建设工作机制，加大对煤矿智能化建设工作的引导和协调力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2"/>
        <w:gridCol w:w="2160"/>
        <w:gridCol w:w="4200"/>
        <w:gridCol w:w="1518"/>
      </w:tblGrid>
      <w:tr w:rsidR="001E6CF4">
        <w:trPr>
          <w:trHeight w:val="567"/>
        </w:trPr>
        <w:tc>
          <w:tcPr>
            <w:tcW w:w="5000" w:type="pct"/>
            <w:gridSpan w:val="4"/>
          </w:tcPr>
          <w:p w:rsidR="001E6CF4" w:rsidRDefault="005458C6">
            <w:pPr>
              <w:ind w:firstLineChars="0" w:firstLine="0"/>
              <w:jc w:val="center"/>
              <w:rPr>
                <w:rFonts w:ascii="仿宋_GB2312" w:eastAsia="仿宋_GB2312" w:hAnsi="仿宋_GB2312" w:cs="仿宋_GB2312"/>
                <w:b/>
                <w:color w:val="000000" w:themeColor="text1"/>
                <w:sz w:val="24"/>
              </w:rPr>
            </w:pPr>
            <w:bookmarkStart w:id="116" w:name="_Hlk76540439"/>
            <w:r>
              <w:rPr>
                <w:rFonts w:ascii="仿宋_GB2312" w:eastAsia="仿宋_GB2312" w:hAnsi="仿宋_GB2312" w:cs="仿宋_GB2312" w:hint="eastAsia"/>
                <w:b/>
                <w:color w:val="000000" w:themeColor="text1"/>
                <w:sz w:val="28"/>
                <w:szCs w:val="28"/>
              </w:rPr>
              <w:t>专栏8   煤矿智能化发展</w:t>
            </w:r>
            <w:bookmarkEnd w:id="116"/>
            <w:r>
              <w:rPr>
                <w:rFonts w:ascii="仿宋_GB2312" w:eastAsia="仿宋_GB2312" w:hAnsi="仿宋_GB2312" w:cs="仿宋_GB2312" w:hint="eastAsia"/>
                <w:b/>
                <w:color w:val="000000" w:themeColor="text1"/>
                <w:sz w:val="28"/>
                <w:szCs w:val="28"/>
              </w:rPr>
              <w:t>示范项目</w:t>
            </w:r>
          </w:p>
        </w:tc>
      </w:tr>
      <w:tr w:rsidR="001E6CF4">
        <w:tc>
          <w:tcPr>
            <w:tcW w:w="652" w:type="pct"/>
          </w:tcPr>
          <w:p w:rsidR="001E6CF4" w:rsidRDefault="005458C6">
            <w:pPr>
              <w:spacing w:line="360" w:lineRule="auto"/>
              <w:ind w:firstLineChars="0" w:firstLine="0"/>
              <w:jc w:val="center"/>
              <w:rPr>
                <w:rFonts w:ascii="黑体" w:eastAsia="黑体" w:hAnsi="黑体" w:cs="黑体"/>
                <w:b/>
                <w:color w:val="000000" w:themeColor="text1"/>
                <w:sz w:val="24"/>
                <w:szCs w:val="18"/>
              </w:rPr>
            </w:pPr>
            <w:r>
              <w:rPr>
                <w:rFonts w:ascii="黑体" w:eastAsia="黑体" w:hAnsi="黑体" w:cs="黑体" w:hint="eastAsia"/>
                <w:b/>
                <w:color w:val="000000" w:themeColor="text1"/>
                <w:sz w:val="24"/>
                <w:szCs w:val="18"/>
              </w:rPr>
              <w:t>序号</w:t>
            </w:r>
          </w:p>
        </w:tc>
        <w:tc>
          <w:tcPr>
            <w:tcW w:w="1192" w:type="pct"/>
            <w:vAlign w:val="center"/>
          </w:tcPr>
          <w:p w:rsidR="001E6CF4" w:rsidRDefault="005458C6">
            <w:pPr>
              <w:spacing w:line="360" w:lineRule="auto"/>
              <w:ind w:firstLineChars="0" w:firstLine="0"/>
              <w:jc w:val="center"/>
              <w:rPr>
                <w:rFonts w:ascii="黑体" w:eastAsia="黑体" w:hAnsi="黑体" w:cs="黑体"/>
                <w:b/>
                <w:color w:val="000000" w:themeColor="text1"/>
                <w:kern w:val="1"/>
                <w:sz w:val="24"/>
                <w:szCs w:val="18"/>
              </w:rPr>
            </w:pPr>
            <w:r>
              <w:rPr>
                <w:rFonts w:ascii="黑体" w:eastAsia="黑体" w:hAnsi="黑体" w:cs="黑体" w:hint="eastAsia"/>
                <w:b/>
                <w:color w:val="000000" w:themeColor="text1"/>
                <w:sz w:val="24"/>
                <w:szCs w:val="18"/>
              </w:rPr>
              <w:t>项目名称</w:t>
            </w:r>
          </w:p>
        </w:tc>
        <w:tc>
          <w:tcPr>
            <w:tcW w:w="2318" w:type="pct"/>
            <w:vAlign w:val="center"/>
          </w:tcPr>
          <w:p w:rsidR="001E6CF4" w:rsidRDefault="005458C6">
            <w:pPr>
              <w:spacing w:line="360" w:lineRule="auto"/>
              <w:ind w:firstLineChars="0" w:firstLine="0"/>
              <w:jc w:val="center"/>
              <w:rPr>
                <w:rFonts w:ascii="黑体" w:eastAsia="黑体" w:hAnsi="黑体" w:cs="黑体"/>
                <w:b/>
                <w:color w:val="000000" w:themeColor="text1"/>
                <w:kern w:val="1"/>
                <w:sz w:val="24"/>
                <w:szCs w:val="18"/>
              </w:rPr>
            </w:pPr>
            <w:r>
              <w:rPr>
                <w:rFonts w:ascii="黑体" w:eastAsia="黑体" w:hAnsi="黑体" w:cs="黑体" w:hint="eastAsia"/>
                <w:b/>
                <w:color w:val="000000" w:themeColor="text1"/>
                <w:sz w:val="24"/>
                <w:szCs w:val="18"/>
              </w:rPr>
              <w:t>预期成效</w:t>
            </w:r>
          </w:p>
        </w:tc>
        <w:tc>
          <w:tcPr>
            <w:tcW w:w="837" w:type="pct"/>
          </w:tcPr>
          <w:p w:rsidR="001E6CF4" w:rsidRDefault="005458C6">
            <w:pPr>
              <w:spacing w:line="360" w:lineRule="auto"/>
              <w:ind w:firstLineChars="0" w:firstLine="0"/>
              <w:jc w:val="center"/>
              <w:rPr>
                <w:rFonts w:ascii="黑体" w:eastAsia="黑体" w:hAnsi="黑体" w:cs="黑体"/>
                <w:b/>
                <w:color w:val="000000" w:themeColor="text1"/>
                <w:sz w:val="24"/>
                <w:szCs w:val="18"/>
              </w:rPr>
            </w:pPr>
            <w:r>
              <w:rPr>
                <w:rFonts w:ascii="黑体" w:eastAsia="黑体" w:hAnsi="黑体" w:cs="黑体" w:hint="eastAsia"/>
                <w:b/>
                <w:color w:val="000000" w:themeColor="text1"/>
                <w:sz w:val="24"/>
                <w:szCs w:val="18"/>
              </w:rPr>
              <w:t>进度安排</w:t>
            </w:r>
          </w:p>
        </w:tc>
      </w:tr>
      <w:tr w:rsidR="001E6CF4">
        <w:trPr>
          <w:trHeight w:val="1340"/>
        </w:trPr>
        <w:tc>
          <w:tcPr>
            <w:tcW w:w="652" w:type="pct"/>
            <w:vAlign w:val="center"/>
          </w:tcPr>
          <w:p w:rsidR="001E6CF4" w:rsidRDefault="005458C6">
            <w:pPr>
              <w:ind w:firstLineChars="0" w:firstLine="0"/>
              <w:jc w:val="cente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rPr>
              <w:t>1</w:t>
            </w:r>
          </w:p>
        </w:tc>
        <w:tc>
          <w:tcPr>
            <w:tcW w:w="1192" w:type="pct"/>
            <w:vAlign w:val="center"/>
          </w:tcPr>
          <w:p w:rsidR="001E6CF4" w:rsidRDefault="005458C6">
            <w:pPr>
              <w:spacing w:line="400" w:lineRule="exact"/>
              <w:ind w:firstLineChars="0" w:firstLine="0"/>
              <w:jc w:val="left"/>
              <w:rPr>
                <w:rFonts w:ascii="仿宋_GB2312" w:eastAsia="仿宋_GB2312" w:hAnsi="仿宋_GB2312" w:cs="仿宋_GB2312"/>
                <w:b/>
                <w:color w:val="000000" w:themeColor="text1"/>
                <w:kern w:val="1"/>
                <w:sz w:val="24"/>
              </w:rPr>
            </w:pPr>
            <w:r>
              <w:rPr>
                <w:rFonts w:ascii="仿宋_GB2312" w:eastAsia="仿宋_GB2312" w:hAnsi="仿宋_GB2312" w:cs="仿宋_GB2312" w:hint="eastAsia"/>
                <w:b/>
                <w:color w:val="000000" w:themeColor="text1"/>
                <w:sz w:val="24"/>
              </w:rPr>
              <w:t>陕西黄陵二号煤矿有限公司快速掘进采煤系统</w:t>
            </w:r>
          </w:p>
        </w:tc>
        <w:tc>
          <w:tcPr>
            <w:tcW w:w="2318" w:type="pct"/>
            <w:vAlign w:val="center"/>
          </w:tcPr>
          <w:p w:rsidR="001E6CF4" w:rsidRDefault="005458C6" w:rsidP="00437FD6">
            <w:pPr>
              <w:spacing w:line="300" w:lineRule="exact"/>
              <w:ind w:firstLine="482"/>
              <w:rPr>
                <w:rFonts w:ascii="仿宋_GB2312" w:eastAsia="仿宋_GB2312" w:hAnsi="仿宋_GB2312" w:cs="仿宋_GB2312"/>
                <w:b/>
                <w:color w:val="000000" w:themeColor="text1"/>
                <w:kern w:val="1"/>
                <w:sz w:val="24"/>
              </w:rPr>
            </w:pPr>
            <w:r>
              <w:rPr>
                <w:rFonts w:ascii="仿宋_GB2312" w:eastAsia="仿宋_GB2312" w:hAnsi="仿宋_GB2312" w:cs="仿宋_GB2312" w:hint="eastAsia"/>
                <w:b/>
                <w:color w:val="000000" w:themeColor="text1"/>
                <w:sz w:val="24"/>
              </w:rPr>
              <w:t>提高煤矿掘进效率、缓减采掘失调、改善掘进工作面的劳动条件、实现减员提效，保障掘进工作面安全高效生产，实现煤矿的高产高效集约化生产</w:t>
            </w:r>
          </w:p>
        </w:tc>
        <w:tc>
          <w:tcPr>
            <w:tcW w:w="837" w:type="pct"/>
            <w:vAlign w:val="center"/>
          </w:tcPr>
          <w:p w:rsidR="001E6CF4" w:rsidRDefault="005458C6">
            <w:pPr>
              <w:spacing w:line="400" w:lineRule="exact"/>
              <w:ind w:firstLineChars="0" w:firstLine="0"/>
              <w:jc w:val="center"/>
              <w:rPr>
                <w:rFonts w:ascii="仿宋_GB2312" w:eastAsia="仿宋_GB2312" w:hAnsi="仿宋_GB2312" w:cs="仿宋_GB2312"/>
                <w:b/>
                <w:color w:val="000000" w:themeColor="text1"/>
                <w:kern w:val="1"/>
                <w:sz w:val="24"/>
              </w:rPr>
            </w:pPr>
            <w:r>
              <w:rPr>
                <w:rFonts w:ascii="仿宋_GB2312" w:eastAsia="仿宋_GB2312" w:hAnsi="仿宋_GB2312" w:cs="仿宋_GB2312" w:hint="eastAsia"/>
                <w:b/>
                <w:color w:val="000000" w:themeColor="text1"/>
                <w:sz w:val="24"/>
              </w:rPr>
              <w:t>2021年—2024年</w:t>
            </w:r>
          </w:p>
        </w:tc>
      </w:tr>
      <w:tr w:rsidR="001E6CF4">
        <w:trPr>
          <w:trHeight w:val="2314"/>
        </w:trPr>
        <w:tc>
          <w:tcPr>
            <w:tcW w:w="652" w:type="pct"/>
            <w:vAlign w:val="center"/>
          </w:tcPr>
          <w:p w:rsidR="001E6CF4" w:rsidRDefault="005458C6">
            <w:pPr>
              <w:ind w:firstLineChars="0" w:firstLine="0"/>
              <w:jc w:val="cente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rPr>
              <w:t>2</w:t>
            </w:r>
          </w:p>
        </w:tc>
        <w:tc>
          <w:tcPr>
            <w:tcW w:w="1192" w:type="pct"/>
            <w:vAlign w:val="center"/>
          </w:tcPr>
          <w:p w:rsidR="001E6CF4" w:rsidRDefault="005458C6">
            <w:pPr>
              <w:spacing w:line="400" w:lineRule="exact"/>
              <w:ind w:firstLineChars="0" w:firstLine="0"/>
              <w:jc w:val="left"/>
              <w:rPr>
                <w:rFonts w:ascii="仿宋_GB2312" w:eastAsia="仿宋_GB2312" w:hAnsi="仿宋_GB2312" w:cs="仿宋_GB2312"/>
                <w:b/>
                <w:color w:val="000000" w:themeColor="text1"/>
                <w:kern w:val="1"/>
                <w:sz w:val="24"/>
              </w:rPr>
            </w:pPr>
            <w:r>
              <w:rPr>
                <w:rFonts w:ascii="仿宋_GB2312" w:eastAsia="仿宋_GB2312" w:hAnsi="仿宋_GB2312" w:cs="仿宋_GB2312" w:hint="eastAsia"/>
                <w:b/>
                <w:color w:val="000000" w:themeColor="text1"/>
                <w:sz w:val="24"/>
              </w:rPr>
              <w:t>陕西黄陵二号煤矿有限公司智能化矿山</w:t>
            </w:r>
          </w:p>
        </w:tc>
        <w:tc>
          <w:tcPr>
            <w:tcW w:w="2318" w:type="pct"/>
            <w:vAlign w:val="center"/>
          </w:tcPr>
          <w:p w:rsidR="001E6CF4" w:rsidRDefault="005458C6" w:rsidP="00437FD6">
            <w:pPr>
              <w:spacing w:line="300" w:lineRule="exact"/>
              <w:ind w:firstLine="482"/>
              <w:rPr>
                <w:rFonts w:ascii="仿宋_GB2312" w:eastAsia="仿宋_GB2312" w:hAnsi="仿宋_GB2312" w:cs="仿宋_GB2312"/>
                <w:b/>
                <w:color w:val="000000" w:themeColor="text1"/>
                <w:kern w:val="1"/>
                <w:sz w:val="24"/>
              </w:rPr>
            </w:pPr>
            <w:r>
              <w:rPr>
                <w:rFonts w:ascii="仿宋_GB2312" w:eastAsia="仿宋_GB2312" w:hAnsi="仿宋_GB2312" w:cs="仿宋_GB2312" w:hint="eastAsia"/>
                <w:b/>
                <w:color w:val="000000" w:themeColor="text1"/>
                <w:sz w:val="24"/>
              </w:rPr>
              <w:t>实现“两智三无三转变”。“两智”即智能化开采、智能化掘进；“三无”即无煤柱、无巷道和工作面无人作业；“三转变”即控制技术从手动干预、有人值守向自动控制、无人值守转变，安全管理从事后响应向事先预控转变，决策支持从经验决策向智能决策转变。</w:t>
            </w:r>
          </w:p>
        </w:tc>
        <w:tc>
          <w:tcPr>
            <w:tcW w:w="837" w:type="pct"/>
            <w:vAlign w:val="center"/>
          </w:tcPr>
          <w:p w:rsidR="001E6CF4" w:rsidRDefault="005458C6">
            <w:pPr>
              <w:spacing w:line="400" w:lineRule="exact"/>
              <w:ind w:firstLineChars="0" w:firstLine="0"/>
              <w:jc w:val="cente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rPr>
              <w:t>2021年—2024年</w:t>
            </w:r>
          </w:p>
        </w:tc>
      </w:tr>
    </w:tbl>
    <w:p w:rsidR="001E6CF4" w:rsidRDefault="005458C6">
      <w:pPr>
        <w:overflowPunct w:val="0"/>
        <w:spacing w:line="58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lastRenderedPageBreak/>
        <w:t>提升煤炭的综合开发利用，将煤矸石发电、煤矸石建材及制品、复垦回填以及煤矸石无害化处理等大宗量利用煤矸石技术作为主攻方向，推广无尾无废矿山建设，提升矿山综合利用水平。</w:t>
      </w:r>
    </w:p>
    <w:p w:rsidR="001E6CF4" w:rsidRDefault="005458C6">
      <w:pPr>
        <w:overflowPunct w:val="0"/>
        <w:spacing w:line="58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充分发挥矿山企业的主体作用，落实企业节约与综合高效利用矿产资源的主体责任，完善鼓励提高矿产资源利用水平的经济政策，组织关键和重大技术开发，推进矿产资源开发利用科技成果产业化，积极培育和发展技术市场，开发科技含量高、产品附加值高的精加工、深加工产品，不断扩大应用领域，推动煤、气、油、盐向中高端转化，变资源优势为经济优势。</w:t>
      </w:r>
    </w:p>
    <w:p w:rsidR="001E6CF4" w:rsidRDefault="005458C6">
      <w:pPr>
        <w:pStyle w:val="2"/>
        <w:keepNext w:val="0"/>
        <w:keepLines w:val="0"/>
        <w:overflowPunct w:val="0"/>
        <w:adjustRightInd/>
        <w:snapToGrid/>
        <w:spacing w:line="580" w:lineRule="exact"/>
        <w:ind w:firstLineChars="200" w:firstLine="643"/>
        <w:rPr>
          <w:rFonts w:ascii="黑体" w:eastAsia="黑体" w:hAnsi="黑体" w:cs="黑体"/>
          <w:bCs w:val="0"/>
          <w:color w:val="000000" w:themeColor="text1"/>
        </w:rPr>
      </w:pPr>
      <w:bookmarkStart w:id="117" w:name="_Toc21120"/>
      <w:bookmarkStart w:id="118" w:name="_Toc80535815"/>
      <w:bookmarkStart w:id="119" w:name="_Toc32732"/>
      <w:bookmarkStart w:id="120" w:name="_Toc18705"/>
      <w:bookmarkEnd w:id="111"/>
      <w:bookmarkEnd w:id="112"/>
      <w:r>
        <w:rPr>
          <w:rFonts w:ascii="黑体" w:eastAsia="黑体" w:hAnsi="黑体" w:cs="黑体" w:hint="eastAsia"/>
          <w:bCs w:val="0"/>
          <w:color w:val="000000" w:themeColor="text1"/>
        </w:rPr>
        <w:t>五、加强矿产资源勘查管理</w:t>
      </w:r>
      <w:bookmarkEnd w:id="117"/>
      <w:bookmarkEnd w:id="118"/>
    </w:p>
    <w:p w:rsidR="001E6CF4" w:rsidRDefault="005458C6">
      <w:pPr>
        <w:overflowPunct w:val="0"/>
        <w:spacing w:line="58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勘查规划区块的投放必须符合国家、省、市矿产资源总体规划，与延安市国民经济发展相适应，根据发展需要和资源分布特点，合理引导新增探矿权投放方向，</w:t>
      </w:r>
      <w:r>
        <w:rPr>
          <w:rFonts w:ascii="仿宋_GB2312" w:eastAsia="仿宋_GB2312" w:hAnsi="仿宋_GB2312" w:cs="仿宋_GB2312" w:hint="eastAsia"/>
          <w:b/>
          <w:color w:val="000000" w:themeColor="text1"/>
          <w:kern w:val="1"/>
          <w:sz w:val="32"/>
          <w:szCs w:val="32"/>
        </w:rPr>
        <w:t>严格勘查空间布局管控，生态保护红线范围内原则上禁止不符合管控要求的矿产资源勘查。</w:t>
      </w:r>
      <w:r>
        <w:rPr>
          <w:rFonts w:ascii="仿宋_GB2312" w:eastAsia="仿宋_GB2312" w:hAnsi="仿宋_GB2312" w:cs="仿宋_GB2312" w:hint="eastAsia"/>
          <w:b/>
          <w:color w:val="000000" w:themeColor="text1"/>
          <w:sz w:val="32"/>
          <w:szCs w:val="32"/>
        </w:rPr>
        <w:t>严格勘查准入条件，合理投放探矿权。</w:t>
      </w:r>
      <w:r>
        <w:rPr>
          <w:rFonts w:ascii="仿宋_GB2312" w:eastAsia="仿宋_GB2312" w:hAnsi="仿宋_GB2312" w:cs="仿宋_GB2312" w:hint="eastAsia"/>
          <w:b/>
          <w:color w:val="000000" w:themeColor="text1"/>
          <w:kern w:val="1"/>
          <w:sz w:val="32"/>
          <w:szCs w:val="32"/>
        </w:rPr>
        <w:t>合理部署石油、天然气、页岩气、煤炭、煤层气、油页岩等能源矿产和其他非能源矿产的勘查空间与时序，促进多矿种在同一区域的有序勘查。</w:t>
      </w:r>
    </w:p>
    <w:p w:rsidR="001E6CF4" w:rsidRDefault="005458C6">
      <w:pPr>
        <w:overflowPunct w:val="0"/>
        <w:spacing w:line="58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探矿权出让应采取招标、拍卖、挂牌等市场竞争方式进行，一个勘查区块原则上只设一个勘查主体，并明确勘查周期。拟投放探矿权不得超出勘查规划区块范围，不得变更矿种，不得降低勘查程度，建立和完善勘查规划区块动态管理机制。</w:t>
      </w:r>
    </w:p>
    <w:p w:rsidR="001E6CF4" w:rsidRDefault="005458C6">
      <w:pPr>
        <w:overflowPunct w:val="0"/>
        <w:spacing w:line="59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加强地勘行业管理，发挥各类地勘单位在基础地质和找矿工</w:t>
      </w:r>
      <w:r>
        <w:rPr>
          <w:rFonts w:ascii="仿宋_GB2312" w:eastAsia="仿宋_GB2312" w:hAnsi="仿宋_GB2312" w:cs="仿宋_GB2312" w:hint="eastAsia"/>
          <w:b/>
          <w:color w:val="000000" w:themeColor="text1"/>
          <w:sz w:val="32"/>
          <w:szCs w:val="32"/>
        </w:rPr>
        <w:lastRenderedPageBreak/>
        <w:t>作中的作用。加强地质勘查活动事中事后监督管理，推进“双随机、一公开”监督检查，加强信用惩戒，为地勘行业发展创造更加公平的市场环境和发展空间。督促探矿权人按照法律法规履行勘查开发责任，整治无证勘查、圈而不探等行为，保护各类主体合法权益。</w:t>
      </w:r>
    </w:p>
    <w:p w:rsidR="001E6CF4" w:rsidRDefault="005458C6">
      <w:pPr>
        <w:pStyle w:val="2"/>
        <w:keepNext w:val="0"/>
        <w:keepLines w:val="0"/>
        <w:overflowPunct w:val="0"/>
        <w:adjustRightInd/>
        <w:snapToGrid/>
        <w:spacing w:line="590" w:lineRule="exact"/>
        <w:ind w:firstLineChars="200" w:firstLine="643"/>
        <w:rPr>
          <w:rFonts w:ascii="仿宋_GB2312" w:eastAsia="仿宋_GB2312" w:hAnsi="仿宋_GB2312" w:cs="仿宋_GB2312"/>
          <w:bCs w:val="0"/>
          <w:color w:val="000000" w:themeColor="text1"/>
        </w:rPr>
      </w:pPr>
      <w:bookmarkStart w:id="121" w:name="_Toc1870"/>
      <w:r>
        <w:rPr>
          <w:rFonts w:ascii="黑体" w:eastAsia="黑体" w:hAnsi="黑体" w:cs="黑体" w:hint="eastAsia"/>
          <w:bCs w:val="0"/>
          <w:color w:val="000000" w:themeColor="text1"/>
        </w:rPr>
        <w:t>六、严格矿产资源开发管理</w:t>
      </w:r>
      <w:bookmarkEnd w:id="121"/>
    </w:p>
    <w:p w:rsidR="001E6CF4" w:rsidRPr="005A58A9" w:rsidRDefault="005458C6">
      <w:pPr>
        <w:pStyle w:val="3"/>
        <w:keepNext w:val="0"/>
        <w:keepLines w:val="0"/>
        <w:overflowPunct w:val="0"/>
        <w:adjustRightInd/>
        <w:snapToGrid/>
        <w:spacing w:line="590" w:lineRule="exact"/>
        <w:ind w:firstLine="643"/>
        <w:rPr>
          <w:rFonts w:ascii="楷体_GB2312" w:eastAsia="楷体_GB2312" w:hAnsi="仿宋_GB2312" w:cs="仿宋_GB2312"/>
          <w:b/>
          <w:bCs w:val="0"/>
          <w:color w:val="000000" w:themeColor="text1"/>
          <w:sz w:val="32"/>
        </w:rPr>
      </w:pPr>
      <w:r w:rsidRPr="005A58A9">
        <w:rPr>
          <w:rFonts w:ascii="楷体_GB2312" w:eastAsia="楷体_GB2312" w:hAnsi="仿宋_GB2312" w:cs="仿宋_GB2312" w:hint="eastAsia"/>
          <w:b/>
          <w:bCs w:val="0"/>
          <w:color w:val="000000" w:themeColor="text1"/>
          <w:sz w:val="32"/>
        </w:rPr>
        <w:t>（一）严格矿产开发准入条件</w:t>
      </w:r>
    </w:p>
    <w:p w:rsidR="001E6CF4" w:rsidRDefault="005458C6">
      <w:pPr>
        <w:overflowPunct w:val="0"/>
        <w:spacing w:line="59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空间准入：采矿权投放应符合国土空间规划、生态环境保护规划以及“三线一单”生态分区管控要求。在不得开采矿产资源的区域内禁止从事采矿活动。落实黄河流域国土空间开发保护相关管控要求，严格限制流域内干流及主要支流临岸一定范围、河道两侧等水土流失重点治理区和重点预防区内新建露天矿山。</w:t>
      </w:r>
    </w:p>
    <w:p w:rsidR="001E6CF4" w:rsidRDefault="005458C6">
      <w:pPr>
        <w:overflowPunct w:val="0"/>
        <w:spacing w:line="59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规模准入：严格落实矿区资源量规模、矿山设计开采规模、矿山服务年限相适应的要求，严禁大矿小开、一矿多开。产业政策和行业准入条件高于规模准入标准的，以产业政策和行业准入条件为准。</w:t>
      </w:r>
    </w:p>
    <w:p w:rsidR="001E6CF4" w:rsidRDefault="005458C6">
      <w:pPr>
        <w:overflowPunct w:val="0"/>
        <w:spacing w:line="590" w:lineRule="exact"/>
        <w:ind w:firstLine="643"/>
        <w:rPr>
          <w:rFonts w:ascii="仿宋_GB2312" w:eastAsia="仿宋_GB2312" w:hAnsi="仿宋_GB2312" w:cs="仿宋_GB2312"/>
          <w:b/>
          <w:color w:val="000000" w:themeColor="text1"/>
          <w:sz w:val="32"/>
          <w:szCs w:val="32"/>
          <w:highlight w:val="yellow"/>
        </w:rPr>
      </w:pPr>
      <w:r>
        <w:rPr>
          <w:rFonts w:ascii="仿宋_GB2312" w:eastAsia="仿宋_GB2312" w:hAnsi="仿宋_GB2312" w:cs="仿宋_GB2312" w:hint="eastAsia"/>
          <w:b/>
          <w:color w:val="000000" w:themeColor="text1"/>
          <w:sz w:val="32"/>
          <w:szCs w:val="32"/>
        </w:rPr>
        <w:t>技术准入：严格执行中省关于矿产资源节约综合利用和产业结构调整鼓励、限制、淘汰、禁止等规定要求</w:t>
      </w:r>
      <w:bookmarkStart w:id="122" w:name="_Hlk80517678"/>
      <w:r>
        <w:rPr>
          <w:rFonts w:ascii="仿宋_GB2312" w:eastAsia="仿宋_GB2312" w:hAnsi="仿宋_GB2312" w:cs="仿宋_GB2312" w:hint="eastAsia"/>
          <w:b/>
          <w:color w:val="000000" w:themeColor="text1"/>
          <w:sz w:val="32"/>
          <w:szCs w:val="32"/>
        </w:rPr>
        <w:t>。</w:t>
      </w:r>
      <w:bookmarkEnd w:id="122"/>
      <w:r>
        <w:rPr>
          <w:rFonts w:ascii="仿宋_GB2312" w:eastAsia="仿宋_GB2312" w:hAnsi="仿宋_GB2312" w:cs="仿宋_GB2312" w:hint="eastAsia"/>
          <w:b/>
          <w:color w:val="000000" w:themeColor="text1"/>
          <w:sz w:val="32"/>
          <w:szCs w:val="32"/>
        </w:rPr>
        <w:t>积极开展科技创新，矿山企业应保障科技创新的资金投入，为加强矿产资源保护，提高资源开采效率，实现资源开发与环境保护并行。</w:t>
      </w:r>
    </w:p>
    <w:p w:rsidR="001E6CF4" w:rsidRPr="005A58A9" w:rsidRDefault="005458C6">
      <w:pPr>
        <w:pStyle w:val="3"/>
        <w:keepNext w:val="0"/>
        <w:keepLines w:val="0"/>
        <w:overflowPunct w:val="0"/>
        <w:adjustRightInd/>
        <w:snapToGrid/>
        <w:spacing w:line="590" w:lineRule="exact"/>
        <w:ind w:firstLine="643"/>
        <w:rPr>
          <w:rFonts w:ascii="楷体_GB2312" w:eastAsia="楷体_GB2312" w:hAnsi="仿宋_GB2312" w:cs="仿宋_GB2312"/>
          <w:b/>
          <w:bCs w:val="0"/>
          <w:color w:val="000000" w:themeColor="text1"/>
          <w:sz w:val="32"/>
        </w:rPr>
      </w:pPr>
      <w:r w:rsidRPr="005A58A9">
        <w:rPr>
          <w:rFonts w:ascii="楷体_GB2312" w:eastAsia="楷体_GB2312" w:hAnsi="仿宋_GB2312" w:cs="仿宋_GB2312" w:hint="eastAsia"/>
          <w:b/>
          <w:bCs w:val="0"/>
          <w:color w:val="000000" w:themeColor="text1"/>
          <w:sz w:val="32"/>
        </w:rPr>
        <w:t>（二）强化采矿权市场管理</w:t>
      </w:r>
    </w:p>
    <w:p w:rsidR="001E6CF4" w:rsidRDefault="005458C6">
      <w:pPr>
        <w:overflowPunct w:val="0"/>
        <w:spacing w:line="58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贯彻中省矿业权管理制度改革精神，充分发挥市场在资源配</w:t>
      </w:r>
      <w:r>
        <w:rPr>
          <w:rFonts w:ascii="仿宋_GB2312" w:eastAsia="仿宋_GB2312" w:hAnsi="仿宋_GB2312" w:cs="仿宋_GB2312" w:hint="eastAsia"/>
          <w:b/>
          <w:color w:val="000000" w:themeColor="text1"/>
          <w:sz w:val="32"/>
          <w:szCs w:val="32"/>
        </w:rPr>
        <w:lastRenderedPageBreak/>
        <w:t>置中的决定性作用，全面推进矿业权竞争性出让，推动矿业权管理由“审批制”向“出让+登记制”转变。</w:t>
      </w:r>
    </w:p>
    <w:p w:rsidR="001E6CF4" w:rsidRDefault="005458C6">
      <w:pPr>
        <w:pStyle w:val="aa"/>
        <w:overflowPunct w:val="0"/>
        <w:spacing w:line="580" w:lineRule="exact"/>
        <w:ind w:leftChars="0" w:left="0" w:firstLineChars="200" w:firstLine="643"/>
        <w:rPr>
          <w:rFonts w:ascii="仿宋_GB2312" w:eastAsia="仿宋_GB2312" w:hAnsi="仿宋_GB2312" w:cs="仿宋_GB2312"/>
          <w:b/>
          <w:color w:val="000000" w:themeColor="text1"/>
          <w:szCs w:val="32"/>
        </w:rPr>
      </w:pPr>
      <w:r>
        <w:rPr>
          <w:rFonts w:ascii="仿宋_GB2312" w:eastAsia="仿宋_GB2312" w:hAnsi="仿宋_GB2312" w:cs="仿宋_GB2312" w:hint="eastAsia"/>
          <w:b/>
          <w:color w:val="000000" w:themeColor="text1"/>
          <w:szCs w:val="32"/>
        </w:rPr>
        <w:t>探索建立“净矿”出让工作机制，积极推进“净矿”出让。加强矿业权出让前期准备工作，优化矿业权出让流程，提高服务效率，依据地质工作成果和市场主体需求。建立分级管理的矿业权出让项目库。加强规划区块与矿业权管理的衔接，已设探矿权转采矿权，且拟设采矿权矿区范围未超出已设探矿权勘查范围的项目，经省人民政府批准的矿产资源开发整合项目，视同符合规划要求；现有矿业权外围可利用的零星、空白资源，可根据《国土资源部关于做好矿业权设置方案审批或备案核准取消后相关工作的通知》《自然资源部关于推进矿产资源管理改革若干事项的意见（试行）》，经论证后列入矿业权竞争性出让项目库，动态调整纳入规划数据库，合理利用外围资源，提升矿井接续能力，促进市场化竞争性出让。严格采矿权出让交易监管，建立和完善开采规划区块动态管理机制。</w:t>
      </w:r>
    </w:p>
    <w:p w:rsidR="001E6CF4" w:rsidRDefault="005458C6">
      <w:pPr>
        <w:overflowPunct w:val="0"/>
        <w:spacing w:line="58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加快矿业权市场化建设，建立矿业权有序退出和补偿机制。推进“放管服”改革，全面实行采矿权市场化出让，充分发挥市场配置资源的决定性作用。采矿权出让应采取招标、拍卖、挂牌等市场竞争方式进行，严格限制采矿权协议出让。</w:t>
      </w:r>
    </w:p>
    <w:p w:rsidR="001E6CF4" w:rsidRPr="005A58A9" w:rsidRDefault="005458C6">
      <w:pPr>
        <w:pStyle w:val="3"/>
        <w:keepNext w:val="0"/>
        <w:keepLines w:val="0"/>
        <w:overflowPunct w:val="0"/>
        <w:adjustRightInd/>
        <w:snapToGrid/>
        <w:spacing w:line="580" w:lineRule="exact"/>
        <w:ind w:firstLine="643"/>
        <w:rPr>
          <w:rFonts w:ascii="楷体_GB2312" w:eastAsia="楷体_GB2312" w:hAnsi="仿宋_GB2312" w:cs="仿宋_GB2312"/>
          <w:b/>
          <w:bCs w:val="0"/>
          <w:color w:val="000000" w:themeColor="text1"/>
          <w:sz w:val="32"/>
        </w:rPr>
      </w:pPr>
      <w:r w:rsidRPr="005A58A9">
        <w:rPr>
          <w:rFonts w:ascii="楷体_GB2312" w:eastAsia="楷体_GB2312" w:hAnsi="仿宋_GB2312" w:cs="仿宋_GB2312" w:hint="eastAsia"/>
          <w:b/>
          <w:bCs w:val="0"/>
          <w:color w:val="000000" w:themeColor="text1"/>
          <w:sz w:val="32"/>
        </w:rPr>
        <w:t>（三）加强矿产资源监督执法管理</w:t>
      </w:r>
    </w:p>
    <w:p w:rsidR="001E6CF4" w:rsidRDefault="005458C6">
      <w:pPr>
        <w:overflowPunct w:val="0"/>
        <w:spacing w:line="58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持续加大矿产资源监督执法力度，强化矿产执法与矿产督察、生态环境督察协作，严肃查处违法开采企业。强化信用监管，</w:t>
      </w:r>
      <w:r>
        <w:rPr>
          <w:rFonts w:ascii="仿宋_GB2312" w:eastAsia="仿宋_GB2312" w:hAnsi="仿宋_GB2312" w:cs="仿宋_GB2312" w:hint="eastAsia"/>
          <w:b/>
          <w:color w:val="000000" w:themeColor="text1"/>
          <w:sz w:val="32"/>
          <w:szCs w:val="32"/>
        </w:rPr>
        <w:lastRenderedPageBreak/>
        <w:t>完善矿业权人勘查开采信息公示制度，引导形成从业主体自治、行业自律、社会监督、政府监管的社会共治格局，维护正常的矿业秩序。</w:t>
      </w:r>
    </w:p>
    <w:p w:rsidR="001E6CF4" w:rsidRDefault="005458C6">
      <w:pPr>
        <w:pStyle w:val="2"/>
        <w:keepNext w:val="0"/>
        <w:keepLines w:val="0"/>
        <w:overflowPunct w:val="0"/>
        <w:adjustRightInd/>
        <w:snapToGrid/>
        <w:spacing w:line="590" w:lineRule="exact"/>
        <w:ind w:firstLineChars="200" w:firstLine="643"/>
        <w:rPr>
          <w:rFonts w:ascii="黑体" w:eastAsia="黑体" w:hAnsi="黑体" w:cs="黑体"/>
          <w:bCs w:val="0"/>
          <w:color w:val="000000" w:themeColor="text1"/>
        </w:rPr>
      </w:pPr>
      <w:bookmarkStart w:id="123" w:name="_Toc80535821"/>
      <w:bookmarkStart w:id="124" w:name="_Toc4788"/>
      <w:r>
        <w:rPr>
          <w:rFonts w:ascii="黑体" w:eastAsia="黑体" w:hAnsi="黑体" w:cs="黑体" w:hint="eastAsia"/>
          <w:bCs w:val="0"/>
          <w:color w:val="000000" w:themeColor="text1"/>
        </w:rPr>
        <w:t>七、规范砂石土资源开发利用</w:t>
      </w:r>
      <w:bookmarkEnd w:id="123"/>
      <w:bookmarkEnd w:id="124"/>
    </w:p>
    <w:p w:rsidR="001E6CF4" w:rsidRDefault="005458C6">
      <w:pPr>
        <w:overflowPunct w:val="0"/>
        <w:spacing w:line="59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严格延安市砂石矿山总量控制、规模控制，合理划定开采规划区块，制定分时序出让计划。严禁在“三区三线”范围内划定开采规划区块，投放采矿权。坚持生态环境与矿山开采协调发展理念，在满足区域生态环境承载能力的前提下，统筹各区、县砂石土矿产的开发布局，促进资源优势互补。鼓励有条件的市、区、县设置集中开采区，明确区内开采规划区块数量、开采总量、开采规模、生态保护修复治理措施等准入要求。</w:t>
      </w:r>
    </w:p>
    <w:p w:rsidR="001E6CF4" w:rsidRDefault="005458C6">
      <w:pPr>
        <w:pStyle w:val="a0"/>
        <w:overflowPunct w:val="0"/>
        <w:spacing w:line="59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支持矿山尾矿、尾渣、废石、石粉、泥粉及露天矿山剥离物等研发新型建筑材料，加大机制砂研发与应用。推动砂石矿山企业与下游深加工企业合作，大力推广相关先进技术产业化应用，促进跨行业、跨领域的产业协同和政策协同，推进砂石产业合理有序发展。</w:t>
      </w:r>
    </w:p>
    <w:p w:rsidR="001E6CF4" w:rsidRDefault="005458C6">
      <w:pPr>
        <w:pStyle w:val="a0"/>
        <w:overflowPunct w:val="0"/>
        <w:spacing w:line="59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新设砂石资源开采矿山必须符合绿色矿山建设标准要求，在开采、加工、装运、储存等环节，积极采用先进、高效、节能的开采加工设备、技术和工艺，坚决淘汰高能耗、高污染、低效率的装备和工艺。</w:t>
      </w:r>
    </w:p>
    <w:p w:rsidR="001E6CF4" w:rsidRDefault="005458C6">
      <w:pPr>
        <w:pStyle w:val="a0"/>
        <w:overflowPunct w:val="0"/>
        <w:spacing w:line="59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按照“谁开采、谁治理，边开采、边治理”的原则，制定完备的治理措施，严格落实采矿权人矿山地质环境保护、水土流失</w:t>
      </w:r>
      <w:r>
        <w:rPr>
          <w:rFonts w:ascii="仿宋_GB2312" w:eastAsia="仿宋_GB2312" w:hAnsi="仿宋_GB2312" w:cs="仿宋_GB2312" w:hint="eastAsia"/>
          <w:b/>
          <w:color w:val="000000" w:themeColor="text1"/>
          <w:sz w:val="32"/>
          <w:szCs w:val="32"/>
        </w:rPr>
        <w:lastRenderedPageBreak/>
        <w:t>防治、生态环境修复与土地复垦的主体责任，认真落实矿山地质环境恢复治理基金制度。</w:t>
      </w:r>
    </w:p>
    <w:p w:rsidR="001E6CF4" w:rsidRDefault="001E6CF4" w:rsidP="00437FD6">
      <w:pPr>
        <w:overflowPunct w:val="0"/>
        <w:spacing w:line="590" w:lineRule="exact"/>
        <w:ind w:firstLine="602"/>
        <w:rPr>
          <w:rFonts w:ascii="仿宋_GB2312" w:eastAsia="仿宋_GB2312" w:hAnsi="仿宋_GB2312" w:cs="仿宋_GB2312"/>
          <w:b/>
          <w:color w:val="000000" w:themeColor="text1"/>
        </w:rPr>
      </w:pPr>
    </w:p>
    <w:p w:rsidR="001E6CF4" w:rsidRDefault="005458C6" w:rsidP="00437FD6">
      <w:pPr>
        <w:ind w:firstLine="602"/>
        <w:rPr>
          <w:rFonts w:ascii="仿宋_GB2312" w:eastAsia="仿宋_GB2312" w:hAnsi="仿宋_GB2312" w:cs="仿宋_GB2312"/>
          <w:b/>
          <w:color w:val="000000" w:themeColor="text1"/>
        </w:rPr>
      </w:pPr>
      <w:r>
        <w:rPr>
          <w:rFonts w:ascii="仿宋_GB2312" w:eastAsia="仿宋_GB2312" w:hAnsi="仿宋_GB2312" w:cs="仿宋_GB2312" w:hint="eastAsia"/>
          <w:b/>
          <w:color w:val="000000" w:themeColor="text1"/>
        </w:rPr>
        <w:br w:type="page"/>
      </w:r>
    </w:p>
    <w:p w:rsidR="001E6CF4" w:rsidRDefault="001E6CF4">
      <w:pPr>
        <w:pStyle w:val="1"/>
        <w:spacing w:beforeAutospacing="0" w:afterAutospacing="0" w:line="590" w:lineRule="exact"/>
        <w:rPr>
          <w:rFonts w:ascii="方正小标宋简体" w:eastAsia="方正小标宋简体" w:hAnsi="方正小标宋简体" w:cs="方正小标宋简体" w:hint="default"/>
          <w:b w:val="0"/>
          <w:color w:val="000000" w:themeColor="text1"/>
          <w:sz w:val="44"/>
          <w:szCs w:val="44"/>
        </w:rPr>
      </w:pPr>
      <w:bookmarkStart w:id="125" w:name="_Toc17734"/>
    </w:p>
    <w:bookmarkEnd w:id="119"/>
    <w:bookmarkEnd w:id="120"/>
    <w:p w:rsidR="001E6CF4" w:rsidRDefault="005458C6">
      <w:pPr>
        <w:pStyle w:val="1"/>
        <w:spacing w:beforeAutospacing="0" w:afterAutospacing="0" w:line="590" w:lineRule="exact"/>
        <w:rPr>
          <w:rFonts w:ascii="方正小标宋简体" w:eastAsia="方正小标宋简体" w:hAnsi="方正小标宋简体" w:cs="方正小标宋简体" w:hint="default"/>
          <w:b w:val="0"/>
          <w:color w:val="000000" w:themeColor="text1"/>
          <w:sz w:val="44"/>
          <w:szCs w:val="44"/>
        </w:rPr>
      </w:pPr>
      <w:r>
        <w:rPr>
          <w:rFonts w:ascii="方正小标宋简体" w:eastAsia="方正小标宋简体" w:hAnsi="方正小标宋简体" w:cs="方正小标宋简体"/>
          <w:b w:val="0"/>
          <w:color w:val="000000" w:themeColor="text1"/>
          <w:sz w:val="44"/>
          <w:szCs w:val="44"/>
        </w:rPr>
        <w:t>第五章 矿业绿色发展</w:t>
      </w:r>
      <w:bookmarkEnd w:id="125"/>
    </w:p>
    <w:p w:rsidR="001E6CF4" w:rsidRDefault="001E6CF4">
      <w:pPr>
        <w:ind w:firstLineChars="0" w:firstLine="0"/>
      </w:pPr>
    </w:p>
    <w:p w:rsidR="001E6CF4" w:rsidRDefault="005458C6">
      <w:pPr>
        <w:pStyle w:val="2"/>
        <w:keepNext w:val="0"/>
        <w:keepLines w:val="0"/>
        <w:overflowPunct w:val="0"/>
        <w:adjustRightInd/>
        <w:snapToGrid/>
        <w:spacing w:line="590" w:lineRule="exact"/>
        <w:ind w:firstLineChars="200" w:firstLine="643"/>
        <w:rPr>
          <w:rFonts w:ascii="黑体" w:eastAsia="黑体" w:hAnsi="黑体" w:cs="黑体"/>
          <w:bCs w:val="0"/>
          <w:color w:val="000000" w:themeColor="text1"/>
        </w:rPr>
      </w:pPr>
      <w:bookmarkStart w:id="126" w:name="_Toc30900"/>
      <w:bookmarkStart w:id="127" w:name="_Toc4311"/>
      <w:bookmarkStart w:id="128" w:name="_Toc25449"/>
      <w:r>
        <w:rPr>
          <w:rFonts w:ascii="黑体" w:eastAsia="黑体" w:hAnsi="黑体" w:cs="黑体" w:hint="eastAsia"/>
          <w:bCs w:val="0"/>
          <w:color w:val="000000" w:themeColor="text1"/>
        </w:rPr>
        <w:t>一、推进绿色勘查</w:t>
      </w:r>
      <w:bookmarkEnd w:id="126"/>
    </w:p>
    <w:p w:rsidR="001E6CF4" w:rsidRDefault="005458C6" w:rsidP="00437FD6">
      <w:pPr>
        <w:overflowPunct w:val="0"/>
        <w:spacing w:line="59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以绿色发展理念为引领，以科学管理和先进技术为手段，通过运用先进的勘查手段、方法、设备和工艺，实施勘查全过程环境影响最小化控制，最大限度地减少对生态环境的扰动，对受扰动生态环境进行及时修复。</w:t>
      </w:r>
    </w:p>
    <w:p w:rsidR="001E6CF4" w:rsidRDefault="005458C6" w:rsidP="00437FD6">
      <w:pPr>
        <w:overflowPunct w:val="0"/>
        <w:spacing w:line="59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坚持绿色勘查与勘查方案同设计、同审查、同验收。勘查方案应明确绿色勘查的具体内容，技术手段和保障监管措施。严格按照勘查方案实施，遵照《绿色地质勘查工作规范》进行施工，不得随意调整。鼓励采用以浅钻代替槽探技术，减少对土壤和植被的扰动。槽探经地质观测、编录及采样、验收等工作结束后，不需保留的槽探，应按照规定顺序自下而上进行回填压实。钻孔施工应选用技术性能先进、可靠，节能、环保，易于搬运、安装和拆卸，占地面积小的设备。鼓励科技创新，积极探索绿色勘查新技术、新方法、新工艺和新装备。勘查责任主体应建立绿色勘查监管制度，由绿色勘查监督管理机构或责任部门，对设计、施工和成果进行审查、检查监督及验收评价。及时对绿色勘查工作进行动态监管，督促勘查施工单位认真执行绿色勘查设计要求及规范标准。</w:t>
      </w:r>
    </w:p>
    <w:p w:rsidR="001E6CF4" w:rsidRDefault="005458C6">
      <w:pPr>
        <w:pStyle w:val="2"/>
        <w:keepNext w:val="0"/>
        <w:keepLines w:val="0"/>
        <w:overflowPunct w:val="0"/>
        <w:adjustRightInd/>
        <w:snapToGrid/>
        <w:spacing w:line="590" w:lineRule="exact"/>
        <w:ind w:firstLineChars="200" w:firstLine="643"/>
        <w:rPr>
          <w:rFonts w:ascii="黑体" w:eastAsia="黑体" w:hAnsi="黑体" w:cs="黑体"/>
          <w:bCs w:val="0"/>
          <w:color w:val="000000" w:themeColor="text1"/>
        </w:rPr>
      </w:pPr>
      <w:bookmarkStart w:id="129" w:name="_Toc24746"/>
      <w:r>
        <w:rPr>
          <w:rFonts w:ascii="黑体" w:eastAsia="黑体" w:hAnsi="黑体" w:cs="黑体" w:hint="eastAsia"/>
          <w:bCs w:val="0"/>
          <w:color w:val="000000" w:themeColor="text1"/>
        </w:rPr>
        <w:t>二、加快绿色矿山</w:t>
      </w:r>
      <w:bookmarkEnd w:id="127"/>
      <w:bookmarkEnd w:id="128"/>
      <w:r>
        <w:rPr>
          <w:rFonts w:ascii="黑体" w:eastAsia="黑体" w:hAnsi="黑体" w:cs="黑体" w:hint="eastAsia"/>
          <w:bCs w:val="0"/>
          <w:color w:val="000000" w:themeColor="text1"/>
        </w:rPr>
        <w:t>开采</w:t>
      </w:r>
      <w:bookmarkEnd w:id="129"/>
    </w:p>
    <w:p w:rsidR="001E6CF4" w:rsidRDefault="005458C6" w:rsidP="00437FD6">
      <w:pPr>
        <w:overflowPunct w:val="0"/>
        <w:spacing w:line="58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lastRenderedPageBreak/>
        <w:t>以“双碳”目标驱动绿色发展，延安市的矿山全面实现绿色矿山新格局，将绿色发展理念贯穿于矿产资源利用与保护全过程，将资源开发对矿区及周边生态环境扰动控制在最小范围内。新建矿山全部达到绿色矿山建设标准，大、中型生产矿山基本达到绿色矿山标准，小型矿山按照绿色矿山标准规范管理，逐步达到要求；提高资源集约节约利用水平，有效保护矿山环境，提升矿区土地复垦水平；完善绿色矿山的建设标准、绿色矿山建设相关配套政策及激励机制、绿色矿山建设相关职能部门协调机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0"/>
      </w:tblGrid>
      <w:tr w:rsidR="001E6CF4">
        <w:trPr>
          <w:trHeight w:val="642"/>
        </w:trPr>
        <w:tc>
          <w:tcPr>
            <w:tcW w:w="5000" w:type="pct"/>
          </w:tcPr>
          <w:p w:rsidR="001E6CF4" w:rsidRDefault="005458C6">
            <w:pPr>
              <w:ind w:firstLineChars="0" w:firstLine="0"/>
              <w:jc w:val="center"/>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8"/>
                <w:szCs w:val="28"/>
              </w:rPr>
              <w:t>专栏9   绿色矿山开采示范项目</w:t>
            </w:r>
          </w:p>
        </w:tc>
      </w:tr>
      <w:tr w:rsidR="001E6CF4">
        <w:trPr>
          <w:trHeight w:val="2121"/>
        </w:trPr>
        <w:tc>
          <w:tcPr>
            <w:tcW w:w="5000" w:type="pct"/>
            <w:vAlign w:val="center"/>
          </w:tcPr>
          <w:p w:rsidR="001E6CF4" w:rsidRDefault="005458C6" w:rsidP="00437FD6">
            <w:pPr>
              <w:spacing w:line="300" w:lineRule="exact"/>
              <w:ind w:firstLine="506"/>
              <w:jc w:val="left"/>
              <w:rPr>
                <w:rFonts w:ascii="仿宋_GB2312" w:eastAsia="仿宋_GB2312" w:hAnsi="仿宋_GB2312" w:cs="仿宋_GB2312"/>
                <w:b/>
                <w:color w:val="000000" w:themeColor="text1"/>
                <w:sz w:val="24"/>
              </w:rPr>
            </w:pPr>
            <w:bookmarkStart w:id="130" w:name="_Toc15723"/>
            <w:bookmarkStart w:id="131" w:name="_Toc5253"/>
            <w:bookmarkStart w:id="132" w:name="_Toc14071"/>
            <w:r>
              <w:rPr>
                <w:rFonts w:ascii="仿宋_GB2312" w:eastAsia="仿宋_GB2312" w:hAnsi="仿宋_GB2312" w:cs="仿宋_GB2312" w:hint="eastAsia"/>
                <w:b/>
                <w:color w:val="000000" w:themeColor="text1"/>
                <w:spacing w:val="6"/>
                <w:sz w:val="24"/>
              </w:rPr>
              <w:t>根据资源赋存状况、地质条件、生态环境特征等条件，鼓励子长、黄陵国家规划矿区因地制宜地选择资源利用率高，且对矿区生态影响小的减排保护开采技术，积极推进“五型”的企业管理模式和“绿色开采、低碳发展”的企业理念，推进延安市华龙煤业有限公司宝塔区贯屯煤矿、延安市宝塔区四咀煤炭有限责任公司四咀煤矿、黄陵县南川二号煤矿有限公司智能化矿山、黄陵县太贤乡石牛沟煤矿绿色开采示范项目。</w:t>
            </w:r>
          </w:p>
        </w:tc>
      </w:tr>
    </w:tbl>
    <w:p w:rsidR="001E6CF4" w:rsidRDefault="005458C6">
      <w:pPr>
        <w:pStyle w:val="2"/>
        <w:keepNext w:val="0"/>
        <w:keepLines w:val="0"/>
        <w:overflowPunct w:val="0"/>
        <w:adjustRightInd/>
        <w:snapToGrid/>
        <w:spacing w:line="590" w:lineRule="exact"/>
        <w:ind w:firstLineChars="200" w:firstLine="643"/>
        <w:rPr>
          <w:rFonts w:ascii="黑体" w:eastAsia="黑体" w:hAnsi="黑体" w:cs="黑体"/>
          <w:bCs w:val="0"/>
          <w:color w:val="000000" w:themeColor="text1"/>
        </w:rPr>
      </w:pPr>
      <w:r>
        <w:rPr>
          <w:rFonts w:ascii="黑体" w:eastAsia="黑体" w:hAnsi="黑体" w:cs="黑体" w:hint="eastAsia"/>
          <w:bCs w:val="0"/>
          <w:color w:val="000000" w:themeColor="text1"/>
        </w:rPr>
        <w:t>三、加大矿山生态保护修复</w:t>
      </w:r>
      <w:bookmarkEnd w:id="130"/>
      <w:bookmarkEnd w:id="131"/>
      <w:bookmarkEnd w:id="132"/>
    </w:p>
    <w:p w:rsidR="001E6CF4" w:rsidRDefault="005458C6" w:rsidP="00437FD6">
      <w:pPr>
        <w:overflowPunct w:val="0"/>
        <w:spacing w:line="59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坚持“节约优先，保护优先，自然恢复为主，人工修复为辅”的方针。以沿黄（河）流域为重点，加快黄河流域生态保护和高质量发展先行区建设。按照重在保护、要在自理要求，以促进化合生态系统良性永续循环、增强生态屏障质量效能。综合考虑采煤沉降区及“三区三线”及其它各类保护区等因素，统筹矿山地质环境治理恢复工程，全面推进矿山生态修复。坚持“谁破坏、谁治理”、“在保护中开发、在开发中保护”的原则，坚持保护与开发协调发展，加强建设绿色矿山，减少采矿活动产生的破坏，</w:t>
      </w:r>
      <w:r>
        <w:rPr>
          <w:rFonts w:ascii="仿宋_GB2312" w:eastAsia="仿宋_GB2312" w:hAnsi="仿宋_GB2312" w:cs="仿宋_GB2312" w:hint="eastAsia"/>
          <w:b/>
          <w:color w:val="000000" w:themeColor="text1"/>
          <w:sz w:val="32"/>
          <w:szCs w:val="32"/>
        </w:rPr>
        <w:lastRenderedPageBreak/>
        <w:t>做到不欠新账。做到因地制宜，注重实效，宜耕则耕、宜林则林、宜园则园、宜水则水，统筹推进山水林田湖草一体化治理，鼓励开发式治理，推广先进治理恢复技术，提高矿山地质环境效益。进一步加强矿山地质环境治理恢复监管，及时开展矿山地质环境调查评价与监测，适时采取防治措施，使矿山生态得到有效保护与治理。</w:t>
      </w:r>
    </w:p>
    <w:p w:rsidR="001E6CF4" w:rsidRDefault="005458C6">
      <w:pPr>
        <w:spacing w:line="600" w:lineRule="exact"/>
        <w:ind w:firstLine="602"/>
        <w:rPr>
          <w:rFonts w:ascii="仿宋_GB2312" w:eastAsia="仿宋_GB2312" w:hAnsi="仿宋_GB2312" w:cs="仿宋_GB2312"/>
          <w:b/>
          <w:color w:val="000000" w:themeColor="text1"/>
          <w:kern w:val="44"/>
          <w:szCs w:val="56"/>
        </w:rPr>
      </w:pPr>
      <w:r>
        <w:rPr>
          <w:rFonts w:ascii="仿宋_GB2312" w:eastAsia="仿宋_GB2312" w:hAnsi="仿宋_GB2312" w:cs="仿宋_GB2312" w:hint="eastAsia"/>
          <w:b/>
          <w:color w:val="000000" w:themeColor="text1"/>
          <w:kern w:val="44"/>
          <w:szCs w:val="56"/>
        </w:rPr>
        <w:br w:type="page"/>
      </w:r>
    </w:p>
    <w:p w:rsidR="001E6CF4" w:rsidRDefault="001E6CF4">
      <w:pPr>
        <w:pStyle w:val="1"/>
        <w:overflowPunct w:val="0"/>
        <w:spacing w:beforeAutospacing="0" w:afterAutospacing="0" w:line="580" w:lineRule="exact"/>
        <w:ind w:firstLineChars="200" w:firstLine="880"/>
        <w:jc w:val="both"/>
        <w:rPr>
          <w:rFonts w:ascii="方正小标宋简体" w:eastAsia="方正小标宋简体" w:hAnsi="方正小标宋简体" w:cs="方正小标宋简体" w:hint="default"/>
          <w:b w:val="0"/>
          <w:color w:val="000000" w:themeColor="text1"/>
          <w:sz w:val="44"/>
          <w:szCs w:val="44"/>
        </w:rPr>
      </w:pPr>
      <w:bookmarkStart w:id="133" w:name="_Toc15772"/>
      <w:bookmarkStart w:id="134" w:name="_Toc2740"/>
      <w:bookmarkStart w:id="135" w:name="_Toc29810"/>
    </w:p>
    <w:p w:rsidR="001E6CF4" w:rsidRDefault="005458C6">
      <w:pPr>
        <w:pStyle w:val="1"/>
        <w:overflowPunct w:val="0"/>
        <w:spacing w:beforeAutospacing="0" w:afterAutospacing="0" w:line="580" w:lineRule="exact"/>
        <w:rPr>
          <w:rFonts w:ascii="方正小标宋简体" w:eastAsia="方正小标宋简体" w:hAnsi="方正小标宋简体" w:cs="方正小标宋简体" w:hint="default"/>
          <w:b w:val="0"/>
          <w:color w:val="000000" w:themeColor="text1"/>
          <w:sz w:val="44"/>
          <w:szCs w:val="44"/>
        </w:rPr>
      </w:pPr>
      <w:r>
        <w:rPr>
          <w:rFonts w:ascii="方正小标宋简体" w:eastAsia="方正小标宋简体" w:hAnsi="方正小标宋简体" w:cs="方正小标宋简体"/>
          <w:b w:val="0"/>
          <w:color w:val="000000" w:themeColor="text1"/>
          <w:sz w:val="44"/>
          <w:szCs w:val="44"/>
        </w:rPr>
        <w:t>第六章 规划实施与管理</w:t>
      </w:r>
      <w:bookmarkEnd w:id="133"/>
      <w:bookmarkEnd w:id="134"/>
      <w:bookmarkEnd w:id="135"/>
    </w:p>
    <w:p w:rsidR="001E6CF4" w:rsidRDefault="001E6CF4">
      <w:pPr>
        <w:overflowPunct w:val="0"/>
        <w:spacing w:line="580" w:lineRule="exact"/>
        <w:ind w:firstLine="600"/>
      </w:pPr>
    </w:p>
    <w:p w:rsidR="001E6CF4" w:rsidRDefault="005458C6">
      <w:pPr>
        <w:pStyle w:val="2"/>
        <w:keepNext w:val="0"/>
        <w:keepLines w:val="0"/>
        <w:overflowPunct w:val="0"/>
        <w:adjustRightInd/>
        <w:snapToGrid/>
        <w:spacing w:line="580" w:lineRule="exact"/>
        <w:ind w:firstLineChars="200" w:firstLine="643"/>
        <w:rPr>
          <w:rFonts w:ascii="黑体" w:eastAsia="黑体" w:hAnsi="黑体" w:cs="黑体"/>
          <w:bCs w:val="0"/>
          <w:color w:val="000000" w:themeColor="text1"/>
        </w:rPr>
      </w:pPr>
      <w:bookmarkStart w:id="136" w:name="_Toc27266"/>
      <w:bookmarkStart w:id="137" w:name="_Toc24764"/>
      <w:bookmarkStart w:id="138" w:name="_Toc18433"/>
      <w:r>
        <w:rPr>
          <w:rFonts w:ascii="黑体" w:eastAsia="黑体" w:hAnsi="黑体" w:cs="黑体" w:hint="eastAsia"/>
          <w:bCs w:val="0"/>
          <w:color w:val="000000" w:themeColor="text1"/>
        </w:rPr>
        <w:t>一、加强组织领导</w:t>
      </w:r>
      <w:bookmarkEnd w:id="136"/>
      <w:bookmarkEnd w:id="137"/>
      <w:bookmarkEnd w:id="138"/>
    </w:p>
    <w:p w:rsidR="001E6CF4" w:rsidRDefault="005458C6">
      <w:pPr>
        <w:overflowPunct w:val="0"/>
        <w:spacing w:line="58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市、县两级人民政府是规划实施的责任主体，要以生态优先摆在更加突出的战略位置，协调处理好生态环境保护与矿产资源开发的关系，提高政治站位，明确责任，落实任务，严格考核，务求实效。要共抓大保护，不搞大开采，着力推进矿产资源绿色高质量发展。各工作部门要依法行政，齐抓共管，要按照省级统筹督促、市级监督协调、县区级负主体责任的原则，推动全市矿产资源勘查和开发利用与保护的质量变革、效率变革、动力变革、管理变革。</w:t>
      </w:r>
    </w:p>
    <w:p w:rsidR="001E6CF4" w:rsidRDefault="005458C6">
      <w:pPr>
        <w:pStyle w:val="2"/>
        <w:keepNext w:val="0"/>
        <w:keepLines w:val="0"/>
        <w:overflowPunct w:val="0"/>
        <w:adjustRightInd/>
        <w:snapToGrid/>
        <w:spacing w:line="580" w:lineRule="exact"/>
        <w:ind w:firstLineChars="200" w:firstLine="643"/>
        <w:rPr>
          <w:rFonts w:ascii="黑体" w:eastAsia="黑体" w:hAnsi="黑体" w:cs="黑体"/>
          <w:bCs w:val="0"/>
          <w:color w:val="000000" w:themeColor="text1"/>
        </w:rPr>
      </w:pPr>
      <w:bookmarkStart w:id="139" w:name="_Toc13339"/>
      <w:bookmarkStart w:id="140" w:name="_Toc4393"/>
      <w:bookmarkStart w:id="141" w:name="_Toc28992"/>
      <w:r>
        <w:rPr>
          <w:rFonts w:ascii="黑体" w:eastAsia="黑体" w:hAnsi="黑体" w:cs="黑体" w:hint="eastAsia"/>
          <w:bCs w:val="0"/>
          <w:color w:val="000000" w:themeColor="text1"/>
        </w:rPr>
        <w:t>二、严格监督管理</w:t>
      </w:r>
      <w:bookmarkEnd w:id="139"/>
      <w:bookmarkEnd w:id="140"/>
      <w:bookmarkEnd w:id="141"/>
    </w:p>
    <w:p w:rsidR="001E6CF4" w:rsidRDefault="005458C6">
      <w:pPr>
        <w:overflowPunct w:val="0"/>
        <w:spacing w:line="58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在市政府的统一领导下，加强市级部门协作，发挥市、县级政府监管主体责任，矿业权人主动作为，建立上下联动、良性互动的工作机制，促进规划实施监督工作。根据“净矿”出让的大趋势，借助自然资源“两统一”管理优势，加强矿产资源勘查开发涉及土地的产权管理的衔接。以推动“净矿”出让为契机，推动对矿产资源勘查开发的全周期规划和管理。要重点加强对矿业权退出执行情况、矿山地质环境治理恢复和土地复垦情况的监督检查。强化重点区域和重点领域的规划实施监督管理，接受社会公众监督，强化检查措施，对出现的新情况、新问题，适时提出</w:t>
      </w:r>
      <w:r>
        <w:rPr>
          <w:rFonts w:ascii="仿宋_GB2312" w:eastAsia="仿宋_GB2312" w:hAnsi="仿宋_GB2312" w:cs="仿宋_GB2312" w:hint="eastAsia"/>
          <w:b/>
          <w:color w:val="000000" w:themeColor="text1"/>
          <w:sz w:val="32"/>
          <w:szCs w:val="32"/>
        </w:rPr>
        <w:lastRenderedPageBreak/>
        <w:t>应对解决措施，确保《规划》全面落实。</w:t>
      </w:r>
    </w:p>
    <w:p w:rsidR="001E6CF4" w:rsidRDefault="005458C6">
      <w:pPr>
        <w:pStyle w:val="2"/>
        <w:keepNext w:val="0"/>
        <w:keepLines w:val="0"/>
        <w:overflowPunct w:val="0"/>
        <w:adjustRightInd/>
        <w:snapToGrid/>
        <w:spacing w:line="590" w:lineRule="exact"/>
        <w:ind w:firstLineChars="200" w:firstLine="643"/>
        <w:rPr>
          <w:rFonts w:ascii="黑体" w:eastAsia="黑体" w:hAnsi="黑体" w:cs="黑体"/>
          <w:bCs w:val="0"/>
          <w:color w:val="000000" w:themeColor="text1"/>
        </w:rPr>
      </w:pPr>
      <w:bookmarkStart w:id="142" w:name="_Toc20637"/>
      <w:bookmarkStart w:id="143" w:name="_Toc5500"/>
      <w:bookmarkStart w:id="144" w:name="_Toc29180"/>
      <w:r>
        <w:rPr>
          <w:rFonts w:ascii="黑体" w:eastAsia="黑体" w:hAnsi="黑体" w:cs="黑体" w:hint="eastAsia"/>
          <w:bCs w:val="0"/>
          <w:color w:val="000000" w:themeColor="text1"/>
        </w:rPr>
        <w:t>三、健全完善规划实施评估调整机制</w:t>
      </w:r>
      <w:bookmarkEnd w:id="142"/>
      <w:bookmarkEnd w:id="143"/>
      <w:bookmarkEnd w:id="144"/>
    </w:p>
    <w:p w:rsidR="001E6CF4" w:rsidRDefault="005458C6">
      <w:pPr>
        <w:overflowPunct w:val="0"/>
        <w:spacing w:line="59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对规划实施进行年度执行情况检查，开展规划实施中期评估，及时做出调整。加强《规划》落实情况的调研、监测、统计和分析，根据评估结果及时调整完善规划实施工作安排，分析存在的主要问题及原因并找出应对思路，为矿产资源管理决策和规划调整提供基础信息和依据。推动规划确定的各类指标和任务落地见效。</w:t>
      </w:r>
    </w:p>
    <w:p w:rsidR="001E6CF4" w:rsidRDefault="005458C6">
      <w:pPr>
        <w:pStyle w:val="2"/>
        <w:keepNext w:val="0"/>
        <w:keepLines w:val="0"/>
        <w:overflowPunct w:val="0"/>
        <w:adjustRightInd/>
        <w:snapToGrid/>
        <w:spacing w:line="590" w:lineRule="exact"/>
        <w:ind w:firstLineChars="200" w:firstLine="643"/>
        <w:rPr>
          <w:rFonts w:ascii="黑体" w:eastAsia="黑体" w:hAnsi="黑体" w:cs="黑体"/>
          <w:bCs w:val="0"/>
          <w:color w:val="000000" w:themeColor="text1"/>
        </w:rPr>
      </w:pPr>
      <w:bookmarkStart w:id="145" w:name="_Toc76552443"/>
      <w:bookmarkStart w:id="146" w:name="_Toc23177"/>
      <w:bookmarkStart w:id="147" w:name="_Toc12880"/>
      <w:bookmarkStart w:id="148" w:name="_Toc1465"/>
      <w:r>
        <w:rPr>
          <w:rFonts w:ascii="黑体" w:eastAsia="黑体" w:hAnsi="黑体" w:cs="黑体" w:hint="eastAsia"/>
          <w:bCs w:val="0"/>
          <w:color w:val="000000" w:themeColor="text1"/>
        </w:rPr>
        <w:t>四、建立动态更新机制</w:t>
      </w:r>
      <w:bookmarkEnd w:id="145"/>
      <w:bookmarkEnd w:id="146"/>
    </w:p>
    <w:p w:rsidR="001E6CF4" w:rsidRDefault="005458C6">
      <w:pPr>
        <w:overflowPunct w:val="0"/>
        <w:spacing w:line="59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规划数据库调整要与规划实施监测与评估工作紧密结合，建立规划数据库动态更新机制，实行集中动态调整，原则上每年度集中调整完善一次。每年1月底前，可根据矿业权出让项目库及当年矿业权出让计划安排需要，对确需新增或调整的勘查开采规划区块，进行集中调整，并纳入规划数据库。</w:t>
      </w:r>
    </w:p>
    <w:p w:rsidR="001E6CF4" w:rsidRDefault="005458C6">
      <w:pPr>
        <w:pStyle w:val="2"/>
        <w:keepNext w:val="0"/>
        <w:keepLines w:val="0"/>
        <w:overflowPunct w:val="0"/>
        <w:adjustRightInd/>
        <w:snapToGrid/>
        <w:spacing w:line="590" w:lineRule="exact"/>
        <w:ind w:firstLineChars="200" w:firstLine="643"/>
        <w:rPr>
          <w:rFonts w:ascii="黑体" w:eastAsia="黑体" w:hAnsi="黑体" w:cs="黑体"/>
          <w:bCs w:val="0"/>
          <w:color w:val="000000" w:themeColor="text1"/>
        </w:rPr>
      </w:pPr>
      <w:bookmarkStart w:id="149" w:name="_Toc16"/>
      <w:r>
        <w:rPr>
          <w:rFonts w:ascii="黑体" w:eastAsia="黑体" w:hAnsi="黑体" w:cs="黑体" w:hint="eastAsia"/>
          <w:bCs w:val="0"/>
          <w:color w:val="000000" w:themeColor="text1"/>
        </w:rPr>
        <w:t>五、推动重点项目顺利实施</w:t>
      </w:r>
      <w:bookmarkEnd w:id="147"/>
      <w:bookmarkEnd w:id="148"/>
      <w:bookmarkEnd w:id="149"/>
    </w:p>
    <w:p w:rsidR="001E6CF4" w:rsidRDefault="005458C6">
      <w:pPr>
        <w:overflowPunct w:val="0"/>
        <w:spacing w:line="59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《规划》确定的矿产资源调查评价与勘查、矿产资源开发利用与保护、矿业绿色发展等重点项目，各级政府部门要做好项目立项、资金筹措、风险评估、过程监管等，确保重大工程取得预期成果。</w:t>
      </w:r>
    </w:p>
    <w:p w:rsidR="001E6CF4" w:rsidRDefault="005458C6">
      <w:pPr>
        <w:overflowPunct w:val="0"/>
        <w:spacing w:line="59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《规划》确定的具体任务，各级资源管理部门要切实履行职能，加强规划引导，完善政策规章，加大执法力度，引导并激发市场主体积极性，创造性地加以推进。</w:t>
      </w:r>
    </w:p>
    <w:p w:rsidR="001E6CF4" w:rsidRDefault="005458C6">
      <w:pPr>
        <w:pStyle w:val="2"/>
        <w:keepNext w:val="0"/>
        <w:keepLines w:val="0"/>
        <w:overflowPunct w:val="0"/>
        <w:adjustRightInd/>
        <w:snapToGrid/>
        <w:spacing w:line="590" w:lineRule="exact"/>
        <w:ind w:firstLineChars="200" w:firstLine="643"/>
        <w:rPr>
          <w:rFonts w:ascii="黑体" w:eastAsia="黑体" w:hAnsi="黑体" w:cs="黑体"/>
          <w:bCs w:val="0"/>
          <w:color w:val="000000" w:themeColor="text1"/>
        </w:rPr>
      </w:pPr>
      <w:bookmarkStart w:id="150" w:name="_Toc24226"/>
      <w:bookmarkStart w:id="151" w:name="_Toc8937"/>
      <w:bookmarkStart w:id="152" w:name="_Toc21414"/>
      <w:r>
        <w:rPr>
          <w:rFonts w:ascii="黑体" w:eastAsia="黑体" w:hAnsi="黑体" w:cs="黑体" w:hint="eastAsia"/>
          <w:bCs w:val="0"/>
          <w:color w:val="000000" w:themeColor="text1"/>
        </w:rPr>
        <w:lastRenderedPageBreak/>
        <w:t>六、</w:t>
      </w:r>
      <w:bookmarkEnd w:id="150"/>
      <w:bookmarkEnd w:id="151"/>
      <w:r>
        <w:rPr>
          <w:rFonts w:ascii="黑体" w:eastAsia="黑体" w:hAnsi="黑体" w:cs="黑体" w:hint="eastAsia"/>
          <w:bCs w:val="0"/>
          <w:color w:val="000000" w:themeColor="text1"/>
        </w:rPr>
        <w:t>注重宣传引领</w:t>
      </w:r>
      <w:bookmarkEnd w:id="152"/>
    </w:p>
    <w:p w:rsidR="001E6CF4" w:rsidRDefault="005458C6">
      <w:pPr>
        <w:overflowPunct w:val="0"/>
        <w:spacing w:line="590" w:lineRule="exact"/>
        <w:ind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市、县两级政府及各部门要做好规划的宣传解读，提高社会各界对规划的认知度，动员全社会关心支持矿业经济发展。积极开展相关培训指导，及时分析规划实施及监测评估典型案例，总结推广先进经验，凝聚矿产资源保护与开发的共识与合力，为规划实施营造良好的社会环境。</w:t>
      </w:r>
    </w:p>
    <w:p w:rsidR="00437FD6" w:rsidRDefault="00437FD6" w:rsidP="00437FD6">
      <w:pPr>
        <w:pStyle w:val="a0"/>
        <w:ind w:firstLine="600"/>
      </w:pPr>
    </w:p>
    <w:p w:rsidR="00437FD6" w:rsidRDefault="00437FD6" w:rsidP="00437FD6">
      <w:pPr>
        <w:ind w:firstLine="600"/>
      </w:pPr>
    </w:p>
    <w:p w:rsidR="00437FD6" w:rsidRDefault="00437FD6" w:rsidP="00437FD6">
      <w:pPr>
        <w:pStyle w:val="a0"/>
        <w:ind w:firstLine="600"/>
      </w:pPr>
    </w:p>
    <w:p w:rsidR="00437FD6" w:rsidRDefault="00437FD6" w:rsidP="00437FD6">
      <w:pPr>
        <w:ind w:firstLine="600"/>
      </w:pPr>
    </w:p>
    <w:p w:rsidR="00437FD6" w:rsidRDefault="00437FD6" w:rsidP="00437FD6">
      <w:pPr>
        <w:pStyle w:val="a0"/>
        <w:ind w:firstLine="600"/>
      </w:pPr>
    </w:p>
    <w:p w:rsidR="00437FD6" w:rsidRPr="00437FD6" w:rsidRDefault="00437FD6" w:rsidP="00437FD6">
      <w:pPr>
        <w:ind w:firstLine="600"/>
      </w:pPr>
    </w:p>
    <w:p w:rsidR="00437FD6" w:rsidRDefault="00437FD6" w:rsidP="00437FD6">
      <w:pPr>
        <w:pStyle w:val="a0"/>
        <w:ind w:firstLine="600"/>
      </w:pPr>
    </w:p>
    <w:p w:rsidR="00437FD6" w:rsidRDefault="00437FD6" w:rsidP="00437FD6">
      <w:pPr>
        <w:ind w:firstLine="600"/>
      </w:pPr>
    </w:p>
    <w:p w:rsidR="00437FD6" w:rsidRDefault="00437FD6" w:rsidP="00437FD6">
      <w:pPr>
        <w:pStyle w:val="a0"/>
        <w:ind w:firstLine="600"/>
      </w:pPr>
    </w:p>
    <w:p w:rsidR="00437FD6" w:rsidRDefault="00437FD6" w:rsidP="00437FD6">
      <w:pPr>
        <w:ind w:firstLine="600"/>
      </w:pPr>
    </w:p>
    <w:p w:rsidR="00437FD6" w:rsidRDefault="00437FD6" w:rsidP="00437FD6">
      <w:pPr>
        <w:pStyle w:val="a0"/>
        <w:ind w:firstLine="600"/>
      </w:pPr>
    </w:p>
    <w:p w:rsidR="00437FD6" w:rsidRDefault="00437FD6" w:rsidP="00437FD6">
      <w:pPr>
        <w:pBdr>
          <w:bottom w:val="single" w:sz="6" w:space="1" w:color="auto"/>
        </w:pBdr>
        <w:overflowPunct w:val="0"/>
        <w:adjustRightInd w:val="0"/>
        <w:snapToGrid w:val="0"/>
        <w:spacing w:line="580" w:lineRule="exact"/>
        <w:ind w:firstLine="643"/>
        <w:rPr>
          <w:rFonts w:ascii="仿宋_GB2312" w:eastAsia="仿宋_GB2312"/>
          <w:b/>
          <w:sz w:val="32"/>
          <w:szCs w:val="32"/>
        </w:rPr>
      </w:pPr>
    </w:p>
    <w:p w:rsidR="00437FD6" w:rsidRDefault="00437FD6" w:rsidP="00437FD6">
      <w:pPr>
        <w:overflowPunct w:val="0"/>
        <w:adjustRightInd w:val="0"/>
        <w:snapToGrid w:val="0"/>
        <w:spacing w:line="380" w:lineRule="exact"/>
        <w:ind w:firstLineChars="98" w:firstLine="275"/>
        <w:jc w:val="left"/>
        <w:rPr>
          <w:rFonts w:ascii="仿宋_GB2312" w:eastAsia="仿宋_GB2312" w:cs="仿宋_GB2312"/>
          <w:b/>
          <w:spacing w:val="-18"/>
          <w:sz w:val="28"/>
          <w:szCs w:val="28"/>
        </w:rPr>
      </w:pPr>
      <w:r>
        <w:rPr>
          <w:rFonts w:ascii="仿宋_GB2312" w:eastAsia="仿宋_GB2312" w:cs="仿宋_GB2312" w:hint="eastAsia"/>
          <w:b/>
          <w:sz w:val="28"/>
          <w:szCs w:val="28"/>
        </w:rPr>
        <w:t>抄送：市</w:t>
      </w:r>
      <w:r>
        <w:rPr>
          <w:rFonts w:ascii="仿宋_GB2312" w:eastAsia="仿宋_GB2312" w:cs="仿宋_GB2312" w:hint="eastAsia"/>
          <w:b/>
          <w:spacing w:val="-20"/>
          <w:sz w:val="28"/>
          <w:szCs w:val="28"/>
        </w:rPr>
        <w:t>委各部门，市纪委监委办公室，市人大常委会办公室，市政协办公室，</w:t>
      </w:r>
    </w:p>
    <w:p w:rsidR="00437FD6" w:rsidRDefault="00437FD6" w:rsidP="00437FD6">
      <w:pPr>
        <w:overflowPunct w:val="0"/>
        <w:adjustRightInd w:val="0"/>
        <w:snapToGrid w:val="0"/>
        <w:spacing w:line="380" w:lineRule="exact"/>
        <w:ind w:firstLineChars="403" w:firstLine="1133"/>
        <w:jc w:val="left"/>
        <w:rPr>
          <w:rFonts w:ascii="仿宋_GB2312" w:eastAsia="仿宋_GB2312" w:cs="仿宋_GB2312"/>
          <w:b/>
          <w:sz w:val="28"/>
          <w:szCs w:val="28"/>
        </w:rPr>
      </w:pPr>
      <w:r>
        <w:rPr>
          <w:rFonts w:ascii="仿宋_GB2312" w:eastAsia="仿宋_GB2312" w:cs="仿宋_GB2312" w:hint="eastAsia"/>
          <w:b/>
          <w:sz w:val="28"/>
          <w:szCs w:val="28"/>
        </w:rPr>
        <w:t>延安军分区。</w:t>
      </w:r>
    </w:p>
    <w:p w:rsidR="00437FD6" w:rsidRDefault="00437FD6" w:rsidP="00437FD6">
      <w:pPr>
        <w:overflowPunct w:val="0"/>
        <w:adjustRightInd w:val="0"/>
        <w:snapToGrid w:val="0"/>
        <w:spacing w:line="380" w:lineRule="exact"/>
        <w:ind w:firstLineChars="395" w:firstLine="1110"/>
        <w:jc w:val="left"/>
        <w:rPr>
          <w:rFonts w:ascii="仿宋_GB2312" w:eastAsia="仿宋_GB2312" w:cs="仿宋_GB2312"/>
          <w:b/>
          <w:sz w:val="28"/>
          <w:szCs w:val="28"/>
        </w:rPr>
      </w:pPr>
      <w:r>
        <w:rPr>
          <w:rFonts w:ascii="仿宋_GB2312" w:eastAsia="仿宋_GB2312" w:cs="仿宋_GB2312" w:hint="eastAsia"/>
          <w:b/>
          <w:sz w:val="28"/>
          <w:szCs w:val="28"/>
        </w:rPr>
        <w:t>市法院，市检察院，各人民团体，各新闻单位。</w:t>
      </w:r>
    </w:p>
    <w:p w:rsidR="00437FD6" w:rsidRDefault="00437FD6" w:rsidP="00437FD6">
      <w:pPr>
        <w:overflowPunct w:val="0"/>
        <w:adjustRightInd w:val="0"/>
        <w:snapToGrid w:val="0"/>
        <w:spacing w:line="380" w:lineRule="exact"/>
        <w:ind w:firstLineChars="393" w:firstLine="1105"/>
        <w:jc w:val="left"/>
        <w:rPr>
          <w:rFonts w:ascii="仿宋_GB2312" w:eastAsia="仿宋_GB2312" w:cs="仿宋_GB2312"/>
          <w:b/>
          <w:sz w:val="32"/>
          <w:szCs w:val="32"/>
        </w:rPr>
      </w:pPr>
      <w:r>
        <w:rPr>
          <w:rFonts w:ascii="仿宋_GB2312" w:eastAsia="仿宋_GB2312" w:cs="仿宋_GB2312" w:hint="eastAsia"/>
          <w:b/>
          <w:sz w:val="28"/>
          <w:szCs w:val="28"/>
        </w:rPr>
        <w:t>中、省驻延各单位。</w:t>
      </w:r>
    </w:p>
    <w:p w:rsidR="00437FD6" w:rsidRDefault="00437FD6" w:rsidP="00437FD6">
      <w:pPr>
        <w:pBdr>
          <w:top w:val="single" w:sz="6" w:space="1" w:color="auto"/>
          <w:bottom w:val="single" w:sz="6" w:space="0" w:color="auto"/>
        </w:pBdr>
        <w:overflowPunct w:val="0"/>
        <w:adjustRightInd w:val="0"/>
        <w:snapToGrid w:val="0"/>
        <w:spacing w:line="380" w:lineRule="exact"/>
        <w:ind w:firstLineChars="121" w:firstLine="340"/>
        <w:rPr>
          <w:rFonts w:ascii="仿宋_GB2312" w:eastAsia="仿宋_GB2312"/>
          <w:b/>
        </w:rPr>
      </w:pPr>
      <w:r>
        <w:rPr>
          <w:rFonts w:ascii="仿宋_GB2312" w:eastAsia="仿宋_GB2312" w:cs="仿宋_GB2312" w:hint="eastAsia"/>
          <w:b/>
          <w:sz w:val="28"/>
          <w:szCs w:val="28"/>
        </w:rPr>
        <w:t>延安市人民政府办公室                  2022年12月12日印发</w:t>
      </w:r>
    </w:p>
    <w:p w:rsidR="00437FD6" w:rsidRDefault="00437FD6" w:rsidP="00437FD6">
      <w:pPr>
        <w:overflowPunct w:val="0"/>
        <w:adjustRightInd w:val="0"/>
        <w:snapToGrid w:val="0"/>
        <w:spacing w:line="20" w:lineRule="exact"/>
        <w:ind w:firstLine="602"/>
        <w:rPr>
          <w:b/>
        </w:rPr>
      </w:pPr>
    </w:p>
    <w:sectPr w:rsidR="00437FD6" w:rsidSect="00B86950">
      <w:pgSz w:w="11906" w:h="16838" w:code="9"/>
      <w:pgMar w:top="1985" w:right="1474" w:bottom="1418" w:left="1588" w:header="1985" w:footer="1418" w:gutter="0"/>
      <w:cols w:space="0"/>
      <w:titlePg/>
      <w:docGrid w:type="lines" w:linePitch="4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42C" w:rsidRDefault="00EF542C">
      <w:pPr>
        <w:spacing w:line="240" w:lineRule="auto"/>
        <w:ind w:firstLine="600"/>
      </w:pPr>
      <w:r>
        <w:separator/>
      </w:r>
    </w:p>
  </w:endnote>
  <w:endnote w:type="continuationSeparator" w:id="0">
    <w:p w:rsidR="00EF542C" w:rsidRDefault="00EF542C">
      <w:pPr>
        <w:spacing w:line="240" w:lineRule="auto"/>
        <w:ind w:firstLine="60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42C" w:rsidRDefault="00EF542C">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42C" w:rsidRDefault="00EF542C">
    <w:pPr>
      <w:pStyle w:val="a8"/>
      <w:ind w:firstLine="360"/>
      <w:jc w:val="center"/>
    </w:pPr>
    <w:r>
      <w:rPr>
        <w:rFonts w:hAnsi="宋体" w:hint="eastAsia"/>
      </w:rPr>
      <w:t>Ⅱ</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42C" w:rsidRDefault="00EF542C">
    <w:pPr>
      <w:pStyle w:val="a8"/>
      <w:spacing w:line="240" w:lineRule="auto"/>
      <w:ind w:firstLineChars="11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42C" w:rsidRPr="00B86950" w:rsidRDefault="00EF542C" w:rsidP="00B86950">
    <w:pPr>
      <w:pStyle w:val="a8"/>
      <w:wordWrap w:val="0"/>
      <w:spacing w:line="240" w:lineRule="auto"/>
      <w:ind w:firstLineChars="101" w:firstLine="283"/>
      <w:jc w:val="both"/>
      <w:rPr>
        <w:bCs/>
      </w:rPr>
    </w:pPr>
    <w:r w:rsidRPr="00B86950">
      <w:rPr>
        <w:rFonts w:ascii="宋体" w:eastAsia="宋体" w:hAnsi="宋体" w:cs="宋体" w:hint="eastAsia"/>
        <w:bCs/>
        <w:sz w:val="28"/>
        <w:szCs w:val="28"/>
      </w:rPr>
      <w:t xml:space="preserve">— </w:t>
    </w:r>
    <w:r w:rsidR="00BA6129" w:rsidRPr="00B86950">
      <w:rPr>
        <w:rFonts w:ascii="宋体" w:eastAsia="宋体" w:hAnsi="宋体" w:cs="宋体" w:hint="eastAsia"/>
        <w:bCs/>
        <w:sz w:val="28"/>
        <w:szCs w:val="28"/>
      </w:rPr>
      <w:fldChar w:fldCharType="begin"/>
    </w:r>
    <w:r w:rsidRPr="00B86950">
      <w:rPr>
        <w:rFonts w:ascii="宋体" w:eastAsia="宋体" w:hAnsi="宋体" w:cs="宋体" w:hint="eastAsia"/>
        <w:bCs/>
        <w:sz w:val="28"/>
        <w:szCs w:val="28"/>
      </w:rPr>
      <w:instrText xml:space="preserve"> PAGE  \* MERGEFORMAT </w:instrText>
    </w:r>
    <w:r w:rsidR="00BA6129" w:rsidRPr="00B86950">
      <w:rPr>
        <w:rFonts w:ascii="宋体" w:eastAsia="宋体" w:hAnsi="宋体" w:cs="宋体" w:hint="eastAsia"/>
        <w:bCs/>
        <w:sz w:val="28"/>
        <w:szCs w:val="28"/>
      </w:rPr>
      <w:fldChar w:fldCharType="separate"/>
    </w:r>
    <w:r w:rsidR="009A68B8">
      <w:rPr>
        <w:rFonts w:ascii="宋体" w:eastAsia="宋体" w:hAnsi="宋体" w:cs="宋体"/>
        <w:bCs/>
        <w:noProof/>
        <w:sz w:val="28"/>
        <w:szCs w:val="28"/>
      </w:rPr>
      <w:t>30</w:t>
    </w:r>
    <w:r w:rsidR="00BA6129" w:rsidRPr="00B86950">
      <w:rPr>
        <w:rFonts w:ascii="宋体" w:eastAsia="宋体" w:hAnsi="宋体" w:cs="宋体" w:hint="eastAsia"/>
        <w:bCs/>
        <w:sz w:val="28"/>
        <w:szCs w:val="28"/>
      </w:rPr>
      <w:fldChar w:fldCharType="end"/>
    </w:r>
    <w:r w:rsidRPr="00B86950">
      <w:rPr>
        <w:rFonts w:ascii="宋体" w:eastAsia="宋体" w:hAnsi="宋体" w:cs="宋体" w:hint="eastAsia"/>
        <w:bCs/>
        <w:sz w:val="28"/>
        <w:szCs w:val="28"/>
      </w:rPr>
      <w:t xml:space="preserve"> —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42C" w:rsidRPr="00B86950" w:rsidRDefault="00EF542C" w:rsidP="00B86950">
    <w:pPr>
      <w:pStyle w:val="a8"/>
      <w:wordWrap w:val="0"/>
      <w:spacing w:line="240" w:lineRule="auto"/>
      <w:ind w:firstLine="560"/>
      <w:jc w:val="right"/>
    </w:pPr>
    <w:r w:rsidRPr="00B86950">
      <w:rPr>
        <w:rFonts w:ascii="宋体" w:eastAsia="宋体" w:hAnsi="宋体" w:cs="宋体" w:hint="eastAsia"/>
        <w:bCs/>
        <w:sz w:val="28"/>
        <w:szCs w:val="28"/>
      </w:rPr>
      <w:t xml:space="preserve">— </w:t>
    </w:r>
    <w:r w:rsidR="00BA6129" w:rsidRPr="00B86950">
      <w:rPr>
        <w:rFonts w:ascii="宋体" w:eastAsia="宋体" w:hAnsi="宋体" w:cs="宋体" w:hint="eastAsia"/>
        <w:bCs/>
        <w:sz w:val="28"/>
        <w:szCs w:val="28"/>
      </w:rPr>
      <w:fldChar w:fldCharType="begin"/>
    </w:r>
    <w:r w:rsidRPr="00B86950">
      <w:rPr>
        <w:rFonts w:ascii="宋体" w:eastAsia="宋体" w:hAnsi="宋体" w:cs="宋体" w:hint="eastAsia"/>
        <w:bCs/>
        <w:sz w:val="28"/>
        <w:szCs w:val="28"/>
      </w:rPr>
      <w:instrText xml:space="preserve"> PAGE  \* MERGEFORMAT </w:instrText>
    </w:r>
    <w:r w:rsidR="00BA6129" w:rsidRPr="00B86950">
      <w:rPr>
        <w:rFonts w:ascii="宋体" w:eastAsia="宋体" w:hAnsi="宋体" w:cs="宋体" w:hint="eastAsia"/>
        <w:bCs/>
        <w:sz w:val="28"/>
        <w:szCs w:val="28"/>
      </w:rPr>
      <w:fldChar w:fldCharType="separate"/>
    </w:r>
    <w:r w:rsidR="009A68B8">
      <w:rPr>
        <w:rFonts w:ascii="宋体" w:eastAsia="宋体" w:hAnsi="宋体" w:cs="宋体"/>
        <w:bCs/>
        <w:noProof/>
        <w:sz w:val="28"/>
        <w:szCs w:val="28"/>
      </w:rPr>
      <w:t>23</w:t>
    </w:r>
    <w:r w:rsidR="00BA6129" w:rsidRPr="00B86950">
      <w:rPr>
        <w:rFonts w:ascii="宋体" w:eastAsia="宋体" w:hAnsi="宋体" w:cs="宋体" w:hint="eastAsia"/>
        <w:bCs/>
        <w:sz w:val="28"/>
        <w:szCs w:val="28"/>
      </w:rPr>
      <w:fldChar w:fldCharType="end"/>
    </w:r>
    <w:r w:rsidRPr="00B86950">
      <w:rPr>
        <w:rFonts w:ascii="宋体" w:eastAsia="宋体" w:hAnsi="宋体" w:cs="宋体" w:hint="eastAsia"/>
        <w:bCs/>
        <w:sz w:val="28"/>
        <w:szCs w:val="28"/>
      </w:rPr>
      <w:t xml:space="preserve"> —</w:t>
    </w:r>
    <w:r w:rsidRPr="00B86950">
      <w:rPr>
        <w:rFonts w:ascii="宋体" w:eastAsia="宋体" w:hAnsi="宋体" w:cs="宋体" w:hint="eastAsia"/>
        <w:sz w:val="28"/>
        <w:szCs w:val="28"/>
      </w:rPr>
      <w:t xml:space="preserve">  </w:t>
    </w:r>
    <w:r w:rsidR="00BA6129">
      <w:pict>
        <v:shapetype id="_x0000_t202" coordsize="21600,21600" o:spt="202" path="m,l,21600r21600,l21600,xe">
          <v:stroke joinstyle="miter"/>
          <v:path gradientshapeok="t" o:connecttype="rect"/>
        </v:shapetype>
        <v:shape id="_x0000_s1027" type="#_x0000_t202" style="position:absolute;left:0;text-align:left;margin-left:0;margin-top:0;width:22.55pt;height:28pt;z-index:251659264;mso-wrap-style:none;mso-position-horizontal:center;mso-position-horizontal-relative:margin;mso-position-vertical-relative:text" o:gfxdata="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S8g0NEAAAADAQAADwAAAAAAAAABACAAAAAiAAAAZHJz&#10;L2Rvd25yZXYueG1sUEsBAhQAFAAAAAgAh07iQOQmMlwLAgAAAgQAAA4AAAAAAAAAAQAgAAAAIAEA&#10;AGRycy9lMm9Eb2MueG1sUEsFBgAAAAAGAAYAWQEAAJ0FAAAAAA==&#10;" filled="f" stroked="f">
          <v:textbox style="mso-next-textbox:#_x0000_s1027;mso-fit-shape-to-text:t" inset="0,0,0,0">
            <w:txbxContent>
              <w:p w:rsidR="00EF542C" w:rsidRDefault="00EF542C">
                <w:pPr>
                  <w:snapToGrid w:val="0"/>
                  <w:ind w:firstLine="360"/>
                  <w:rPr>
                    <w:sz w:val="18"/>
                  </w:rPr>
                </w:pP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42C" w:rsidRPr="00B86950" w:rsidRDefault="00EF542C" w:rsidP="00B86950">
    <w:pPr>
      <w:pStyle w:val="a8"/>
      <w:wordWrap w:val="0"/>
      <w:spacing w:line="240" w:lineRule="auto"/>
      <w:ind w:firstLine="560"/>
      <w:jc w:val="right"/>
      <w:rPr>
        <w:rFonts w:ascii="宋体" w:eastAsia="宋体" w:hAnsi="宋体" w:cs="宋体"/>
        <w:bCs/>
        <w:sz w:val="28"/>
        <w:szCs w:val="28"/>
      </w:rPr>
    </w:pPr>
    <w:r w:rsidRPr="00B86950">
      <w:rPr>
        <w:rFonts w:ascii="宋体" w:eastAsia="宋体" w:hAnsi="宋体" w:cs="宋体" w:hint="eastAsia"/>
        <w:bCs/>
        <w:sz w:val="28"/>
        <w:szCs w:val="28"/>
      </w:rPr>
      <w:t xml:space="preserve">— </w:t>
    </w:r>
    <w:r w:rsidR="00BA6129" w:rsidRPr="00B86950">
      <w:rPr>
        <w:rFonts w:ascii="宋体" w:eastAsia="宋体" w:hAnsi="宋体" w:cs="宋体" w:hint="eastAsia"/>
        <w:bCs/>
        <w:sz w:val="28"/>
        <w:szCs w:val="28"/>
      </w:rPr>
      <w:fldChar w:fldCharType="begin"/>
    </w:r>
    <w:r w:rsidRPr="00B86950">
      <w:rPr>
        <w:rFonts w:ascii="宋体" w:eastAsia="宋体" w:hAnsi="宋体" w:cs="宋体" w:hint="eastAsia"/>
        <w:bCs/>
        <w:sz w:val="28"/>
        <w:szCs w:val="28"/>
      </w:rPr>
      <w:instrText xml:space="preserve"> PAGE  \* MERGEFORMAT </w:instrText>
    </w:r>
    <w:r w:rsidR="00BA6129" w:rsidRPr="00B86950">
      <w:rPr>
        <w:rFonts w:ascii="宋体" w:eastAsia="宋体" w:hAnsi="宋体" w:cs="宋体" w:hint="eastAsia"/>
        <w:bCs/>
        <w:sz w:val="28"/>
        <w:szCs w:val="28"/>
      </w:rPr>
      <w:fldChar w:fldCharType="separate"/>
    </w:r>
    <w:r w:rsidR="004C533A">
      <w:rPr>
        <w:rFonts w:ascii="宋体" w:eastAsia="宋体" w:hAnsi="宋体" w:cs="宋体"/>
        <w:bCs/>
        <w:noProof/>
        <w:sz w:val="28"/>
        <w:szCs w:val="28"/>
      </w:rPr>
      <w:t>1</w:t>
    </w:r>
    <w:r w:rsidR="00BA6129" w:rsidRPr="00B86950">
      <w:rPr>
        <w:rFonts w:ascii="宋体" w:eastAsia="宋体" w:hAnsi="宋体" w:cs="宋体" w:hint="eastAsia"/>
        <w:bCs/>
        <w:sz w:val="28"/>
        <w:szCs w:val="28"/>
      </w:rPr>
      <w:fldChar w:fldCharType="end"/>
    </w:r>
    <w:r w:rsidRPr="00B86950">
      <w:rPr>
        <w:rFonts w:ascii="宋体" w:eastAsia="宋体" w:hAnsi="宋体" w:cs="宋体" w:hint="eastAsia"/>
        <w:bCs/>
        <w:sz w:val="28"/>
        <w:szCs w:val="28"/>
      </w:rPr>
      <w:t xml:space="preserv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42C" w:rsidRDefault="00EF542C">
      <w:pPr>
        <w:spacing w:line="240" w:lineRule="auto"/>
        <w:ind w:firstLine="600"/>
      </w:pPr>
      <w:r>
        <w:separator/>
      </w:r>
    </w:p>
  </w:footnote>
  <w:footnote w:type="continuationSeparator" w:id="0">
    <w:p w:rsidR="00EF542C" w:rsidRDefault="00EF542C">
      <w:pPr>
        <w:spacing w:line="240" w:lineRule="auto"/>
        <w:ind w:firstLine="60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3AE297"/>
    <w:multiLevelType w:val="singleLevel"/>
    <w:tmpl w:val="913AE297"/>
    <w:lvl w:ilvl="0">
      <w:start w:val="1"/>
      <w:numFmt w:val="chineseCounting"/>
      <w:suff w:val="nothing"/>
      <w:lvlText w:val="（%1）"/>
      <w:lvlJc w:val="left"/>
      <w:pPr>
        <w:ind w:left="4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evenAndOddHeaders/>
  <w:drawingGridHorizontalSpacing w:val="300"/>
  <w:drawingGridVerticalSpacing w:val="209"/>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docVars>
    <w:docVar w:name="commondata" w:val="eyJoZGlkIjoiOWU3MzE0MzljMmM5NWJmNjFkMzBjZjE5ZTI1YzMzZTcifQ=="/>
  </w:docVars>
  <w:rsids>
    <w:rsidRoot w:val="00172A27"/>
    <w:rsid w:val="00016218"/>
    <w:rsid w:val="00044C77"/>
    <w:rsid w:val="00076C2F"/>
    <w:rsid w:val="00134BD9"/>
    <w:rsid w:val="0015028F"/>
    <w:rsid w:val="00171775"/>
    <w:rsid w:val="00172A27"/>
    <w:rsid w:val="001859C7"/>
    <w:rsid w:val="001E4354"/>
    <w:rsid w:val="001E6CF4"/>
    <w:rsid w:val="00217325"/>
    <w:rsid w:val="00277CED"/>
    <w:rsid w:val="002F22CD"/>
    <w:rsid w:val="003B22B0"/>
    <w:rsid w:val="00407C55"/>
    <w:rsid w:val="00437FD6"/>
    <w:rsid w:val="00452421"/>
    <w:rsid w:val="00456EBF"/>
    <w:rsid w:val="004A3556"/>
    <w:rsid w:val="004B1155"/>
    <w:rsid w:val="004C533A"/>
    <w:rsid w:val="004C5534"/>
    <w:rsid w:val="00521258"/>
    <w:rsid w:val="005458C6"/>
    <w:rsid w:val="00554BF9"/>
    <w:rsid w:val="005A58A9"/>
    <w:rsid w:val="005C4016"/>
    <w:rsid w:val="006163B1"/>
    <w:rsid w:val="006F191D"/>
    <w:rsid w:val="007053FB"/>
    <w:rsid w:val="007518A8"/>
    <w:rsid w:val="007A1A38"/>
    <w:rsid w:val="007C7438"/>
    <w:rsid w:val="00817BD8"/>
    <w:rsid w:val="00824859"/>
    <w:rsid w:val="00833CCC"/>
    <w:rsid w:val="0087456F"/>
    <w:rsid w:val="0088227C"/>
    <w:rsid w:val="009A68B8"/>
    <w:rsid w:val="009C7C87"/>
    <w:rsid w:val="009D45D2"/>
    <w:rsid w:val="009F27F2"/>
    <w:rsid w:val="00A8510A"/>
    <w:rsid w:val="00AA3C84"/>
    <w:rsid w:val="00AC5D27"/>
    <w:rsid w:val="00AD01BA"/>
    <w:rsid w:val="00B168DC"/>
    <w:rsid w:val="00B46B7E"/>
    <w:rsid w:val="00B647B4"/>
    <w:rsid w:val="00B83F31"/>
    <w:rsid w:val="00B8512E"/>
    <w:rsid w:val="00B86950"/>
    <w:rsid w:val="00BA01B1"/>
    <w:rsid w:val="00BA6129"/>
    <w:rsid w:val="00BC2A49"/>
    <w:rsid w:val="00BC4252"/>
    <w:rsid w:val="00BF099D"/>
    <w:rsid w:val="00C66A99"/>
    <w:rsid w:val="00D11872"/>
    <w:rsid w:val="00D119E5"/>
    <w:rsid w:val="00DB1080"/>
    <w:rsid w:val="00DB3218"/>
    <w:rsid w:val="00E20B11"/>
    <w:rsid w:val="00EF542C"/>
    <w:rsid w:val="00F0507E"/>
    <w:rsid w:val="00FE3F25"/>
    <w:rsid w:val="013120FB"/>
    <w:rsid w:val="015E567F"/>
    <w:rsid w:val="020F3996"/>
    <w:rsid w:val="021610B0"/>
    <w:rsid w:val="025F0BF8"/>
    <w:rsid w:val="02D7389D"/>
    <w:rsid w:val="03B06256"/>
    <w:rsid w:val="03EE0B25"/>
    <w:rsid w:val="04166479"/>
    <w:rsid w:val="0448458F"/>
    <w:rsid w:val="04494BD3"/>
    <w:rsid w:val="04B06F1A"/>
    <w:rsid w:val="0541493F"/>
    <w:rsid w:val="05434EA2"/>
    <w:rsid w:val="05453E5B"/>
    <w:rsid w:val="056B2DB2"/>
    <w:rsid w:val="056F7561"/>
    <w:rsid w:val="05AC4EB9"/>
    <w:rsid w:val="05B47442"/>
    <w:rsid w:val="05CF06FA"/>
    <w:rsid w:val="05FF1637"/>
    <w:rsid w:val="063E5A78"/>
    <w:rsid w:val="067468E8"/>
    <w:rsid w:val="06BD7926"/>
    <w:rsid w:val="071B1779"/>
    <w:rsid w:val="071F4BCE"/>
    <w:rsid w:val="0723637B"/>
    <w:rsid w:val="07407008"/>
    <w:rsid w:val="077F4EA8"/>
    <w:rsid w:val="07B423E8"/>
    <w:rsid w:val="07D45862"/>
    <w:rsid w:val="07F25B72"/>
    <w:rsid w:val="080F54D8"/>
    <w:rsid w:val="08307D96"/>
    <w:rsid w:val="084E362D"/>
    <w:rsid w:val="085F2F0A"/>
    <w:rsid w:val="086A45B7"/>
    <w:rsid w:val="086B0642"/>
    <w:rsid w:val="088E5D97"/>
    <w:rsid w:val="08BC5E54"/>
    <w:rsid w:val="08CE5593"/>
    <w:rsid w:val="090345A2"/>
    <w:rsid w:val="09040454"/>
    <w:rsid w:val="09185FA5"/>
    <w:rsid w:val="09414322"/>
    <w:rsid w:val="098252B2"/>
    <w:rsid w:val="09885341"/>
    <w:rsid w:val="098D0F17"/>
    <w:rsid w:val="09B5092F"/>
    <w:rsid w:val="09C75A65"/>
    <w:rsid w:val="09FD3320"/>
    <w:rsid w:val="0A38048F"/>
    <w:rsid w:val="0A806538"/>
    <w:rsid w:val="0A962648"/>
    <w:rsid w:val="0AB73877"/>
    <w:rsid w:val="0AB81B4B"/>
    <w:rsid w:val="0ADB50BF"/>
    <w:rsid w:val="0AE035FF"/>
    <w:rsid w:val="0AE57825"/>
    <w:rsid w:val="0AE801BA"/>
    <w:rsid w:val="0B0E0300"/>
    <w:rsid w:val="0B0F1215"/>
    <w:rsid w:val="0B6B29DE"/>
    <w:rsid w:val="0BE4123D"/>
    <w:rsid w:val="0C044DA1"/>
    <w:rsid w:val="0C063B79"/>
    <w:rsid w:val="0C97263F"/>
    <w:rsid w:val="0C9D366C"/>
    <w:rsid w:val="0CA258DB"/>
    <w:rsid w:val="0CC511ED"/>
    <w:rsid w:val="0CCA11AD"/>
    <w:rsid w:val="0D3F0B37"/>
    <w:rsid w:val="0D5C478B"/>
    <w:rsid w:val="0DA20E08"/>
    <w:rsid w:val="0E00279A"/>
    <w:rsid w:val="0E394E42"/>
    <w:rsid w:val="0E5E1710"/>
    <w:rsid w:val="0E91023D"/>
    <w:rsid w:val="0EA90D79"/>
    <w:rsid w:val="0EB76D95"/>
    <w:rsid w:val="0F0E5104"/>
    <w:rsid w:val="0F0F5B1E"/>
    <w:rsid w:val="0F903F7A"/>
    <w:rsid w:val="0FA517D5"/>
    <w:rsid w:val="0FAA15D6"/>
    <w:rsid w:val="0FAF3CEA"/>
    <w:rsid w:val="1046254B"/>
    <w:rsid w:val="10470283"/>
    <w:rsid w:val="106F6E8F"/>
    <w:rsid w:val="10A64565"/>
    <w:rsid w:val="10D6411D"/>
    <w:rsid w:val="120A0538"/>
    <w:rsid w:val="121D0A44"/>
    <w:rsid w:val="1236494B"/>
    <w:rsid w:val="12625F06"/>
    <w:rsid w:val="12984C91"/>
    <w:rsid w:val="12CB491A"/>
    <w:rsid w:val="12CF7455"/>
    <w:rsid w:val="12D83F80"/>
    <w:rsid w:val="12E62349"/>
    <w:rsid w:val="132746D6"/>
    <w:rsid w:val="134B25A3"/>
    <w:rsid w:val="13526B91"/>
    <w:rsid w:val="135E1A4E"/>
    <w:rsid w:val="13D52C7A"/>
    <w:rsid w:val="13DA2944"/>
    <w:rsid w:val="13DC565D"/>
    <w:rsid w:val="13E7076F"/>
    <w:rsid w:val="1401339A"/>
    <w:rsid w:val="14295895"/>
    <w:rsid w:val="14550994"/>
    <w:rsid w:val="14787059"/>
    <w:rsid w:val="14CC5FDD"/>
    <w:rsid w:val="15914D58"/>
    <w:rsid w:val="15B35311"/>
    <w:rsid w:val="15F15803"/>
    <w:rsid w:val="15F60845"/>
    <w:rsid w:val="15F874DA"/>
    <w:rsid w:val="15FF6FFD"/>
    <w:rsid w:val="1621464A"/>
    <w:rsid w:val="16257E88"/>
    <w:rsid w:val="16672E60"/>
    <w:rsid w:val="1677705C"/>
    <w:rsid w:val="169912AD"/>
    <w:rsid w:val="16AC0341"/>
    <w:rsid w:val="16F81CB7"/>
    <w:rsid w:val="17501FC4"/>
    <w:rsid w:val="17531B8F"/>
    <w:rsid w:val="179E7CB2"/>
    <w:rsid w:val="17BC7651"/>
    <w:rsid w:val="17C108CD"/>
    <w:rsid w:val="17C73A86"/>
    <w:rsid w:val="17CF3BE0"/>
    <w:rsid w:val="17D05EFA"/>
    <w:rsid w:val="180238F0"/>
    <w:rsid w:val="185F6E55"/>
    <w:rsid w:val="18CE19B3"/>
    <w:rsid w:val="19065529"/>
    <w:rsid w:val="19425B8C"/>
    <w:rsid w:val="195C7F68"/>
    <w:rsid w:val="196F502B"/>
    <w:rsid w:val="199A3A61"/>
    <w:rsid w:val="19AD51A5"/>
    <w:rsid w:val="19D379B8"/>
    <w:rsid w:val="19D75DA1"/>
    <w:rsid w:val="1A0B2A8F"/>
    <w:rsid w:val="1A1F4A6B"/>
    <w:rsid w:val="1A283326"/>
    <w:rsid w:val="1A4D3E35"/>
    <w:rsid w:val="1A724ED3"/>
    <w:rsid w:val="1AC95174"/>
    <w:rsid w:val="1AE95F17"/>
    <w:rsid w:val="1AFF57D0"/>
    <w:rsid w:val="1B8D6835"/>
    <w:rsid w:val="1C287DFC"/>
    <w:rsid w:val="1C525AD6"/>
    <w:rsid w:val="1C9D4F32"/>
    <w:rsid w:val="1CBB4005"/>
    <w:rsid w:val="1CDB1A1B"/>
    <w:rsid w:val="1CEA350C"/>
    <w:rsid w:val="1CEE4B08"/>
    <w:rsid w:val="1CF52588"/>
    <w:rsid w:val="1D142A7B"/>
    <w:rsid w:val="1D751D3E"/>
    <w:rsid w:val="1D826FA1"/>
    <w:rsid w:val="1DE26EF7"/>
    <w:rsid w:val="1DE33054"/>
    <w:rsid w:val="1E114F52"/>
    <w:rsid w:val="1E205195"/>
    <w:rsid w:val="1E3D267C"/>
    <w:rsid w:val="1E5C694A"/>
    <w:rsid w:val="1E6448DF"/>
    <w:rsid w:val="1E6A413D"/>
    <w:rsid w:val="1E763219"/>
    <w:rsid w:val="1E76675F"/>
    <w:rsid w:val="1E90000B"/>
    <w:rsid w:val="1F05212E"/>
    <w:rsid w:val="1F6537DE"/>
    <w:rsid w:val="1F761E49"/>
    <w:rsid w:val="1F78357D"/>
    <w:rsid w:val="1F8C0D9B"/>
    <w:rsid w:val="1FC2217B"/>
    <w:rsid w:val="1FEE27DD"/>
    <w:rsid w:val="201C4664"/>
    <w:rsid w:val="20277E93"/>
    <w:rsid w:val="206014FE"/>
    <w:rsid w:val="207A3EAB"/>
    <w:rsid w:val="20806B36"/>
    <w:rsid w:val="20EC3A75"/>
    <w:rsid w:val="215E5202"/>
    <w:rsid w:val="21A642A4"/>
    <w:rsid w:val="21AB59C3"/>
    <w:rsid w:val="222F7FBC"/>
    <w:rsid w:val="22550B6C"/>
    <w:rsid w:val="22775DEA"/>
    <w:rsid w:val="2282387D"/>
    <w:rsid w:val="22AE7BD1"/>
    <w:rsid w:val="23153DB3"/>
    <w:rsid w:val="23690AA0"/>
    <w:rsid w:val="239D4826"/>
    <w:rsid w:val="23A31DBD"/>
    <w:rsid w:val="2454634B"/>
    <w:rsid w:val="245535AE"/>
    <w:rsid w:val="24745B46"/>
    <w:rsid w:val="248F0433"/>
    <w:rsid w:val="24EB0861"/>
    <w:rsid w:val="24EE5B71"/>
    <w:rsid w:val="253F3DE4"/>
    <w:rsid w:val="25594C83"/>
    <w:rsid w:val="25621741"/>
    <w:rsid w:val="256474C8"/>
    <w:rsid w:val="257F005A"/>
    <w:rsid w:val="25D70591"/>
    <w:rsid w:val="25F847D7"/>
    <w:rsid w:val="26340614"/>
    <w:rsid w:val="263F5E1F"/>
    <w:rsid w:val="2653784A"/>
    <w:rsid w:val="26694465"/>
    <w:rsid w:val="26D60A37"/>
    <w:rsid w:val="26E71D70"/>
    <w:rsid w:val="26E8387C"/>
    <w:rsid w:val="270D3D08"/>
    <w:rsid w:val="27102E57"/>
    <w:rsid w:val="272F17F5"/>
    <w:rsid w:val="275C388D"/>
    <w:rsid w:val="27AA3A2A"/>
    <w:rsid w:val="27BC5C04"/>
    <w:rsid w:val="281C624D"/>
    <w:rsid w:val="282B1C54"/>
    <w:rsid w:val="28506346"/>
    <w:rsid w:val="28805304"/>
    <w:rsid w:val="28960DB3"/>
    <w:rsid w:val="290019A6"/>
    <w:rsid w:val="295600BD"/>
    <w:rsid w:val="297439A3"/>
    <w:rsid w:val="2992384A"/>
    <w:rsid w:val="299E7E83"/>
    <w:rsid w:val="29A31514"/>
    <w:rsid w:val="29F94BF7"/>
    <w:rsid w:val="29FC7414"/>
    <w:rsid w:val="2A37267E"/>
    <w:rsid w:val="2A4573B7"/>
    <w:rsid w:val="2A6146D0"/>
    <w:rsid w:val="2A6753C4"/>
    <w:rsid w:val="2AFC736E"/>
    <w:rsid w:val="2B166634"/>
    <w:rsid w:val="2B1B009F"/>
    <w:rsid w:val="2B341209"/>
    <w:rsid w:val="2B47150D"/>
    <w:rsid w:val="2B781B69"/>
    <w:rsid w:val="2BB84A31"/>
    <w:rsid w:val="2BE57B90"/>
    <w:rsid w:val="2BFA7032"/>
    <w:rsid w:val="2BFF031C"/>
    <w:rsid w:val="2C236040"/>
    <w:rsid w:val="2C2C4C2F"/>
    <w:rsid w:val="2C2F1240"/>
    <w:rsid w:val="2C4D3A0F"/>
    <w:rsid w:val="2C550100"/>
    <w:rsid w:val="2C5719FC"/>
    <w:rsid w:val="2C66424D"/>
    <w:rsid w:val="2C7A5E11"/>
    <w:rsid w:val="2CAE07F6"/>
    <w:rsid w:val="2CC34D40"/>
    <w:rsid w:val="2CF306D4"/>
    <w:rsid w:val="2D583511"/>
    <w:rsid w:val="2D6274EC"/>
    <w:rsid w:val="2D74584A"/>
    <w:rsid w:val="2D885BE6"/>
    <w:rsid w:val="2D956956"/>
    <w:rsid w:val="2DB33300"/>
    <w:rsid w:val="2E2042BA"/>
    <w:rsid w:val="2E482894"/>
    <w:rsid w:val="2E533AC5"/>
    <w:rsid w:val="2E682E82"/>
    <w:rsid w:val="2E77591F"/>
    <w:rsid w:val="2EB811D2"/>
    <w:rsid w:val="2EE32FA1"/>
    <w:rsid w:val="2EEA730F"/>
    <w:rsid w:val="2F6B545A"/>
    <w:rsid w:val="2F755BC5"/>
    <w:rsid w:val="2FDB1B44"/>
    <w:rsid w:val="2FF02B3A"/>
    <w:rsid w:val="2FF970A8"/>
    <w:rsid w:val="300C2E70"/>
    <w:rsid w:val="303D3421"/>
    <w:rsid w:val="30C45B31"/>
    <w:rsid w:val="30D55D82"/>
    <w:rsid w:val="312D2FCD"/>
    <w:rsid w:val="31624192"/>
    <w:rsid w:val="31995A49"/>
    <w:rsid w:val="319D7E11"/>
    <w:rsid w:val="32025006"/>
    <w:rsid w:val="321E2C36"/>
    <w:rsid w:val="32342B66"/>
    <w:rsid w:val="32666FEE"/>
    <w:rsid w:val="32721D65"/>
    <w:rsid w:val="32947B33"/>
    <w:rsid w:val="32B7361F"/>
    <w:rsid w:val="32CF44BC"/>
    <w:rsid w:val="332C4AC4"/>
    <w:rsid w:val="332D7D7D"/>
    <w:rsid w:val="33B973FD"/>
    <w:rsid w:val="342E5FFB"/>
    <w:rsid w:val="34316D59"/>
    <w:rsid w:val="347F2837"/>
    <w:rsid w:val="34CC35EC"/>
    <w:rsid w:val="34FC0BA1"/>
    <w:rsid w:val="3506615A"/>
    <w:rsid w:val="351118D5"/>
    <w:rsid w:val="35122ADC"/>
    <w:rsid w:val="35797F01"/>
    <w:rsid w:val="35B22D89"/>
    <w:rsid w:val="36190F8F"/>
    <w:rsid w:val="36481457"/>
    <w:rsid w:val="367F310E"/>
    <w:rsid w:val="36821845"/>
    <w:rsid w:val="3693340C"/>
    <w:rsid w:val="36C10855"/>
    <w:rsid w:val="370F0F83"/>
    <w:rsid w:val="373919A3"/>
    <w:rsid w:val="37417FCB"/>
    <w:rsid w:val="375D5E62"/>
    <w:rsid w:val="37764ADB"/>
    <w:rsid w:val="37E075CF"/>
    <w:rsid w:val="37F242C4"/>
    <w:rsid w:val="37F64510"/>
    <w:rsid w:val="38223C62"/>
    <w:rsid w:val="38752A83"/>
    <w:rsid w:val="387A1B27"/>
    <w:rsid w:val="39104298"/>
    <w:rsid w:val="39622DB2"/>
    <w:rsid w:val="399C6CCE"/>
    <w:rsid w:val="39D61AA6"/>
    <w:rsid w:val="3A2D681D"/>
    <w:rsid w:val="3A6903B1"/>
    <w:rsid w:val="3AA32A57"/>
    <w:rsid w:val="3B263F85"/>
    <w:rsid w:val="3B6D395A"/>
    <w:rsid w:val="3B942205"/>
    <w:rsid w:val="3B9D0D9C"/>
    <w:rsid w:val="3B9F2055"/>
    <w:rsid w:val="3C13661B"/>
    <w:rsid w:val="3C3463A1"/>
    <w:rsid w:val="3CED35BD"/>
    <w:rsid w:val="3CEF41A7"/>
    <w:rsid w:val="3CF90E3F"/>
    <w:rsid w:val="3D042F73"/>
    <w:rsid w:val="3D2D69C5"/>
    <w:rsid w:val="3D3741D7"/>
    <w:rsid w:val="3D6D332B"/>
    <w:rsid w:val="3D8518FF"/>
    <w:rsid w:val="3DC5532B"/>
    <w:rsid w:val="3DC80AB4"/>
    <w:rsid w:val="3DD56ADF"/>
    <w:rsid w:val="3DE96805"/>
    <w:rsid w:val="3DFF7531"/>
    <w:rsid w:val="3E300408"/>
    <w:rsid w:val="3E301A4D"/>
    <w:rsid w:val="3E4E6011"/>
    <w:rsid w:val="3E533965"/>
    <w:rsid w:val="3E682C63"/>
    <w:rsid w:val="3ED90276"/>
    <w:rsid w:val="3EEC70A5"/>
    <w:rsid w:val="3F7C7052"/>
    <w:rsid w:val="3F9A1408"/>
    <w:rsid w:val="3FA55F0A"/>
    <w:rsid w:val="3FB060F4"/>
    <w:rsid w:val="3FD23DBF"/>
    <w:rsid w:val="405825BB"/>
    <w:rsid w:val="4067107D"/>
    <w:rsid w:val="406F2D3B"/>
    <w:rsid w:val="41064CEC"/>
    <w:rsid w:val="410D6D36"/>
    <w:rsid w:val="41251E2E"/>
    <w:rsid w:val="41286CF6"/>
    <w:rsid w:val="41645228"/>
    <w:rsid w:val="416D4174"/>
    <w:rsid w:val="41C95259"/>
    <w:rsid w:val="41DB37D1"/>
    <w:rsid w:val="41DB5F11"/>
    <w:rsid w:val="41DD5D82"/>
    <w:rsid w:val="41E34E82"/>
    <w:rsid w:val="41FD788F"/>
    <w:rsid w:val="427F3D67"/>
    <w:rsid w:val="42D83FE5"/>
    <w:rsid w:val="431C7435"/>
    <w:rsid w:val="43395367"/>
    <w:rsid w:val="43536340"/>
    <w:rsid w:val="438F131D"/>
    <w:rsid w:val="44222456"/>
    <w:rsid w:val="44A10063"/>
    <w:rsid w:val="44FE06EF"/>
    <w:rsid w:val="44FE5E40"/>
    <w:rsid w:val="450007EF"/>
    <w:rsid w:val="45056AA4"/>
    <w:rsid w:val="452436F7"/>
    <w:rsid w:val="457D4125"/>
    <w:rsid w:val="4580191F"/>
    <w:rsid w:val="458509F5"/>
    <w:rsid w:val="45AF5C4F"/>
    <w:rsid w:val="45D80457"/>
    <w:rsid w:val="45EB2113"/>
    <w:rsid w:val="46677CF2"/>
    <w:rsid w:val="467C1AD3"/>
    <w:rsid w:val="46A54D80"/>
    <w:rsid w:val="46CA3202"/>
    <w:rsid w:val="47026828"/>
    <w:rsid w:val="476B2306"/>
    <w:rsid w:val="476E7B24"/>
    <w:rsid w:val="477E7DD8"/>
    <w:rsid w:val="478B4050"/>
    <w:rsid w:val="47BF166D"/>
    <w:rsid w:val="47DE39F4"/>
    <w:rsid w:val="47FE6C63"/>
    <w:rsid w:val="484E177D"/>
    <w:rsid w:val="48544A92"/>
    <w:rsid w:val="486408AC"/>
    <w:rsid w:val="497A2951"/>
    <w:rsid w:val="498B18BB"/>
    <w:rsid w:val="499D758B"/>
    <w:rsid w:val="49A21344"/>
    <w:rsid w:val="49AD702E"/>
    <w:rsid w:val="49C91C27"/>
    <w:rsid w:val="49E903FC"/>
    <w:rsid w:val="4A067711"/>
    <w:rsid w:val="4A1421F6"/>
    <w:rsid w:val="4AA32773"/>
    <w:rsid w:val="4ABA02F3"/>
    <w:rsid w:val="4ADD2109"/>
    <w:rsid w:val="4B5807C8"/>
    <w:rsid w:val="4B7C4E3B"/>
    <w:rsid w:val="4BB01F2B"/>
    <w:rsid w:val="4BC075C9"/>
    <w:rsid w:val="4BD11D0A"/>
    <w:rsid w:val="4C407B68"/>
    <w:rsid w:val="4C63031C"/>
    <w:rsid w:val="4C6C18F6"/>
    <w:rsid w:val="4C714075"/>
    <w:rsid w:val="4C977373"/>
    <w:rsid w:val="4CA80FC5"/>
    <w:rsid w:val="4CAD342F"/>
    <w:rsid w:val="4D0D7B0F"/>
    <w:rsid w:val="4D5A74CD"/>
    <w:rsid w:val="4D5C3261"/>
    <w:rsid w:val="4D6D6420"/>
    <w:rsid w:val="4D8C3AF6"/>
    <w:rsid w:val="4DA00A4F"/>
    <w:rsid w:val="4DA373DB"/>
    <w:rsid w:val="4DA76669"/>
    <w:rsid w:val="4DC83FE2"/>
    <w:rsid w:val="4DDB5620"/>
    <w:rsid w:val="4E785384"/>
    <w:rsid w:val="4E897D0E"/>
    <w:rsid w:val="4EBB76DD"/>
    <w:rsid w:val="4EFB5DD9"/>
    <w:rsid w:val="4F0B34E2"/>
    <w:rsid w:val="4F0F120E"/>
    <w:rsid w:val="4F1B496B"/>
    <w:rsid w:val="4F4343ED"/>
    <w:rsid w:val="4F5B61A6"/>
    <w:rsid w:val="4F735994"/>
    <w:rsid w:val="4F895549"/>
    <w:rsid w:val="4FA71D58"/>
    <w:rsid w:val="4FAD22F0"/>
    <w:rsid w:val="4FB66EBB"/>
    <w:rsid w:val="50005003"/>
    <w:rsid w:val="50483EE0"/>
    <w:rsid w:val="505464A3"/>
    <w:rsid w:val="50595386"/>
    <w:rsid w:val="505D7ACF"/>
    <w:rsid w:val="509D611B"/>
    <w:rsid w:val="50F70B50"/>
    <w:rsid w:val="519F3996"/>
    <w:rsid w:val="51D02AC7"/>
    <w:rsid w:val="51DB1F24"/>
    <w:rsid w:val="529C7956"/>
    <w:rsid w:val="52B24900"/>
    <w:rsid w:val="52E63997"/>
    <w:rsid w:val="53050FE1"/>
    <w:rsid w:val="53064241"/>
    <w:rsid w:val="531B1D17"/>
    <w:rsid w:val="53A706AF"/>
    <w:rsid w:val="53E52A53"/>
    <w:rsid w:val="542A6321"/>
    <w:rsid w:val="547A7836"/>
    <w:rsid w:val="54965BEF"/>
    <w:rsid w:val="549E3173"/>
    <w:rsid w:val="54C301B9"/>
    <w:rsid w:val="54FE3F3B"/>
    <w:rsid w:val="551A5E64"/>
    <w:rsid w:val="55307611"/>
    <w:rsid w:val="556A687A"/>
    <w:rsid w:val="557D6502"/>
    <w:rsid w:val="558772CD"/>
    <w:rsid w:val="55BB6964"/>
    <w:rsid w:val="56122DA6"/>
    <w:rsid w:val="56154728"/>
    <w:rsid w:val="56296F20"/>
    <w:rsid w:val="563D798B"/>
    <w:rsid w:val="56A05D8C"/>
    <w:rsid w:val="56D2740D"/>
    <w:rsid w:val="57021745"/>
    <w:rsid w:val="57361164"/>
    <w:rsid w:val="57615165"/>
    <w:rsid w:val="57927DB5"/>
    <w:rsid w:val="57F91ED8"/>
    <w:rsid w:val="58644A88"/>
    <w:rsid w:val="589A6F6F"/>
    <w:rsid w:val="58AA231D"/>
    <w:rsid w:val="58DB431A"/>
    <w:rsid w:val="59132DE0"/>
    <w:rsid w:val="593C64F1"/>
    <w:rsid w:val="594C7254"/>
    <w:rsid w:val="59541CF5"/>
    <w:rsid w:val="5956599B"/>
    <w:rsid w:val="598C08A3"/>
    <w:rsid w:val="59CB345C"/>
    <w:rsid w:val="59FE7276"/>
    <w:rsid w:val="5A0245A6"/>
    <w:rsid w:val="5A060BF3"/>
    <w:rsid w:val="5A1F1C95"/>
    <w:rsid w:val="5A650B46"/>
    <w:rsid w:val="5A9D0A3D"/>
    <w:rsid w:val="5A9D72AA"/>
    <w:rsid w:val="5AE27982"/>
    <w:rsid w:val="5B1341C0"/>
    <w:rsid w:val="5B595181"/>
    <w:rsid w:val="5B745E6C"/>
    <w:rsid w:val="5B884198"/>
    <w:rsid w:val="5BE21F37"/>
    <w:rsid w:val="5C6374C0"/>
    <w:rsid w:val="5C973BA3"/>
    <w:rsid w:val="5CB0204C"/>
    <w:rsid w:val="5D2B456A"/>
    <w:rsid w:val="5D6037F1"/>
    <w:rsid w:val="5D615400"/>
    <w:rsid w:val="5D6A5F76"/>
    <w:rsid w:val="5DA12127"/>
    <w:rsid w:val="5DAE3821"/>
    <w:rsid w:val="5DE85752"/>
    <w:rsid w:val="5E8420B1"/>
    <w:rsid w:val="5E8734A7"/>
    <w:rsid w:val="5E8C6733"/>
    <w:rsid w:val="5EB63608"/>
    <w:rsid w:val="5F0E0A74"/>
    <w:rsid w:val="5F5D2EF0"/>
    <w:rsid w:val="5F614A0E"/>
    <w:rsid w:val="5F744823"/>
    <w:rsid w:val="5F8918BD"/>
    <w:rsid w:val="5FB468FC"/>
    <w:rsid w:val="5FCC0F98"/>
    <w:rsid w:val="5FE163A3"/>
    <w:rsid w:val="601B1D8C"/>
    <w:rsid w:val="607E2901"/>
    <w:rsid w:val="60D743BE"/>
    <w:rsid w:val="61025731"/>
    <w:rsid w:val="61065E64"/>
    <w:rsid w:val="61071355"/>
    <w:rsid w:val="61610637"/>
    <w:rsid w:val="61F754C7"/>
    <w:rsid w:val="61F95783"/>
    <w:rsid w:val="62147B29"/>
    <w:rsid w:val="62287CF1"/>
    <w:rsid w:val="62424D28"/>
    <w:rsid w:val="62E76B81"/>
    <w:rsid w:val="631D5793"/>
    <w:rsid w:val="63351109"/>
    <w:rsid w:val="637E2984"/>
    <w:rsid w:val="63864261"/>
    <w:rsid w:val="638C06A9"/>
    <w:rsid w:val="64075FB1"/>
    <w:rsid w:val="641A755E"/>
    <w:rsid w:val="642A5A59"/>
    <w:rsid w:val="643B237F"/>
    <w:rsid w:val="649A1720"/>
    <w:rsid w:val="64C21165"/>
    <w:rsid w:val="64DC4A28"/>
    <w:rsid w:val="64F70C19"/>
    <w:rsid w:val="64FD5586"/>
    <w:rsid w:val="65531278"/>
    <w:rsid w:val="65576D7A"/>
    <w:rsid w:val="658F7168"/>
    <w:rsid w:val="65C9459B"/>
    <w:rsid w:val="65E331D4"/>
    <w:rsid w:val="66033B8F"/>
    <w:rsid w:val="662861AB"/>
    <w:rsid w:val="66432DFC"/>
    <w:rsid w:val="66B13E56"/>
    <w:rsid w:val="67434118"/>
    <w:rsid w:val="678265DF"/>
    <w:rsid w:val="6793074E"/>
    <w:rsid w:val="67F41A9A"/>
    <w:rsid w:val="68034EC1"/>
    <w:rsid w:val="68871442"/>
    <w:rsid w:val="691B2253"/>
    <w:rsid w:val="695747D4"/>
    <w:rsid w:val="696B3B96"/>
    <w:rsid w:val="69EF1E95"/>
    <w:rsid w:val="6A137CBB"/>
    <w:rsid w:val="6A506781"/>
    <w:rsid w:val="6A553025"/>
    <w:rsid w:val="6A7E29B6"/>
    <w:rsid w:val="6A8F1206"/>
    <w:rsid w:val="6AA06F5B"/>
    <w:rsid w:val="6AB55DA8"/>
    <w:rsid w:val="6ADE435B"/>
    <w:rsid w:val="6AF02204"/>
    <w:rsid w:val="6B3B7F78"/>
    <w:rsid w:val="6B6F6BCD"/>
    <w:rsid w:val="6B754A57"/>
    <w:rsid w:val="6BA842C2"/>
    <w:rsid w:val="6BB35265"/>
    <w:rsid w:val="6C0F3153"/>
    <w:rsid w:val="6C1E6E66"/>
    <w:rsid w:val="6C915D0D"/>
    <w:rsid w:val="6CCC6B0B"/>
    <w:rsid w:val="6CF81E07"/>
    <w:rsid w:val="6D0C1148"/>
    <w:rsid w:val="6D59686D"/>
    <w:rsid w:val="6D5D03E9"/>
    <w:rsid w:val="6D6723E6"/>
    <w:rsid w:val="6E1D00DD"/>
    <w:rsid w:val="6E5C21A0"/>
    <w:rsid w:val="6E6B6DCA"/>
    <w:rsid w:val="6E8078BD"/>
    <w:rsid w:val="6E931347"/>
    <w:rsid w:val="6ECE74CC"/>
    <w:rsid w:val="6EE64CB9"/>
    <w:rsid w:val="6F1B3243"/>
    <w:rsid w:val="6F333543"/>
    <w:rsid w:val="6F3C0B4F"/>
    <w:rsid w:val="6F63758A"/>
    <w:rsid w:val="6F82191B"/>
    <w:rsid w:val="6F85247D"/>
    <w:rsid w:val="6F984122"/>
    <w:rsid w:val="6FEA26C2"/>
    <w:rsid w:val="70000B42"/>
    <w:rsid w:val="702B44C7"/>
    <w:rsid w:val="70414EDD"/>
    <w:rsid w:val="707744B5"/>
    <w:rsid w:val="708658E4"/>
    <w:rsid w:val="70C0121E"/>
    <w:rsid w:val="710A59A1"/>
    <w:rsid w:val="71202F05"/>
    <w:rsid w:val="7120523D"/>
    <w:rsid w:val="713168E5"/>
    <w:rsid w:val="71351439"/>
    <w:rsid w:val="71CE24E7"/>
    <w:rsid w:val="71F21CD6"/>
    <w:rsid w:val="71FE68F8"/>
    <w:rsid w:val="72097E20"/>
    <w:rsid w:val="722B65B6"/>
    <w:rsid w:val="723A464F"/>
    <w:rsid w:val="723F31A5"/>
    <w:rsid w:val="725A76D4"/>
    <w:rsid w:val="725F5E2F"/>
    <w:rsid w:val="72BD2582"/>
    <w:rsid w:val="72FD4501"/>
    <w:rsid w:val="731A4104"/>
    <w:rsid w:val="732D5577"/>
    <w:rsid w:val="73640B83"/>
    <w:rsid w:val="739E7EDD"/>
    <w:rsid w:val="73D94812"/>
    <w:rsid w:val="74275AAB"/>
    <w:rsid w:val="743C47B8"/>
    <w:rsid w:val="74F85236"/>
    <w:rsid w:val="75126C0B"/>
    <w:rsid w:val="75132FF5"/>
    <w:rsid w:val="757245FD"/>
    <w:rsid w:val="75BA4263"/>
    <w:rsid w:val="76284111"/>
    <w:rsid w:val="764A22F1"/>
    <w:rsid w:val="768003A8"/>
    <w:rsid w:val="76A72DD1"/>
    <w:rsid w:val="76D76855"/>
    <w:rsid w:val="76EC034B"/>
    <w:rsid w:val="77277AD6"/>
    <w:rsid w:val="77290BAC"/>
    <w:rsid w:val="77491519"/>
    <w:rsid w:val="776A00FC"/>
    <w:rsid w:val="77774733"/>
    <w:rsid w:val="7795425B"/>
    <w:rsid w:val="77A0598F"/>
    <w:rsid w:val="77B93797"/>
    <w:rsid w:val="77C348E9"/>
    <w:rsid w:val="77C6340A"/>
    <w:rsid w:val="77CA2290"/>
    <w:rsid w:val="78257101"/>
    <w:rsid w:val="7847406B"/>
    <w:rsid w:val="784F6116"/>
    <w:rsid w:val="78521F34"/>
    <w:rsid w:val="786734B7"/>
    <w:rsid w:val="786F5651"/>
    <w:rsid w:val="78A419EF"/>
    <w:rsid w:val="78FB1300"/>
    <w:rsid w:val="78FD3C4F"/>
    <w:rsid w:val="79314CB6"/>
    <w:rsid w:val="798053B0"/>
    <w:rsid w:val="79A46455"/>
    <w:rsid w:val="79E6134A"/>
    <w:rsid w:val="7A2E444D"/>
    <w:rsid w:val="7A3126D5"/>
    <w:rsid w:val="7A343A11"/>
    <w:rsid w:val="7A3F14D3"/>
    <w:rsid w:val="7A6C24AE"/>
    <w:rsid w:val="7A8A3D25"/>
    <w:rsid w:val="7A8E331B"/>
    <w:rsid w:val="7A9A7698"/>
    <w:rsid w:val="7AB663C6"/>
    <w:rsid w:val="7ACD5EBC"/>
    <w:rsid w:val="7AD918A1"/>
    <w:rsid w:val="7B0E5705"/>
    <w:rsid w:val="7B7A15F6"/>
    <w:rsid w:val="7BBE4392"/>
    <w:rsid w:val="7BC3572F"/>
    <w:rsid w:val="7BE77A53"/>
    <w:rsid w:val="7BEB610F"/>
    <w:rsid w:val="7BF34624"/>
    <w:rsid w:val="7BF54F5C"/>
    <w:rsid w:val="7BF66B5C"/>
    <w:rsid w:val="7CD36AE0"/>
    <w:rsid w:val="7D1D10F6"/>
    <w:rsid w:val="7D556311"/>
    <w:rsid w:val="7D644D7D"/>
    <w:rsid w:val="7D952E87"/>
    <w:rsid w:val="7DDA177F"/>
    <w:rsid w:val="7E6E1B91"/>
    <w:rsid w:val="7E7260A4"/>
    <w:rsid w:val="7E8862FF"/>
    <w:rsid w:val="7E89387B"/>
    <w:rsid w:val="7F467C80"/>
    <w:rsid w:val="7F7A4889"/>
    <w:rsid w:val="7F943582"/>
    <w:rsid w:val="7FA51634"/>
    <w:rsid w:val="7FB536B8"/>
    <w:rsid w:val="7FC73C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Normal Indent" w:qFormat="1"/>
    <w:lsdException w:name="annotation text" w:qFormat="1"/>
    <w:lsdException w:name="header" w:qFormat="1"/>
    <w:lsdException w:name="footer" w:uiPriority="99" w:qFormat="1"/>
    <w:lsdException w:name="caption" w:semiHidden="1" w:unhideWhenUsed="1" w:qFormat="1"/>
    <w:lsdException w:name="table of figures" w:qFormat="1"/>
    <w:lsdException w:name="annotation reference" w:qFormat="1"/>
    <w:lsdException w:name="page number" w:qFormat="1"/>
    <w:lsdException w:name="Title" w:uiPriority="99" w:qFormat="1"/>
    <w:lsdException w:name="Default Paragraph Font" w:semiHidden="1" w:uiPriority="1" w:unhideWhenUsed="1" w:qFormat="1"/>
    <w:lsdException w:name="Body Text" w:uiPriority="99" w:unhideWhenUsed="1"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E6CF4"/>
    <w:pPr>
      <w:widowControl w:val="0"/>
      <w:spacing w:line="560" w:lineRule="exact"/>
      <w:ind w:firstLineChars="200" w:firstLine="200"/>
      <w:jc w:val="both"/>
    </w:pPr>
    <w:rPr>
      <w:rFonts w:ascii="宋体" w:eastAsia="仿宋" w:hAnsi="宋体" w:cs="Calibri"/>
      <w:kern w:val="2"/>
      <w:sz w:val="30"/>
      <w:szCs w:val="24"/>
    </w:rPr>
  </w:style>
  <w:style w:type="paragraph" w:styleId="1">
    <w:name w:val="heading 1"/>
    <w:basedOn w:val="a"/>
    <w:next w:val="a"/>
    <w:qFormat/>
    <w:rsid w:val="001E6CF4"/>
    <w:pPr>
      <w:spacing w:beforeAutospacing="1" w:afterAutospacing="1"/>
      <w:ind w:firstLineChars="0" w:firstLine="0"/>
      <w:jc w:val="center"/>
      <w:outlineLvl w:val="0"/>
    </w:pPr>
    <w:rPr>
      <w:rFonts w:eastAsia="宋体" w:cs="Times New Roman" w:hint="eastAsia"/>
      <w:b/>
      <w:bCs/>
      <w:kern w:val="44"/>
      <w:sz w:val="36"/>
      <w:szCs w:val="48"/>
    </w:rPr>
  </w:style>
  <w:style w:type="paragraph" w:styleId="2">
    <w:name w:val="heading 2"/>
    <w:basedOn w:val="a"/>
    <w:next w:val="a"/>
    <w:link w:val="2Char"/>
    <w:qFormat/>
    <w:rsid w:val="001E6CF4"/>
    <w:pPr>
      <w:keepNext/>
      <w:keepLines/>
      <w:adjustRightInd w:val="0"/>
      <w:snapToGrid w:val="0"/>
      <w:spacing w:line="600" w:lineRule="exact"/>
      <w:ind w:firstLineChars="0" w:firstLine="0"/>
      <w:outlineLvl w:val="1"/>
    </w:pPr>
    <w:rPr>
      <w:rFonts w:ascii="Cambria" w:hAnsi="Cambria"/>
      <w:b/>
      <w:bCs/>
      <w:sz w:val="32"/>
      <w:szCs w:val="32"/>
    </w:rPr>
  </w:style>
  <w:style w:type="paragraph" w:styleId="3">
    <w:name w:val="heading 3"/>
    <w:basedOn w:val="a"/>
    <w:next w:val="a"/>
    <w:qFormat/>
    <w:rsid w:val="001E6CF4"/>
    <w:pPr>
      <w:keepNext/>
      <w:keepLines/>
      <w:adjustRightInd w:val="0"/>
      <w:snapToGrid w:val="0"/>
      <w:spacing w:line="600" w:lineRule="exact"/>
      <w:ind w:firstLine="560"/>
      <w:outlineLvl w:val="2"/>
    </w:pPr>
    <w:rPr>
      <w:bCs/>
      <w:szCs w:val="32"/>
    </w:rPr>
  </w:style>
  <w:style w:type="paragraph" w:styleId="4">
    <w:name w:val="heading 4"/>
    <w:basedOn w:val="a"/>
    <w:next w:val="a"/>
    <w:qFormat/>
    <w:rsid w:val="001E6CF4"/>
    <w:pPr>
      <w:keepNext/>
      <w:keepLines/>
      <w:spacing w:before="280" w:after="290" w:line="376" w:lineRule="auto"/>
      <w:outlineLvl w:val="3"/>
    </w:pPr>
    <w:rPr>
      <w:rFonts w:ascii="Arial" w:eastAsia="宋体" w:hAnsi="Arial"/>
      <w:b/>
      <w:bCs/>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qFormat/>
    <w:rsid w:val="001E6CF4"/>
  </w:style>
  <w:style w:type="paragraph" w:styleId="a4">
    <w:name w:val="Normal Indent"/>
    <w:basedOn w:val="a"/>
    <w:qFormat/>
    <w:rsid w:val="001E6CF4"/>
    <w:pPr>
      <w:adjustRightInd w:val="0"/>
      <w:snapToGrid w:val="0"/>
      <w:spacing w:line="360" w:lineRule="auto"/>
      <w:jc w:val="left"/>
    </w:pPr>
    <w:rPr>
      <w:sz w:val="28"/>
      <w:szCs w:val="72"/>
    </w:rPr>
  </w:style>
  <w:style w:type="paragraph" w:styleId="a5">
    <w:name w:val="annotation text"/>
    <w:basedOn w:val="a"/>
    <w:link w:val="Char"/>
    <w:qFormat/>
    <w:rsid w:val="001E6CF4"/>
    <w:pPr>
      <w:jc w:val="left"/>
    </w:pPr>
  </w:style>
  <w:style w:type="paragraph" w:styleId="30">
    <w:name w:val="toc 3"/>
    <w:basedOn w:val="a"/>
    <w:next w:val="a"/>
    <w:qFormat/>
    <w:rsid w:val="001E6CF4"/>
    <w:pPr>
      <w:ind w:leftChars="400" w:left="840"/>
    </w:pPr>
  </w:style>
  <w:style w:type="paragraph" w:styleId="a6">
    <w:name w:val="Plain Text"/>
    <w:basedOn w:val="a"/>
    <w:qFormat/>
    <w:rsid w:val="001E6CF4"/>
    <w:rPr>
      <w:rFonts w:eastAsia="宋体" w:hAnsi="Courier New" w:cs="Courier New"/>
      <w:sz w:val="21"/>
      <w:szCs w:val="21"/>
    </w:rPr>
  </w:style>
  <w:style w:type="paragraph" w:styleId="a7">
    <w:name w:val="Balloon Text"/>
    <w:basedOn w:val="a"/>
    <w:link w:val="Char0"/>
    <w:qFormat/>
    <w:rsid w:val="001E6CF4"/>
    <w:pPr>
      <w:spacing w:line="240" w:lineRule="auto"/>
    </w:pPr>
    <w:rPr>
      <w:sz w:val="18"/>
      <w:szCs w:val="18"/>
    </w:rPr>
  </w:style>
  <w:style w:type="paragraph" w:styleId="a8">
    <w:name w:val="footer"/>
    <w:basedOn w:val="a"/>
    <w:uiPriority w:val="99"/>
    <w:qFormat/>
    <w:rsid w:val="001E6CF4"/>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qFormat/>
    <w:rsid w:val="001E6CF4"/>
    <w:pPr>
      <w:tabs>
        <w:tab w:val="center" w:pos="4153"/>
        <w:tab w:val="right" w:pos="8306"/>
      </w:tabs>
      <w:snapToGrid w:val="0"/>
      <w:spacing w:line="240" w:lineRule="atLeast"/>
      <w:jc w:val="center"/>
    </w:pPr>
    <w:rPr>
      <w:rFonts w:eastAsiaTheme="minorEastAsia" w:hAnsiTheme="minorHAnsi" w:cstheme="minorBidi"/>
      <w:sz w:val="18"/>
      <w:szCs w:val="18"/>
    </w:rPr>
  </w:style>
  <w:style w:type="paragraph" w:styleId="10">
    <w:name w:val="toc 1"/>
    <w:basedOn w:val="a"/>
    <w:next w:val="a"/>
    <w:uiPriority w:val="39"/>
    <w:qFormat/>
    <w:rsid w:val="001E6CF4"/>
    <w:pPr>
      <w:spacing w:before="120" w:after="120"/>
      <w:ind w:firstLineChars="0" w:firstLine="0"/>
      <w:jc w:val="left"/>
    </w:pPr>
    <w:rPr>
      <w:rFonts w:ascii="Calibri" w:eastAsia="黑体" w:hAnsi="Calibri"/>
      <w:bCs/>
      <w:caps/>
      <w:szCs w:val="20"/>
    </w:rPr>
  </w:style>
  <w:style w:type="paragraph" w:styleId="aa">
    <w:name w:val="table of figures"/>
    <w:basedOn w:val="a"/>
    <w:next w:val="a"/>
    <w:qFormat/>
    <w:rsid w:val="001E6CF4"/>
    <w:pPr>
      <w:spacing w:line="360" w:lineRule="auto"/>
      <w:ind w:leftChars="200" w:left="200" w:hangingChars="200" w:hanging="200"/>
    </w:pPr>
    <w:rPr>
      <w:rFonts w:ascii="Calibri" w:eastAsia="宋体" w:hAnsi="Calibri" w:cs="Times New Roman"/>
      <w:sz w:val="32"/>
    </w:rPr>
  </w:style>
  <w:style w:type="paragraph" w:styleId="20">
    <w:name w:val="toc 2"/>
    <w:basedOn w:val="a"/>
    <w:next w:val="a"/>
    <w:link w:val="2Char0"/>
    <w:uiPriority w:val="39"/>
    <w:qFormat/>
    <w:rsid w:val="001E6CF4"/>
    <w:pPr>
      <w:ind w:left="278" w:firstLineChars="100" w:firstLine="440"/>
      <w:jc w:val="left"/>
    </w:pPr>
    <w:rPr>
      <w:rFonts w:ascii="Calibri" w:hAnsi="Calibri"/>
      <w:smallCaps/>
      <w:szCs w:val="20"/>
    </w:rPr>
  </w:style>
  <w:style w:type="paragraph" w:styleId="ab">
    <w:name w:val="Normal (Web)"/>
    <w:basedOn w:val="a"/>
    <w:qFormat/>
    <w:rsid w:val="001E6CF4"/>
    <w:pPr>
      <w:spacing w:beforeAutospacing="1" w:afterAutospacing="1"/>
      <w:jc w:val="left"/>
    </w:pPr>
    <w:rPr>
      <w:rFonts w:cs="Times New Roman"/>
      <w:kern w:val="0"/>
      <w:sz w:val="24"/>
    </w:rPr>
  </w:style>
  <w:style w:type="paragraph" w:styleId="ac">
    <w:name w:val="Title"/>
    <w:basedOn w:val="a"/>
    <w:uiPriority w:val="99"/>
    <w:qFormat/>
    <w:rsid w:val="001E6CF4"/>
    <w:pPr>
      <w:spacing w:before="240" w:after="60"/>
      <w:jc w:val="center"/>
      <w:outlineLvl w:val="0"/>
    </w:pPr>
    <w:rPr>
      <w:rFonts w:ascii="Arial" w:hAnsi="Arial" w:cs="Arial"/>
      <w:b/>
      <w:bCs/>
      <w:sz w:val="32"/>
      <w:szCs w:val="32"/>
    </w:rPr>
  </w:style>
  <w:style w:type="paragraph" w:styleId="ad">
    <w:name w:val="annotation subject"/>
    <w:basedOn w:val="a5"/>
    <w:next w:val="a5"/>
    <w:link w:val="Char1"/>
    <w:qFormat/>
    <w:rsid w:val="001E6CF4"/>
    <w:rPr>
      <w:b/>
      <w:bCs/>
    </w:rPr>
  </w:style>
  <w:style w:type="table" w:styleId="ae">
    <w:name w:val="Table Grid"/>
    <w:basedOn w:val="a2"/>
    <w:qFormat/>
    <w:rsid w:val="001E6C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qFormat/>
    <w:rsid w:val="001E6CF4"/>
    <w:rPr>
      <w:b/>
    </w:rPr>
  </w:style>
  <w:style w:type="character" w:styleId="af0">
    <w:name w:val="page number"/>
    <w:basedOn w:val="a1"/>
    <w:qFormat/>
    <w:rsid w:val="001E6CF4"/>
  </w:style>
  <w:style w:type="character" w:styleId="af1">
    <w:name w:val="Hyperlink"/>
    <w:uiPriority w:val="99"/>
    <w:unhideWhenUsed/>
    <w:qFormat/>
    <w:rsid w:val="001E6CF4"/>
    <w:rPr>
      <w:color w:val="0000FF"/>
      <w:u w:val="single"/>
    </w:rPr>
  </w:style>
  <w:style w:type="character" w:styleId="af2">
    <w:name w:val="annotation reference"/>
    <w:basedOn w:val="a1"/>
    <w:qFormat/>
    <w:rsid w:val="001E6CF4"/>
    <w:rPr>
      <w:sz w:val="21"/>
      <w:szCs w:val="21"/>
    </w:rPr>
  </w:style>
  <w:style w:type="character" w:customStyle="1" w:styleId="2Char">
    <w:name w:val="标题 2 Char"/>
    <w:link w:val="2"/>
    <w:qFormat/>
    <w:rsid w:val="001E6CF4"/>
    <w:rPr>
      <w:rFonts w:ascii="Cambria" w:eastAsia="仿宋_GB2312" w:hAnsi="Cambria"/>
      <w:b/>
      <w:bCs/>
      <w:sz w:val="32"/>
      <w:szCs w:val="32"/>
    </w:rPr>
  </w:style>
  <w:style w:type="character" w:customStyle="1" w:styleId="2Char0">
    <w:name w:val="目录 2 Char"/>
    <w:link w:val="20"/>
    <w:uiPriority w:val="39"/>
    <w:qFormat/>
    <w:rsid w:val="001E6CF4"/>
    <w:rPr>
      <w:rFonts w:ascii="Calibri" w:eastAsia="仿宋" w:hAnsi="Calibri"/>
      <w:smallCaps/>
      <w:sz w:val="30"/>
      <w:szCs w:val="20"/>
    </w:rPr>
  </w:style>
  <w:style w:type="paragraph" w:customStyle="1" w:styleId="15">
    <w:name w:val="样式 宋体 四号 行距: 1.5 倍行距"/>
    <w:basedOn w:val="a"/>
    <w:qFormat/>
    <w:rsid w:val="001E6CF4"/>
    <w:pPr>
      <w:adjustRightInd w:val="0"/>
      <w:snapToGrid w:val="0"/>
      <w:spacing w:line="360" w:lineRule="auto"/>
    </w:pPr>
    <w:rPr>
      <w:rFonts w:cs="宋体"/>
      <w:sz w:val="28"/>
      <w:szCs w:val="20"/>
    </w:rPr>
  </w:style>
  <w:style w:type="character" w:customStyle="1" w:styleId="font41">
    <w:name w:val="font41"/>
    <w:basedOn w:val="a1"/>
    <w:qFormat/>
    <w:rsid w:val="001E6CF4"/>
    <w:rPr>
      <w:rFonts w:ascii="黑体" w:eastAsia="黑体" w:hAnsi="宋体" w:cs="黑体" w:hint="eastAsia"/>
      <w:color w:val="000000"/>
      <w:sz w:val="24"/>
      <w:szCs w:val="24"/>
      <w:u w:val="none"/>
    </w:rPr>
  </w:style>
  <w:style w:type="character" w:customStyle="1" w:styleId="font01">
    <w:name w:val="font01"/>
    <w:basedOn w:val="a1"/>
    <w:qFormat/>
    <w:rsid w:val="001E6CF4"/>
    <w:rPr>
      <w:rFonts w:ascii="宋体" w:eastAsia="宋体" w:hAnsi="宋体" w:cs="宋体" w:hint="eastAsia"/>
      <w:color w:val="000000"/>
      <w:sz w:val="22"/>
      <w:szCs w:val="22"/>
      <w:u w:val="none"/>
    </w:rPr>
  </w:style>
  <w:style w:type="character" w:customStyle="1" w:styleId="font11">
    <w:name w:val="font11"/>
    <w:basedOn w:val="a1"/>
    <w:qFormat/>
    <w:rsid w:val="001E6CF4"/>
    <w:rPr>
      <w:rFonts w:ascii="宋体" w:eastAsia="宋体" w:hAnsi="宋体" w:cs="宋体" w:hint="eastAsia"/>
      <w:color w:val="000000"/>
      <w:sz w:val="22"/>
      <w:szCs w:val="22"/>
      <w:u w:val="none"/>
      <w:vertAlign w:val="superscript"/>
    </w:rPr>
  </w:style>
  <w:style w:type="character" w:customStyle="1" w:styleId="font21">
    <w:name w:val="font21"/>
    <w:basedOn w:val="a1"/>
    <w:qFormat/>
    <w:rsid w:val="001E6CF4"/>
    <w:rPr>
      <w:rFonts w:ascii="黑体" w:eastAsia="黑体" w:hAnsi="宋体" w:cs="黑体" w:hint="eastAsia"/>
      <w:color w:val="000000"/>
      <w:sz w:val="24"/>
      <w:szCs w:val="24"/>
      <w:u w:val="none"/>
    </w:rPr>
  </w:style>
  <w:style w:type="character" w:customStyle="1" w:styleId="font61">
    <w:name w:val="font61"/>
    <w:basedOn w:val="a1"/>
    <w:qFormat/>
    <w:rsid w:val="001E6CF4"/>
    <w:rPr>
      <w:rFonts w:ascii="仿宋" w:eastAsia="仿宋" w:hAnsi="仿宋" w:cs="仿宋" w:hint="eastAsia"/>
      <w:b/>
      <w:bCs/>
      <w:color w:val="000000"/>
      <w:sz w:val="21"/>
      <w:szCs w:val="21"/>
      <w:u w:val="none"/>
      <w:vertAlign w:val="superscript"/>
    </w:rPr>
  </w:style>
  <w:style w:type="character" w:customStyle="1" w:styleId="font31">
    <w:name w:val="font31"/>
    <w:basedOn w:val="a1"/>
    <w:qFormat/>
    <w:rsid w:val="001E6CF4"/>
    <w:rPr>
      <w:rFonts w:ascii="仿宋" w:eastAsia="仿宋" w:hAnsi="仿宋" w:cs="仿宋" w:hint="eastAsia"/>
      <w:b/>
      <w:bCs/>
      <w:color w:val="000000"/>
      <w:sz w:val="21"/>
      <w:szCs w:val="21"/>
      <w:u w:val="none"/>
    </w:rPr>
  </w:style>
  <w:style w:type="character" w:customStyle="1" w:styleId="font51">
    <w:name w:val="font51"/>
    <w:basedOn w:val="a1"/>
    <w:qFormat/>
    <w:rsid w:val="001E6CF4"/>
    <w:rPr>
      <w:rFonts w:ascii="微软雅黑" w:eastAsia="微软雅黑" w:hAnsi="微软雅黑" w:cs="微软雅黑"/>
      <w:color w:val="000000"/>
      <w:sz w:val="20"/>
      <w:szCs w:val="20"/>
      <w:u w:val="none"/>
    </w:rPr>
  </w:style>
  <w:style w:type="paragraph" w:customStyle="1" w:styleId="Default">
    <w:name w:val="Default"/>
    <w:uiPriority w:val="99"/>
    <w:unhideWhenUsed/>
    <w:qFormat/>
    <w:rsid w:val="001E6CF4"/>
    <w:pPr>
      <w:widowControl w:val="0"/>
      <w:autoSpaceDE w:val="0"/>
      <w:autoSpaceDN w:val="0"/>
      <w:adjustRightInd w:val="0"/>
    </w:pPr>
    <w:rPr>
      <w:rFonts w:ascii="仿宋_GB2312" w:eastAsia="仿宋_GB2312" w:hAnsi="仿宋_GB2312"/>
      <w:color w:val="000000"/>
      <w:sz w:val="24"/>
      <w:szCs w:val="24"/>
    </w:rPr>
  </w:style>
  <w:style w:type="paragraph" w:styleId="af3">
    <w:name w:val="List Paragraph"/>
    <w:basedOn w:val="a"/>
    <w:uiPriority w:val="99"/>
    <w:qFormat/>
    <w:rsid w:val="001E6CF4"/>
    <w:pPr>
      <w:ind w:firstLine="420"/>
    </w:pPr>
  </w:style>
  <w:style w:type="character" w:customStyle="1" w:styleId="Char">
    <w:name w:val="批注文字 Char"/>
    <w:basedOn w:val="a1"/>
    <w:link w:val="a5"/>
    <w:qFormat/>
    <w:rsid w:val="001E6CF4"/>
    <w:rPr>
      <w:rFonts w:ascii="宋体" w:eastAsia="仿宋" w:hAnsi="宋体" w:cs="Calibri"/>
      <w:kern w:val="2"/>
      <w:sz w:val="30"/>
      <w:szCs w:val="24"/>
    </w:rPr>
  </w:style>
  <w:style w:type="character" w:customStyle="1" w:styleId="Char1">
    <w:name w:val="批注主题 Char"/>
    <w:basedOn w:val="Char"/>
    <w:link w:val="ad"/>
    <w:qFormat/>
    <w:rsid w:val="001E6CF4"/>
    <w:rPr>
      <w:rFonts w:ascii="宋体" w:eastAsia="仿宋" w:hAnsi="宋体" w:cs="Calibri"/>
      <w:b/>
      <w:bCs/>
      <w:kern w:val="2"/>
      <w:sz w:val="30"/>
      <w:szCs w:val="24"/>
    </w:rPr>
  </w:style>
  <w:style w:type="character" w:customStyle="1" w:styleId="Char0">
    <w:name w:val="批注框文本 Char"/>
    <w:basedOn w:val="a1"/>
    <w:link w:val="a7"/>
    <w:qFormat/>
    <w:rsid w:val="001E6CF4"/>
    <w:rPr>
      <w:rFonts w:ascii="宋体" w:eastAsia="仿宋" w:hAnsi="宋体"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36</Pages>
  <Words>2388</Words>
  <Characters>13614</Characters>
  <Application>Microsoft Office Word</Application>
  <DocSecurity>0</DocSecurity>
  <Lines>113</Lines>
  <Paragraphs>31</Paragraphs>
  <ScaleCrop>false</ScaleCrop>
  <Company/>
  <LinksUpToDate>false</LinksUpToDate>
  <CharactersWithSpaces>15971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汤博</dc:creator>
  <cp:lastModifiedBy>Administrator</cp:lastModifiedBy>
  <cp:revision>14</cp:revision>
  <cp:lastPrinted>2023-01-06T07:43:00Z</cp:lastPrinted>
  <dcterms:created xsi:type="dcterms:W3CDTF">2021-08-22T06:24:00Z</dcterms:created>
  <dcterms:modified xsi:type="dcterms:W3CDTF">2023-01-18T01:54:00Z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6A9857112B7A416AA10D4C78259D720A</vt:lpwstr>
  </property>
</Properties>
</file>