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92B" w:rsidRDefault="003E192B" w:rsidP="003E192B">
      <w:pPr>
        <w:spacing w:line="560" w:lineRule="exact"/>
        <w:jc w:val="left"/>
        <w:rPr>
          <w:rFonts w:ascii="黑体" w:eastAsia="黑体" w:hAnsi="黑体" w:cs="黑体"/>
          <w:sz w:val="32"/>
          <w:szCs w:val="32"/>
        </w:rPr>
      </w:pPr>
      <w:r>
        <w:rPr>
          <w:rFonts w:ascii="黑体" w:eastAsia="黑体" w:hAnsi="黑体" w:cs="黑体" w:hint="eastAsia"/>
          <w:sz w:val="32"/>
          <w:szCs w:val="32"/>
        </w:rPr>
        <w:t>附件1</w:t>
      </w:r>
    </w:p>
    <w:p w:rsidR="003E192B" w:rsidRDefault="003E192B" w:rsidP="003E192B">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佳县2025年度科技需求清单</w:t>
      </w:r>
    </w:p>
    <w:p w:rsidR="003E192B" w:rsidRDefault="003E192B" w:rsidP="003E192B">
      <w:pPr>
        <w:pStyle w:val="a0"/>
        <w:rPr>
          <w:rFonts w:hint="eastAsia"/>
          <w:lang w:val="en-US"/>
        </w:rPr>
      </w:pPr>
    </w:p>
    <w:tbl>
      <w:tblPr>
        <w:tblW w:w="5678" w:type="pct"/>
        <w:jc w:val="center"/>
        <w:tblCellMar>
          <w:left w:w="0" w:type="dxa"/>
          <w:right w:w="0" w:type="dxa"/>
        </w:tblCellMar>
        <w:tblLook w:val="0000" w:firstRow="0" w:lastRow="0" w:firstColumn="0" w:lastColumn="0" w:noHBand="0" w:noVBand="0"/>
      </w:tblPr>
      <w:tblGrid>
        <w:gridCol w:w="743"/>
        <w:gridCol w:w="1363"/>
        <w:gridCol w:w="5233"/>
        <w:gridCol w:w="7796"/>
        <w:gridCol w:w="750"/>
      </w:tblGrid>
      <w:tr w:rsidR="003E192B" w:rsidTr="00C34D05">
        <w:trPr>
          <w:trHeight w:val="696"/>
          <w:jc w:val="center"/>
        </w:trPr>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ascii="黑体" w:eastAsia="黑体" w:hAnsi="黑体" w:cs="黑体" w:hint="eastAsia"/>
                <w:sz w:val="22"/>
                <w:lang w:bidi="ar"/>
              </w:rPr>
            </w:pPr>
            <w:r>
              <w:rPr>
                <w:rFonts w:ascii="黑体" w:eastAsia="黑体" w:hAnsi="黑体" w:cs="黑体" w:hint="eastAsia"/>
                <w:sz w:val="22"/>
                <w:lang w:bidi="ar"/>
              </w:rPr>
              <w:t>序号</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ascii="黑体" w:eastAsia="黑体" w:hAnsi="黑体" w:cs="黑体" w:hint="eastAsia"/>
                <w:sz w:val="22"/>
                <w:szCs w:val="22"/>
              </w:rPr>
            </w:pPr>
            <w:r>
              <w:rPr>
                <w:rFonts w:ascii="黑体" w:eastAsia="黑体" w:hAnsi="黑体" w:cs="黑体" w:hint="eastAsia"/>
                <w:sz w:val="22"/>
                <w:lang w:bidi="ar"/>
              </w:rPr>
              <w:t>重点</w:t>
            </w:r>
            <w:r>
              <w:rPr>
                <w:rFonts w:ascii="黑体" w:eastAsia="黑体" w:hAnsi="黑体" w:cs="黑体" w:hint="eastAsia"/>
                <w:kern w:val="0"/>
                <w:sz w:val="22"/>
                <w:szCs w:val="22"/>
                <w:lang w:bidi="ar"/>
              </w:rPr>
              <w:t>领域</w:t>
            </w:r>
          </w:p>
        </w:tc>
        <w:tc>
          <w:tcPr>
            <w:tcW w:w="16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ascii="黑体" w:eastAsia="黑体" w:hAnsi="黑体" w:cs="黑体" w:hint="eastAsia"/>
                <w:sz w:val="22"/>
                <w:szCs w:val="22"/>
              </w:rPr>
            </w:pPr>
            <w:r>
              <w:rPr>
                <w:rFonts w:ascii="黑体" w:eastAsia="黑体" w:hAnsi="黑体" w:cs="黑体" w:hint="eastAsia"/>
                <w:kern w:val="0"/>
                <w:sz w:val="22"/>
                <w:szCs w:val="22"/>
                <w:lang w:bidi="ar"/>
              </w:rPr>
              <w:t>主要研究内容</w:t>
            </w:r>
          </w:p>
        </w:tc>
        <w:tc>
          <w:tcPr>
            <w:tcW w:w="2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ascii="黑体" w:eastAsia="黑体" w:hAnsi="黑体" w:cs="黑体" w:hint="eastAsia"/>
                <w:sz w:val="22"/>
                <w:szCs w:val="22"/>
              </w:rPr>
            </w:pPr>
            <w:r>
              <w:rPr>
                <w:rFonts w:ascii="黑体" w:eastAsia="黑体" w:hAnsi="黑体" w:cs="黑体" w:hint="eastAsia"/>
                <w:kern w:val="0"/>
                <w:sz w:val="22"/>
                <w:szCs w:val="22"/>
                <w:lang w:bidi="ar"/>
              </w:rPr>
              <w:t>解决技术问题类别（卡脖子技术、弱项短板、共性关键技术等）</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ascii="黑体" w:eastAsia="黑体" w:hAnsi="黑体" w:cs="黑体" w:hint="eastAsia"/>
                <w:sz w:val="22"/>
                <w:szCs w:val="22"/>
              </w:rPr>
            </w:pPr>
            <w:r>
              <w:rPr>
                <w:rFonts w:ascii="黑体" w:eastAsia="黑体" w:hAnsi="黑体" w:cs="黑体" w:hint="eastAsia"/>
                <w:sz w:val="22"/>
                <w:szCs w:val="22"/>
              </w:rPr>
              <w:t>备注</w:t>
            </w:r>
          </w:p>
        </w:tc>
      </w:tr>
      <w:tr w:rsidR="003E192B" w:rsidTr="003E192B">
        <w:trPr>
          <w:trHeight w:val="4488"/>
          <w:jc w:val="center"/>
        </w:trPr>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t>1</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lang w:bidi="ar"/>
              </w:rPr>
            </w:pPr>
            <w:r>
              <w:rPr>
                <w:rFonts w:eastAsia="仿宋_GB2312"/>
                <w:sz w:val="24"/>
              </w:rPr>
              <w:t>特色农作物种植</w:t>
            </w:r>
          </w:p>
        </w:tc>
        <w:tc>
          <w:tcPr>
            <w:tcW w:w="16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left"/>
              <w:rPr>
                <w:rFonts w:eastAsia="仿宋_GB2312"/>
                <w:sz w:val="24"/>
              </w:rPr>
            </w:pPr>
            <w:r>
              <w:rPr>
                <w:rFonts w:eastAsia="仿宋_GB2312"/>
                <w:sz w:val="24"/>
              </w:rPr>
              <w:t>1.</w:t>
            </w:r>
            <w:r>
              <w:rPr>
                <w:rFonts w:eastAsia="仿宋_GB2312"/>
                <w:sz w:val="24"/>
              </w:rPr>
              <w:t>全生物降解渗水地膜技术降本增效；</w:t>
            </w:r>
          </w:p>
          <w:p w:rsidR="003E192B" w:rsidRDefault="003E192B" w:rsidP="00C34D05">
            <w:pPr>
              <w:jc w:val="left"/>
              <w:rPr>
                <w:rFonts w:eastAsia="仿宋_GB2312"/>
                <w:sz w:val="24"/>
              </w:rPr>
            </w:pPr>
            <w:r>
              <w:rPr>
                <w:rFonts w:eastAsia="仿宋_GB2312"/>
                <w:sz w:val="24"/>
              </w:rPr>
              <w:t>2.</w:t>
            </w:r>
            <w:r>
              <w:rPr>
                <w:rFonts w:eastAsia="仿宋_GB2312"/>
                <w:sz w:val="24"/>
              </w:rPr>
              <w:t>西北特色旱地集成技术推广应用；</w:t>
            </w:r>
          </w:p>
          <w:p w:rsidR="003E192B" w:rsidRDefault="003E192B" w:rsidP="00C34D05">
            <w:pPr>
              <w:jc w:val="left"/>
              <w:rPr>
                <w:rFonts w:eastAsia="仿宋_GB2312"/>
                <w:sz w:val="24"/>
              </w:rPr>
            </w:pPr>
            <w:r>
              <w:rPr>
                <w:rFonts w:eastAsia="仿宋_GB2312"/>
                <w:sz w:val="24"/>
              </w:rPr>
              <w:t>3.</w:t>
            </w:r>
            <w:r>
              <w:rPr>
                <w:rFonts w:eastAsia="仿宋_GB2312"/>
                <w:sz w:val="24"/>
              </w:rPr>
              <w:t>标准化山地苹果果园建设；</w:t>
            </w:r>
          </w:p>
          <w:p w:rsidR="003E192B" w:rsidRDefault="003E192B" w:rsidP="00C34D05">
            <w:pPr>
              <w:jc w:val="left"/>
              <w:rPr>
                <w:rFonts w:eastAsia="仿宋_GB2312"/>
                <w:sz w:val="24"/>
              </w:rPr>
            </w:pPr>
            <w:r>
              <w:rPr>
                <w:rFonts w:eastAsia="仿宋_GB2312"/>
                <w:sz w:val="24"/>
              </w:rPr>
              <w:t>4.</w:t>
            </w:r>
            <w:r>
              <w:rPr>
                <w:rFonts w:eastAsia="仿宋_GB2312"/>
                <w:sz w:val="24"/>
              </w:rPr>
              <w:t>山地苹果产业链条延伸；</w:t>
            </w:r>
          </w:p>
          <w:p w:rsidR="003E192B" w:rsidRDefault="003E192B" w:rsidP="00C34D05">
            <w:pPr>
              <w:jc w:val="left"/>
              <w:rPr>
                <w:rFonts w:eastAsia="仿宋_GB2312"/>
                <w:kern w:val="0"/>
                <w:sz w:val="24"/>
                <w:lang w:bidi="ar"/>
              </w:rPr>
            </w:pPr>
            <w:r>
              <w:rPr>
                <w:rFonts w:eastAsia="仿宋_GB2312"/>
                <w:sz w:val="24"/>
              </w:rPr>
              <w:t>5.</w:t>
            </w:r>
            <w:r>
              <w:rPr>
                <w:rFonts w:eastAsia="仿宋_GB2312"/>
                <w:sz w:val="24"/>
              </w:rPr>
              <w:t>中药材关键核心技术攻关及生态种植模式示范推广。</w:t>
            </w:r>
            <w:bookmarkStart w:id="0" w:name="_GoBack"/>
            <w:bookmarkEnd w:id="0"/>
          </w:p>
        </w:tc>
        <w:tc>
          <w:tcPr>
            <w:tcW w:w="2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ind w:firstLineChars="200" w:firstLine="480"/>
              <w:rPr>
                <w:rFonts w:eastAsia="仿宋_GB2312"/>
                <w:kern w:val="0"/>
                <w:sz w:val="24"/>
                <w:lang w:bidi="ar"/>
              </w:rPr>
            </w:pPr>
            <w:r>
              <w:rPr>
                <w:rFonts w:eastAsia="仿宋_GB2312"/>
                <w:sz w:val="24"/>
              </w:rPr>
              <w:t>解决现有地膜高粱、渗水地膜谷子种植技术规模化机械化水平低、生产成本过高，县域性和精准化凸显不足等问题。解决旱地种植技术不足、特色农业覆盖面不广，与高校、企业等科研主体的合作较少，杂粮作物性能不足、附加值较低等问题。解决山地苹果矮化品种标准化园区建设不完善，防雹网、冷藏库等配套设施不健全，土壤、肥水、</w:t>
            </w:r>
            <w:proofErr w:type="gramStart"/>
            <w:r>
              <w:rPr>
                <w:rFonts w:eastAsia="仿宋_GB2312"/>
                <w:sz w:val="24"/>
              </w:rPr>
              <w:t>树病等</w:t>
            </w:r>
            <w:proofErr w:type="gramEnd"/>
            <w:r>
              <w:rPr>
                <w:rFonts w:eastAsia="仿宋_GB2312"/>
                <w:sz w:val="24"/>
              </w:rPr>
              <w:t>管理不规范，整形修剪、疏花、套袋、病虫害防治、施肥等技术服务引进不足等问题。解决社会资本投资山地苹果产业较少，未充分调动合作社、企业等经营主体积极性，产业链条不健全等问题。解决中药材育苗基地标准化水平低，远志、黄芪、酸枣等品种特色优势未充分发掘利用，优生药材品种和经济林的药林、药</w:t>
            </w:r>
            <w:proofErr w:type="gramStart"/>
            <w:r>
              <w:rPr>
                <w:rFonts w:eastAsia="仿宋_GB2312"/>
                <w:sz w:val="24"/>
              </w:rPr>
              <w:t>药</w:t>
            </w:r>
            <w:proofErr w:type="gramEnd"/>
            <w:r>
              <w:rPr>
                <w:rFonts w:eastAsia="仿宋_GB2312"/>
                <w:sz w:val="24"/>
              </w:rPr>
              <w:t>套种模式试验示范不足，中药材由种植到临床应用的闭环产业链不健全等制约中药材产业发展问题。为了有效解决这些问题，我们计划将具有抗倒春寒冻花、抗低温、高温、干旱、裂果；增强作物自身免疫力、减少病害发生、减少农药施用量；增强肥料利用率，提高作物光合作用效率，促进果实、籽粒、块根茎营养合成和积累的，增加农产品中可溶性固形含量，平均能增产</w:t>
            </w:r>
            <w:r>
              <w:rPr>
                <w:rFonts w:eastAsia="仿宋_GB2312"/>
                <w:sz w:val="24"/>
              </w:rPr>
              <w:t>20%</w:t>
            </w:r>
            <w:r>
              <w:rPr>
                <w:rFonts w:eastAsia="仿宋_GB2312"/>
                <w:sz w:val="24"/>
              </w:rPr>
              <w:t>产量的生物叶面肥有机肥～莯</w:t>
            </w:r>
            <w:proofErr w:type="gramStart"/>
            <w:r>
              <w:rPr>
                <w:rFonts w:eastAsia="仿宋_GB2312"/>
                <w:sz w:val="24"/>
              </w:rPr>
              <w:t>娘奇茵</w:t>
            </w:r>
            <w:proofErr w:type="gramEnd"/>
            <w:r>
              <w:rPr>
                <w:rFonts w:eastAsia="仿宋_GB2312"/>
                <w:sz w:val="24"/>
              </w:rPr>
              <w:t>。</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eastAsia="仿宋_GB2312"/>
                <w:sz w:val="24"/>
              </w:rPr>
            </w:pPr>
          </w:p>
        </w:tc>
      </w:tr>
      <w:tr w:rsidR="003E192B" w:rsidTr="003E192B">
        <w:trPr>
          <w:trHeight w:val="3380"/>
          <w:jc w:val="center"/>
        </w:trPr>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lastRenderedPageBreak/>
              <w:t>2</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lang w:bidi="ar"/>
              </w:rPr>
            </w:pPr>
            <w:r>
              <w:rPr>
                <w:rFonts w:eastAsia="仿宋_GB2312"/>
                <w:sz w:val="24"/>
              </w:rPr>
              <w:t>畜牧养殖</w:t>
            </w:r>
          </w:p>
        </w:tc>
        <w:tc>
          <w:tcPr>
            <w:tcW w:w="16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left"/>
              <w:rPr>
                <w:rFonts w:eastAsia="仿宋_GB2312"/>
                <w:sz w:val="24"/>
              </w:rPr>
            </w:pPr>
            <w:r>
              <w:rPr>
                <w:rFonts w:eastAsia="仿宋_GB2312"/>
                <w:sz w:val="24"/>
              </w:rPr>
              <w:t>1.</w:t>
            </w:r>
            <w:r>
              <w:rPr>
                <w:rFonts w:eastAsia="仿宋_GB2312"/>
                <w:sz w:val="24"/>
              </w:rPr>
              <w:t>陕北特色肉羊新品种培育；</w:t>
            </w:r>
          </w:p>
          <w:p w:rsidR="003E192B" w:rsidRDefault="003E192B" w:rsidP="00C34D05">
            <w:pPr>
              <w:jc w:val="left"/>
              <w:rPr>
                <w:rFonts w:eastAsia="仿宋_GB2312"/>
                <w:sz w:val="24"/>
              </w:rPr>
            </w:pPr>
            <w:r>
              <w:rPr>
                <w:rFonts w:eastAsia="仿宋_GB2312"/>
                <w:sz w:val="24"/>
              </w:rPr>
              <w:t>2.</w:t>
            </w:r>
            <w:r>
              <w:rPr>
                <w:rFonts w:eastAsia="仿宋_GB2312"/>
                <w:sz w:val="24"/>
              </w:rPr>
              <w:t>陕北肉羊经济性状现代评价体系建立；</w:t>
            </w:r>
          </w:p>
          <w:p w:rsidR="003E192B" w:rsidRDefault="003E192B" w:rsidP="00C34D05">
            <w:pPr>
              <w:jc w:val="left"/>
              <w:rPr>
                <w:rFonts w:eastAsia="仿宋_GB2312"/>
                <w:sz w:val="24"/>
              </w:rPr>
            </w:pPr>
            <w:r>
              <w:rPr>
                <w:rFonts w:eastAsia="仿宋_GB2312"/>
                <w:sz w:val="24"/>
              </w:rPr>
              <w:t>3.</w:t>
            </w:r>
            <w:proofErr w:type="gramStart"/>
            <w:r>
              <w:rPr>
                <w:rFonts w:eastAsia="仿宋_GB2312"/>
                <w:sz w:val="24"/>
              </w:rPr>
              <w:t>佳米驴</w:t>
            </w:r>
            <w:proofErr w:type="gramEnd"/>
            <w:r>
              <w:rPr>
                <w:rFonts w:eastAsia="仿宋_GB2312"/>
                <w:sz w:val="24"/>
              </w:rPr>
              <w:t>高效养殖技术示范；</w:t>
            </w:r>
          </w:p>
          <w:p w:rsidR="003E192B" w:rsidRDefault="003E192B" w:rsidP="00C34D05">
            <w:pPr>
              <w:jc w:val="left"/>
              <w:rPr>
                <w:rFonts w:eastAsia="仿宋_GB2312"/>
                <w:sz w:val="24"/>
              </w:rPr>
            </w:pPr>
            <w:r>
              <w:rPr>
                <w:rFonts w:eastAsia="仿宋_GB2312"/>
                <w:sz w:val="24"/>
              </w:rPr>
              <w:t>4.</w:t>
            </w:r>
            <w:r>
              <w:rPr>
                <w:rFonts w:eastAsia="仿宋_GB2312"/>
                <w:sz w:val="24"/>
              </w:rPr>
              <w:t>驴肉新型产品研发与推广；</w:t>
            </w:r>
          </w:p>
          <w:p w:rsidR="003E192B" w:rsidRDefault="003E192B" w:rsidP="00C34D05">
            <w:pPr>
              <w:jc w:val="left"/>
              <w:rPr>
                <w:rFonts w:eastAsia="仿宋_GB2312"/>
                <w:sz w:val="24"/>
              </w:rPr>
            </w:pPr>
            <w:r>
              <w:rPr>
                <w:rFonts w:eastAsia="仿宋_GB2312"/>
                <w:sz w:val="24"/>
              </w:rPr>
              <w:t>5.</w:t>
            </w:r>
            <w:r>
              <w:rPr>
                <w:rFonts w:eastAsia="仿宋_GB2312"/>
                <w:sz w:val="24"/>
              </w:rPr>
              <w:t>生猪标准化与智能化养殖；</w:t>
            </w:r>
          </w:p>
          <w:p w:rsidR="003E192B" w:rsidRDefault="003E192B" w:rsidP="00C34D05">
            <w:pPr>
              <w:jc w:val="left"/>
              <w:rPr>
                <w:rFonts w:eastAsia="仿宋_GB2312"/>
                <w:kern w:val="0"/>
                <w:sz w:val="24"/>
                <w:lang w:bidi="ar"/>
              </w:rPr>
            </w:pPr>
            <w:r>
              <w:rPr>
                <w:rFonts w:eastAsia="仿宋_GB2312"/>
                <w:sz w:val="24"/>
              </w:rPr>
              <w:t>6.</w:t>
            </w:r>
            <w:r>
              <w:rPr>
                <w:rFonts w:eastAsia="仿宋_GB2312"/>
                <w:sz w:val="24"/>
              </w:rPr>
              <w:t>生猪养殖粪污的资源化利用。</w:t>
            </w:r>
          </w:p>
        </w:tc>
        <w:tc>
          <w:tcPr>
            <w:tcW w:w="2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ind w:firstLineChars="200" w:firstLine="480"/>
              <w:jc w:val="left"/>
              <w:rPr>
                <w:rFonts w:eastAsia="仿宋_GB2312"/>
                <w:kern w:val="0"/>
                <w:sz w:val="24"/>
                <w:lang w:bidi="ar"/>
              </w:rPr>
            </w:pPr>
            <w:r>
              <w:rPr>
                <w:rFonts w:eastAsia="仿宋_GB2312"/>
                <w:sz w:val="24"/>
              </w:rPr>
              <w:t>解决陕北白绒山羊品种结构不合理，优质良种群体规模较小，不同饲养条件对肉羊性状影响的系统分析缺乏，经济性现代评价体系未建立，肉羊高效育种、智能化管理与精准化决策不足，肉羊生产水平与经济效益较低等问题。解决</w:t>
            </w:r>
            <w:proofErr w:type="gramStart"/>
            <w:r>
              <w:rPr>
                <w:rFonts w:eastAsia="仿宋_GB2312"/>
                <w:sz w:val="24"/>
              </w:rPr>
              <w:t>佳米驴</w:t>
            </w:r>
            <w:proofErr w:type="gramEnd"/>
            <w:r>
              <w:rPr>
                <w:rFonts w:eastAsia="仿宋_GB2312"/>
                <w:sz w:val="24"/>
              </w:rPr>
              <w:t>种质资源</w:t>
            </w:r>
            <w:proofErr w:type="gramStart"/>
            <w:r>
              <w:rPr>
                <w:rFonts w:eastAsia="仿宋_GB2312"/>
                <w:sz w:val="24"/>
              </w:rPr>
              <w:t>保护库未建立</w:t>
            </w:r>
            <w:proofErr w:type="gramEnd"/>
            <w:r>
              <w:rPr>
                <w:rFonts w:eastAsia="仿宋_GB2312"/>
                <w:sz w:val="24"/>
              </w:rPr>
              <w:t>、标准化养殖基地不完善，现代化肉品加工技术引进不足，</w:t>
            </w:r>
            <w:proofErr w:type="gramStart"/>
            <w:r>
              <w:rPr>
                <w:rFonts w:eastAsia="仿宋_GB2312"/>
                <w:sz w:val="24"/>
              </w:rPr>
              <w:t>新型佳米驴肉</w:t>
            </w:r>
            <w:proofErr w:type="gramEnd"/>
            <w:r>
              <w:rPr>
                <w:rFonts w:eastAsia="仿宋_GB2312"/>
                <w:sz w:val="24"/>
              </w:rPr>
              <w:t>产品开发较少，驴肉产品的生产、加工和销售水平较低等问题。系统解析饲料营养、优化养殖品种、合理控制养殖环境、精进饲养管理等因素对生猪肉料比的影响，解决生猪养殖特色产业科技示范区未建立，现有生猪养殖模式规模化、集约化、智能化水平较低，厌氧处理、用水循环、高温发酵、先进喷淋、除臭滤芯等污染处理技术水平落后，从养殖到加工到销售的全产业链建设不足等问题。</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eastAsia="仿宋_GB2312"/>
                <w:sz w:val="24"/>
              </w:rPr>
            </w:pPr>
          </w:p>
        </w:tc>
      </w:tr>
      <w:tr w:rsidR="003E192B" w:rsidTr="00C34D05">
        <w:trPr>
          <w:trHeight w:val="3200"/>
          <w:jc w:val="center"/>
        </w:trPr>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t>3</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eastAsia="仿宋_GB2312"/>
                <w:sz w:val="24"/>
                <w:lang w:bidi="ar"/>
              </w:rPr>
            </w:pPr>
            <w:r>
              <w:rPr>
                <w:rFonts w:eastAsia="仿宋_GB2312"/>
                <w:sz w:val="24"/>
              </w:rPr>
              <w:t>食品加工</w:t>
            </w:r>
          </w:p>
        </w:tc>
        <w:tc>
          <w:tcPr>
            <w:tcW w:w="16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left"/>
              <w:rPr>
                <w:rFonts w:eastAsia="仿宋_GB2312"/>
                <w:sz w:val="24"/>
              </w:rPr>
            </w:pPr>
            <w:r>
              <w:rPr>
                <w:rFonts w:eastAsia="仿宋_GB2312"/>
                <w:sz w:val="24"/>
              </w:rPr>
              <w:t>1.</w:t>
            </w:r>
            <w:r>
              <w:rPr>
                <w:rFonts w:eastAsia="仿宋_GB2312"/>
                <w:sz w:val="24"/>
              </w:rPr>
              <w:t>红枣与小杂粮产业融合及产业链拓展技术研发；</w:t>
            </w:r>
          </w:p>
          <w:p w:rsidR="003E192B" w:rsidRDefault="003E192B" w:rsidP="00C34D05">
            <w:pPr>
              <w:jc w:val="left"/>
              <w:rPr>
                <w:rFonts w:eastAsia="仿宋_GB2312"/>
                <w:sz w:val="24"/>
              </w:rPr>
            </w:pPr>
            <w:r>
              <w:rPr>
                <w:rFonts w:eastAsia="仿宋_GB2312"/>
                <w:sz w:val="24"/>
              </w:rPr>
              <w:t>2.</w:t>
            </w:r>
            <w:r>
              <w:rPr>
                <w:rFonts w:eastAsia="仿宋_GB2312"/>
                <w:sz w:val="24"/>
              </w:rPr>
              <w:t>红枣产业在高附加值领域精深加工技术研究及应用；</w:t>
            </w:r>
          </w:p>
          <w:p w:rsidR="003E192B" w:rsidRDefault="003E192B" w:rsidP="00C34D05">
            <w:pPr>
              <w:jc w:val="left"/>
              <w:rPr>
                <w:rFonts w:eastAsia="仿宋_GB2312"/>
                <w:sz w:val="24"/>
              </w:rPr>
            </w:pPr>
            <w:r>
              <w:rPr>
                <w:rFonts w:eastAsia="仿宋_GB2312"/>
                <w:sz w:val="24"/>
              </w:rPr>
              <w:t>3.</w:t>
            </w:r>
            <w:r>
              <w:rPr>
                <w:rFonts w:eastAsia="仿宋_GB2312"/>
                <w:sz w:val="24"/>
              </w:rPr>
              <w:t>红枣基天然配料产品感官特性研究及创新配料产品开发；</w:t>
            </w:r>
          </w:p>
          <w:p w:rsidR="003E192B" w:rsidRDefault="003E192B" w:rsidP="00C34D05">
            <w:pPr>
              <w:jc w:val="left"/>
              <w:rPr>
                <w:rFonts w:eastAsia="仿宋_GB2312"/>
                <w:sz w:val="24"/>
              </w:rPr>
            </w:pPr>
            <w:r>
              <w:rPr>
                <w:rFonts w:eastAsia="仿宋_GB2312"/>
                <w:sz w:val="24"/>
              </w:rPr>
              <w:t>4.</w:t>
            </w:r>
            <w:r>
              <w:rPr>
                <w:rFonts w:eastAsia="仿宋_GB2312"/>
                <w:sz w:val="24"/>
              </w:rPr>
              <w:t>小杂粮营养健康食品创制及产业化示范。</w:t>
            </w:r>
          </w:p>
          <w:p w:rsidR="003E192B" w:rsidRDefault="003E192B" w:rsidP="00C34D05">
            <w:pPr>
              <w:pStyle w:val="a0"/>
              <w:jc w:val="left"/>
              <w:rPr>
                <w:rFonts w:ascii="Times New Roman" w:eastAsia="仿宋_GB2312" w:hAnsi="Times New Roman" w:cs="Times New Roman"/>
                <w:sz w:val="24"/>
                <w:szCs w:val="24"/>
                <w:lang w:val="en-US"/>
              </w:rPr>
            </w:pPr>
          </w:p>
        </w:tc>
        <w:tc>
          <w:tcPr>
            <w:tcW w:w="2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ind w:firstLineChars="200" w:firstLine="480"/>
              <w:jc w:val="left"/>
              <w:rPr>
                <w:rFonts w:eastAsia="仿宋_GB2312"/>
                <w:sz w:val="24"/>
              </w:rPr>
            </w:pPr>
            <w:r>
              <w:rPr>
                <w:rFonts w:eastAsia="仿宋_GB2312"/>
                <w:sz w:val="24"/>
              </w:rPr>
              <w:t>解决红枣产业链布局不够全面、红枣与小杂粮特色产业相融合不足、营养成分及精准复配健康功效不明等问题。解决红枣产业向果品、食品、药品、保健品等高附加值领域延伸不足问题。解决红枣基天然配料产品感官特性不明问题，提出天然风味代糖等的创新应用方案。解决特色杂粮预处理、热处理等加工过程与贮藏品质、感官品质、营养品质、健康功效、加工特性的关系不明确问题。解决红枣小杂粮相关技术规程或标准不明确、产业应用示范不足带来的营养体系单一、加工特异性大、产品稳定性差等问题。</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widowControl/>
              <w:jc w:val="center"/>
              <w:rPr>
                <w:rFonts w:eastAsia="仿宋_GB2312"/>
                <w:sz w:val="24"/>
              </w:rPr>
            </w:pPr>
          </w:p>
        </w:tc>
      </w:tr>
      <w:tr w:rsidR="003E192B" w:rsidTr="00C34D05">
        <w:trPr>
          <w:trHeight w:val="90"/>
          <w:jc w:val="center"/>
        </w:trPr>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t>4</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t>智慧农业设施</w:t>
            </w:r>
          </w:p>
        </w:tc>
        <w:tc>
          <w:tcPr>
            <w:tcW w:w="16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left"/>
              <w:rPr>
                <w:rFonts w:eastAsia="仿宋_GB2312"/>
                <w:sz w:val="24"/>
              </w:rPr>
            </w:pPr>
            <w:r>
              <w:rPr>
                <w:rFonts w:eastAsia="仿宋_GB2312"/>
                <w:sz w:val="24"/>
              </w:rPr>
              <w:t>1.</w:t>
            </w:r>
            <w:r>
              <w:rPr>
                <w:rFonts w:eastAsia="仿宋_GB2312"/>
                <w:sz w:val="24"/>
              </w:rPr>
              <w:t>智慧温室结构优化研究及应用示范；</w:t>
            </w:r>
          </w:p>
          <w:p w:rsidR="003E192B" w:rsidRDefault="003E192B" w:rsidP="00C34D05">
            <w:pPr>
              <w:jc w:val="left"/>
              <w:rPr>
                <w:rFonts w:eastAsia="仿宋_GB2312"/>
                <w:sz w:val="24"/>
              </w:rPr>
            </w:pPr>
            <w:r>
              <w:rPr>
                <w:rFonts w:eastAsia="仿宋_GB2312"/>
                <w:sz w:val="24"/>
              </w:rPr>
              <w:t>2.</w:t>
            </w:r>
            <w:r>
              <w:rPr>
                <w:rFonts w:eastAsia="仿宋_GB2312"/>
                <w:sz w:val="24"/>
              </w:rPr>
              <w:t>优质高产新品种在智慧设施农业的引进示范；</w:t>
            </w:r>
          </w:p>
          <w:p w:rsidR="003E192B" w:rsidRDefault="003E192B" w:rsidP="00C34D05">
            <w:pPr>
              <w:jc w:val="left"/>
              <w:rPr>
                <w:rFonts w:eastAsia="仿宋_GB2312"/>
                <w:sz w:val="24"/>
              </w:rPr>
            </w:pPr>
            <w:r>
              <w:rPr>
                <w:rFonts w:eastAsia="仿宋_GB2312"/>
                <w:sz w:val="24"/>
              </w:rPr>
              <w:t>3.</w:t>
            </w:r>
            <w:r>
              <w:rPr>
                <w:rFonts w:eastAsia="仿宋_GB2312"/>
                <w:sz w:val="24"/>
              </w:rPr>
              <w:t>智能化现代温室等现代农业技术集成示范；</w:t>
            </w:r>
          </w:p>
          <w:p w:rsidR="003E192B" w:rsidRDefault="003E192B" w:rsidP="00C34D05">
            <w:pPr>
              <w:jc w:val="left"/>
              <w:rPr>
                <w:rFonts w:eastAsia="仿宋_GB2312"/>
                <w:sz w:val="24"/>
              </w:rPr>
            </w:pPr>
            <w:r>
              <w:rPr>
                <w:rFonts w:eastAsia="仿宋_GB2312"/>
                <w:sz w:val="24"/>
              </w:rPr>
              <w:t>4.</w:t>
            </w:r>
            <w:r>
              <w:rPr>
                <w:rFonts w:eastAsia="仿宋_GB2312"/>
                <w:sz w:val="24"/>
              </w:rPr>
              <w:t>智慧设施农业技术成果推广和人才培养。</w:t>
            </w:r>
          </w:p>
        </w:tc>
        <w:tc>
          <w:tcPr>
            <w:tcW w:w="2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ind w:firstLineChars="200" w:firstLine="480"/>
              <w:jc w:val="left"/>
              <w:rPr>
                <w:rFonts w:eastAsia="仿宋_GB2312"/>
                <w:sz w:val="24"/>
              </w:rPr>
            </w:pPr>
            <w:r>
              <w:rPr>
                <w:rFonts w:eastAsia="仿宋_GB2312"/>
                <w:sz w:val="24"/>
              </w:rPr>
              <w:t>解决温室结构技术与当地自然条件不适应，现有农业设施加温系统、补光系统、通风系统、</w:t>
            </w:r>
            <w:proofErr w:type="gramStart"/>
            <w:r>
              <w:rPr>
                <w:rFonts w:eastAsia="仿宋_GB2312"/>
                <w:sz w:val="24"/>
              </w:rPr>
              <w:t>湿帘风机</w:t>
            </w:r>
            <w:proofErr w:type="gramEnd"/>
            <w:r>
              <w:rPr>
                <w:rFonts w:eastAsia="仿宋_GB2312"/>
                <w:sz w:val="24"/>
              </w:rPr>
              <w:t>降温系统、灌溉系统智能化不足问题。解决高附加值果</w:t>
            </w:r>
            <w:proofErr w:type="gramStart"/>
            <w:r>
              <w:rPr>
                <w:rFonts w:eastAsia="仿宋_GB2312"/>
                <w:sz w:val="24"/>
              </w:rPr>
              <w:t>蔬品种</w:t>
            </w:r>
            <w:proofErr w:type="gramEnd"/>
            <w:r>
              <w:rPr>
                <w:rFonts w:eastAsia="仿宋_GB2312"/>
                <w:sz w:val="24"/>
              </w:rPr>
              <w:t>种植及推广力度不大，示范项目带动当地人才培养不足问题。</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p>
        </w:tc>
      </w:tr>
      <w:tr w:rsidR="003E192B" w:rsidTr="00C34D05">
        <w:trPr>
          <w:trHeight w:val="2744"/>
          <w:jc w:val="center"/>
        </w:trPr>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lastRenderedPageBreak/>
              <w:t>5</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proofErr w:type="gramStart"/>
            <w:r>
              <w:rPr>
                <w:rFonts w:eastAsia="仿宋_GB2312"/>
                <w:sz w:val="24"/>
              </w:rPr>
              <w:t>智慧文旅</w:t>
            </w:r>
            <w:proofErr w:type="gramEnd"/>
          </w:p>
        </w:tc>
        <w:tc>
          <w:tcPr>
            <w:tcW w:w="16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numPr>
                <w:ilvl w:val="0"/>
                <w:numId w:val="2"/>
              </w:numPr>
              <w:tabs>
                <w:tab w:val="left" w:pos="312"/>
              </w:tabs>
              <w:jc w:val="left"/>
              <w:rPr>
                <w:rFonts w:eastAsia="仿宋_GB2312"/>
                <w:sz w:val="24"/>
              </w:rPr>
            </w:pPr>
            <w:r>
              <w:rPr>
                <w:rFonts w:eastAsia="仿宋_GB2312"/>
                <w:sz w:val="24"/>
              </w:rPr>
              <w:t>博物馆数字信息展示与智能导</w:t>
            </w:r>
            <w:proofErr w:type="gramStart"/>
            <w:r>
              <w:rPr>
                <w:rFonts w:eastAsia="仿宋_GB2312"/>
                <w:sz w:val="24"/>
              </w:rPr>
              <w:t>览</w:t>
            </w:r>
            <w:proofErr w:type="gramEnd"/>
            <w:r>
              <w:rPr>
                <w:rFonts w:eastAsia="仿宋_GB2312"/>
                <w:sz w:val="24"/>
              </w:rPr>
              <w:t>技术开发与示范；</w:t>
            </w:r>
            <w:r>
              <w:rPr>
                <w:rFonts w:eastAsia="仿宋_GB2312"/>
                <w:sz w:val="24"/>
              </w:rPr>
              <w:t xml:space="preserve">              </w:t>
            </w:r>
          </w:p>
          <w:p w:rsidR="003E192B" w:rsidRDefault="003E192B" w:rsidP="00C34D05">
            <w:pPr>
              <w:jc w:val="left"/>
              <w:rPr>
                <w:rFonts w:eastAsia="仿宋_GB2312"/>
                <w:sz w:val="24"/>
              </w:rPr>
            </w:pPr>
            <w:r>
              <w:rPr>
                <w:rFonts w:eastAsia="仿宋_GB2312"/>
                <w:sz w:val="24"/>
              </w:rPr>
              <w:t>2.</w:t>
            </w:r>
            <w:r>
              <w:rPr>
                <w:rFonts w:eastAsia="仿宋_GB2312"/>
                <w:sz w:val="24"/>
              </w:rPr>
              <w:t>古建景区智慧旅游综合管理系统研发与示范。</w:t>
            </w:r>
          </w:p>
        </w:tc>
        <w:tc>
          <w:tcPr>
            <w:tcW w:w="2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ind w:firstLineChars="200" w:firstLine="480"/>
              <w:jc w:val="left"/>
              <w:rPr>
                <w:rFonts w:eastAsia="仿宋_GB2312"/>
                <w:sz w:val="24"/>
              </w:rPr>
            </w:pPr>
            <w:r>
              <w:rPr>
                <w:rFonts w:eastAsia="仿宋_GB2312"/>
                <w:sz w:val="24"/>
              </w:rPr>
              <w:t>解决当地展馆虚拟现实（</w:t>
            </w:r>
            <w:r>
              <w:rPr>
                <w:rFonts w:eastAsia="仿宋_GB2312"/>
                <w:sz w:val="24"/>
              </w:rPr>
              <w:t>VR</w:t>
            </w:r>
            <w:r>
              <w:rPr>
                <w:rFonts w:eastAsia="仿宋_GB2312"/>
                <w:sz w:val="24"/>
              </w:rPr>
              <w:t>）、增强现实（</w:t>
            </w:r>
            <w:r>
              <w:rPr>
                <w:rFonts w:eastAsia="仿宋_GB2312"/>
                <w:sz w:val="24"/>
              </w:rPr>
              <w:t>AR</w:t>
            </w:r>
            <w:r>
              <w:rPr>
                <w:rFonts w:eastAsia="仿宋_GB2312"/>
                <w:sz w:val="24"/>
              </w:rPr>
              <w:t>）等数字化技术缺乏问题。解决智能穿戴设备或手机</w:t>
            </w:r>
            <w:r>
              <w:rPr>
                <w:rFonts w:eastAsia="仿宋_GB2312"/>
                <w:sz w:val="24"/>
              </w:rPr>
              <w:t>APP</w:t>
            </w:r>
            <w:r>
              <w:rPr>
                <w:rFonts w:eastAsia="仿宋_GB2312"/>
                <w:sz w:val="24"/>
              </w:rPr>
              <w:t>缺乏、个性化导</w:t>
            </w:r>
            <w:proofErr w:type="gramStart"/>
            <w:r>
              <w:rPr>
                <w:rFonts w:eastAsia="仿宋_GB2312"/>
                <w:sz w:val="24"/>
              </w:rPr>
              <w:t>览</w:t>
            </w:r>
            <w:proofErr w:type="gramEnd"/>
            <w:r>
              <w:rPr>
                <w:rFonts w:eastAsia="仿宋_GB2312"/>
                <w:sz w:val="24"/>
              </w:rPr>
              <w:t>服务不足、智能导</w:t>
            </w:r>
            <w:proofErr w:type="gramStart"/>
            <w:r>
              <w:rPr>
                <w:rFonts w:eastAsia="仿宋_GB2312"/>
                <w:sz w:val="24"/>
              </w:rPr>
              <w:t>览</w:t>
            </w:r>
            <w:proofErr w:type="gramEnd"/>
            <w:r>
              <w:rPr>
                <w:rFonts w:eastAsia="仿宋_GB2312"/>
                <w:sz w:val="24"/>
              </w:rPr>
              <w:t>系统不健全等问题。解决当地景区大数据分析系统、智慧管理等综合管理系统不健全问题。解决基础网络设施建设、网络安全和网络管理等系统支撑环境不足问题。解决景区新型网络覆盖模式、电子商务体系、大数据监测模型等信息化建设不充分问题。</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p>
        </w:tc>
      </w:tr>
      <w:tr w:rsidR="003E192B" w:rsidTr="00C34D05">
        <w:trPr>
          <w:trHeight w:val="2636"/>
          <w:jc w:val="center"/>
        </w:trPr>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t>6</w:t>
            </w:r>
          </w:p>
        </w:tc>
        <w:tc>
          <w:tcPr>
            <w:tcW w:w="42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r>
              <w:rPr>
                <w:rFonts w:eastAsia="仿宋_GB2312"/>
                <w:sz w:val="24"/>
              </w:rPr>
              <w:t>科技平台</w:t>
            </w:r>
          </w:p>
        </w:tc>
        <w:tc>
          <w:tcPr>
            <w:tcW w:w="164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left"/>
              <w:rPr>
                <w:rFonts w:eastAsia="仿宋_GB2312"/>
                <w:sz w:val="24"/>
              </w:rPr>
            </w:pPr>
            <w:r>
              <w:rPr>
                <w:rFonts w:eastAsia="仿宋_GB2312"/>
                <w:sz w:val="24"/>
              </w:rPr>
              <w:t>县域科技平台载体创新能力培育与管理水平提升</w:t>
            </w:r>
          </w:p>
        </w:tc>
        <w:tc>
          <w:tcPr>
            <w:tcW w:w="24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ind w:firstLineChars="200" w:firstLine="480"/>
              <w:jc w:val="left"/>
              <w:rPr>
                <w:rFonts w:eastAsia="仿宋_GB2312"/>
                <w:sz w:val="24"/>
              </w:rPr>
            </w:pPr>
            <w:r>
              <w:rPr>
                <w:rFonts w:eastAsia="仿宋_GB2312"/>
                <w:sz w:val="24"/>
              </w:rPr>
              <w:t>解决企业与高等学校、科研院所开展产学研用合作机制不明确、产业领域专家帮扶指导不足、技术示范推广与本地特色结合不紧密等问题，进一步强化企业创新创业主体地位。</w:t>
            </w:r>
            <w:proofErr w:type="gramStart"/>
            <w:r>
              <w:rPr>
                <w:rFonts w:eastAsia="仿宋_GB2312"/>
                <w:sz w:val="24"/>
              </w:rPr>
              <w:t>解决秦创原创</w:t>
            </w:r>
            <w:proofErr w:type="gramEnd"/>
            <w:r>
              <w:rPr>
                <w:rFonts w:eastAsia="仿宋_GB2312"/>
                <w:sz w:val="24"/>
              </w:rPr>
              <w:t>新驱动平台建设保障不足、引领带动作用不充分，研发投入水平和科技管理能力不足等问题。解决多元引进专家、项目、资金等各类科技资源渠道不明确问题。</w:t>
            </w:r>
          </w:p>
        </w:tc>
        <w:tc>
          <w:tcPr>
            <w:tcW w:w="236"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192B" w:rsidRDefault="003E192B" w:rsidP="00C34D05">
            <w:pPr>
              <w:jc w:val="center"/>
              <w:rPr>
                <w:rFonts w:eastAsia="仿宋_GB2312"/>
                <w:sz w:val="24"/>
              </w:rPr>
            </w:pPr>
          </w:p>
        </w:tc>
      </w:tr>
    </w:tbl>
    <w:p w:rsidR="003E192B" w:rsidRDefault="003E192B" w:rsidP="003E192B">
      <w:pPr>
        <w:spacing w:line="20" w:lineRule="exact"/>
        <w:rPr>
          <w:rFonts w:eastAsia="仿宋_GB2312"/>
          <w:sz w:val="24"/>
        </w:rPr>
      </w:pPr>
    </w:p>
    <w:p w:rsidR="005C7DBE" w:rsidRPr="003E192B" w:rsidRDefault="003E192B"/>
    <w:sectPr w:rsidR="005C7DBE" w:rsidRPr="003E192B" w:rsidSect="003E192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68797"/>
    <w:multiLevelType w:val="singleLevel"/>
    <w:tmpl w:val="B3B68797"/>
    <w:lvl w:ilvl="0">
      <w:start w:val="1"/>
      <w:numFmt w:val="decimal"/>
      <w:lvlText w:val="%1."/>
      <w:lvlJc w:val="left"/>
      <w:pPr>
        <w:tabs>
          <w:tab w:val="num" w:pos="312"/>
        </w:tabs>
      </w:pPr>
    </w:lvl>
  </w:abstractNum>
  <w:abstractNum w:abstractNumId="1">
    <w:nsid w:val="5D7C3623"/>
    <w:multiLevelType w:val="multilevel"/>
    <w:tmpl w:val="5D7C3623"/>
    <w:lvl w:ilvl="0">
      <w:start w:val="1"/>
      <w:numFmt w:val="chineseCountingThousand"/>
      <w:pStyle w:val="1"/>
      <w:isLgl/>
      <w:suff w:val="space"/>
      <w:lvlText w:val="%1  "/>
      <w:lvlJc w:val="left"/>
      <w:pPr>
        <w:ind w:left="628" w:hanging="628"/>
      </w:pPr>
      <w:rPr>
        <w:rFonts w:hint="eastAsia"/>
      </w:rPr>
    </w:lvl>
    <w:lvl w:ilvl="1">
      <w:start w:val="1"/>
      <w:numFmt w:val="decimal"/>
      <w:isLgl/>
      <w:suff w:val="space"/>
      <w:lvlText w:val="%1.%2"/>
      <w:lvlJc w:val="left"/>
      <w:pPr>
        <w:ind w:left="443" w:hanging="465"/>
      </w:pPr>
      <w:rPr>
        <w:rFonts w:hint="eastAsia"/>
      </w:rPr>
    </w:lvl>
    <w:lvl w:ilvl="2">
      <w:start w:val="1"/>
      <w:numFmt w:val="decimal"/>
      <w:isLgl/>
      <w:suff w:val="space"/>
      <w:lvlText w:val="%1.%2.%3"/>
      <w:lvlJc w:val="left"/>
      <w:pPr>
        <w:ind w:left="1101" w:hanging="635"/>
      </w:pPr>
      <w:rPr>
        <w:rFonts w:hint="eastAsia"/>
      </w:rPr>
    </w:lvl>
    <w:lvl w:ilvl="3">
      <w:start w:val="1"/>
      <w:numFmt w:val="decimal"/>
      <w:lvlText w:val="%1.%2.%3.%4"/>
      <w:lvlJc w:val="left"/>
      <w:pPr>
        <w:tabs>
          <w:tab w:val="num" w:pos="1060"/>
        </w:tabs>
        <w:ind w:left="1060" w:hanging="864"/>
      </w:pPr>
      <w:rPr>
        <w:rFonts w:hint="eastAsia"/>
      </w:rPr>
    </w:lvl>
    <w:lvl w:ilvl="4">
      <w:start w:val="1"/>
      <w:numFmt w:val="decimal"/>
      <w:lvlText w:val="%1.%2.%3.%4.%5"/>
      <w:lvlJc w:val="left"/>
      <w:pPr>
        <w:tabs>
          <w:tab w:val="num" w:pos="1204"/>
        </w:tabs>
        <w:ind w:left="1204" w:hanging="1008"/>
      </w:pPr>
      <w:rPr>
        <w:rFonts w:hint="eastAsia"/>
      </w:rPr>
    </w:lvl>
    <w:lvl w:ilvl="5">
      <w:start w:val="1"/>
      <w:numFmt w:val="decimal"/>
      <w:lvlText w:val="%1.%2.%3.%4.%5.%6"/>
      <w:lvlJc w:val="left"/>
      <w:pPr>
        <w:tabs>
          <w:tab w:val="num" w:pos="1348"/>
        </w:tabs>
        <w:ind w:left="1348" w:hanging="1152"/>
      </w:pPr>
      <w:rPr>
        <w:rFonts w:hint="eastAsia"/>
      </w:rPr>
    </w:lvl>
    <w:lvl w:ilvl="6">
      <w:start w:val="1"/>
      <w:numFmt w:val="decimal"/>
      <w:lvlText w:val="%1.%2.%3.%4.%5.%6.%7"/>
      <w:lvlJc w:val="left"/>
      <w:pPr>
        <w:tabs>
          <w:tab w:val="num" w:pos="1492"/>
        </w:tabs>
        <w:ind w:left="1492" w:hanging="1296"/>
      </w:pPr>
      <w:rPr>
        <w:rFonts w:hint="eastAsia"/>
      </w:rPr>
    </w:lvl>
    <w:lvl w:ilvl="7">
      <w:start w:val="1"/>
      <w:numFmt w:val="decimal"/>
      <w:lvlText w:val="%1.%2.%3.%4.%5.%6.%7.%8"/>
      <w:lvlJc w:val="left"/>
      <w:pPr>
        <w:tabs>
          <w:tab w:val="num" w:pos="1636"/>
        </w:tabs>
        <w:ind w:left="1636" w:hanging="1440"/>
      </w:pPr>
      <w:rPr>
        <w:rFonts w:hint="eastAsia"/>
      </w:rPr>
    </w:lvl>
    <w:lvl w:ilvl="8">
      <w:start w:val="1"/>
      <w:numFmt w:val="decimal"/>
      <w:lvlText w:val="%1.%2.%3.%4.%5.%6.%7.%8.%9"/>
      <w:lvlJc w:val="left"/>
      <w:pPr>
        <w:tabs>
          <w:tab w:val="num" w:pos="1780"/>
        </w:tabs>
        <w:ind w:left="1780"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2B"/>
    <w:rsid w:val="0035003D"/>
    <w:rsid w:val="003E192B"/>
    <w:rsid w:val="005A51DB"/>
    <w:rsid w:val="005C7528"/>
    <w:rsid w:val="00755A71"/>
    <w:rsid w:val="009274B3"/>
    <w:rsid w:val="00A1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pPr>
        <w:spacing w:before="5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192B"/>
    <w:pPr>
      <w:widowControl w:val="0"/>
      <w:spacing w:before="0" w:line="240" w:lineRule="auto"/>
      <w:jc w:val="both"/>
    </w:pPr>
    <w:rPr>
      <w:rFonts w:ascii="Times New Roman" w:eastAsia="宋体" w:hAnsi="Times New Roman" w:cs="Times New Roman"/>
      <w:szCs w:val="24"/>
    </w:rPr>
  </w:style>
  <w:style w:type="paragraph" w:styleId="1">
    <w:name w:val="heading 1"/>
    <w:basedOn w:val="a"/>
    <w:next w:val="a"/>
    <w:link w:val="1Char"/>
    <w:qFormat/>
    <w:rsid w:val="00755A71"/>
    <w:pPr>
      <w:keepNext/>
      <w:keepLines/>
      <w:numPr>
        <w:numId w:val="1"/>
      </w:numPr>
      <w:spacing w:beforeLines="300" w:before="300" w:afterLines="200" w:after="200"/>
      <w:jc w:val="center"/>
      <w:outlineLvl w:val="0"/>
    </w:pPr>
    <w:rPr>
      <w:b/>
      <w:bCs/>
      <w:snapToGrid w:val="0"/>
      <w:kern w:val="44"/>
      <w:sz w:val="32"/>
      <w:szCs w:val="44"/>
    </w:rPr>
  </w:style>
  <w:style w:type="paragraph" w:styleId="2">
    <w:name w:val="heading 2"/>
    <w:basedOn w:val="a"/>
    <w:next w:val="a"/>
    <w:link w:val="2Char"/>
    <w:uiPriority w:val="9"/>
    <w:unhideWhenUsed/>
    <w:qFormat/>
    <w:rsid w:val="00755A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55A7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55A7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55A7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755A71"/>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755A71"/>
    <w:pPr>
      <w:keepNext/>
      <w:keepLines/>
      <w:spacing w:before="240" w:after="64" w:line="320" w:lineRule="auto"/>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fcontentcircle">
    <w:name w:val="ref_content_circle"/>
    <w:basedOn w:val="a1"/>
    <w:rsid w:val="00755A71"/>
  </w:style>
  <w:style w:type="character" w:customStyle="1" w:styleId="1Char">
    <w:name w:val="标题 1 Char"/>
    <w:basedOn w:val="a1"/>
    <w:link w:val="1"/>
    <w:rsid w:val="00755A71"/>
    <w:rPr>
      <w:rFonts w:ascii="Times New Roman" w:eastAsia="宋体" w:hAnsi="Times New Roman" w:cs="Times New Roman"/>
      <w:b/>
      <w:bCs/>
      <w:snapToGrid w:val="0"/>
      <w:kern w:val="44"/>
      <w:sz w:val="32"/>
      <w:szCs w:val="44"/>
    </w:rPr>
  </w:style>
  <w:style w:type="character" w:customStyle="1" w:styleId="2Char">
    <w:name w:val="标题 2 Char"/>
    <w:basedOn w:val="a1"/>
    <w:link w:val="2"/>
    <w:uiPriority w:val="9"/>
    <w:rsid w:val="00755A71"/>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755A71"/>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755A71"/>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755A71"/>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755A71"/>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755A71"/>
    <w:rPr>
      <w:rFonts w:ascii="Times New Roman" w:eastAsia="宋体" w:hAnsi="Times New Roman" w:cs="Times New Roman"/>
      <w:b/>
      <w:bCs/>
      <w:sz w:val="24"/>
      <w:szCs w:val="24"/>
    </w:rPr>
  </w:style>
  <w:style w:type="paragraph" w:styleId="10">
    <w:name w:val="toc 1"/>
    <w:basedOn w:val="a"/>
    <w:next w:val="a"/>
    <w:autoRedefine/>
    <w:uiPriority w:val="39"/>
    <w:qFormat/>
    <w:rsid w:val="00755A71"/>
  </w:style>
  <w:style w:type="paragraph" w:styleId="20">
    <w:name w:val="toc 2"/>
    <w:basedOn w:val="a"/>
    <w:next w:val="a"/>
    <w:uiPriority w:val="39"/>
    <w:qFormat/>
    <w:rsid w:val="00755A71"/>
    <w:pPr>
      <w:ind w:leftChars="200" w:left="200"/>
    </w:pPr>
  </w:style>
  <w:style w:type="paragraph" w:styleId="30">
    <w:name w:val="toc 3"/>
    <w:basedOn w:val="a"/>
    <w:next w:val="a"/>
    <w:uiPriority w:val="39"/>
    <w:qFormat/>
    <w:rsid w:val="00755A71"/>
    <w:pPr>
      <w:ind w:leftChars="400" w:left="400"/>
    </w:pPr>
  </w:style>
  <w:style w:type="paragraph" w:styleId="a4">
    <w:name w:val="footnote text"/>
    <w:basedOn w:val="a"/>
    <w:link w:val="Char"/>
    <w:semiHidden/>
    <w:unhideWhenUsed/>
    <w:rsid w:val="00755A71"/>
    <w:pPr>
      <w:snapToGrid w:val="0"/>
    </w:pPr>
    <w:rPr>
      <w:sz w:val="18"/>
      <w:szCs w:val="18"/>
    </w:rPr>
  </w:style>
  <w:style w:type="character" w:customStyle="1" w:styleId="Char">
    <w:name w:val="脚注文本 Char"/>
    <w:basedOn w:val="a1"/>
    <w:link w:val="a4"/>
    <w:semiHidden/>
    <w:rsid w:val="00755A71"/>
    <w:rPr>
      <w:sz w:val="18"/>
      <w:szCs w:val="18"/>
    </w:rPr>
  </w:style>
  <w:style w:type="paragraph" w:styleId="a5">
    <w:name w:val="header"/>
    <w:basedOn w:val="a"/>
    <w:link w:val="Char0"/>
    <w:uiPriority w:val="99"/>
    <w:unhideWhenUsed/>
    <w:rsid w:val="00755A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755A71"/>
    <w:rPr>
      <w:rFonts w:ascii="Times New Roman" w:eastAsia="宋体" w:hAnsi="Times New Roman" w:cs="Times New Roman"/>
      <w:sz w:val="18"/>
      <w:szCs w:val="18"/>
    </w:rPr>
  </w:style>
  <w:style w:type="paragraph" w:styleId="a6">
    <w:name w:val="footer"/>
    <w:basedOn w:val="a"/>
    <w:link w:val="Char1"/>
    <w:uiPriority w:val="99"/>
    <w:unhideWhenUsed/>
    <w:rsid w:val="00755A71"/>
    <w:pPr>
      <w:tabs>
        <w:tab w:val="center" w:pos="4153"/>
        <w:tab w:val="right" w:pos="8306"/>
      </w:tabs>
      <w:snapToGrid w:val="0"/>
    </w:pPr>
    <w:rPr>
      <w:sz w:val="18"/>
      <w:szCs w:val="18"/>
    </w:rPr>
  </w:style>
  <w:style w:type="character" w:customStyle="1" w:styleId="Char1">
    <w:name w:val="页脚 Char"/>
    <w:basedOn w:val="a1"/>
    <w:link w:val="a6"/>
    <w:uiPriority w:val="99"/>
    <w:rsid w:val="00755A71"/>
    <w:rPr>
      <w:rFonts w:ascii="Times New Roman" w:eastAsia="宋体" w:hAnsi="Times New Roman" w:cs="Times New Roman"/>
      <w:sz w:val="18"/>
      <w:szCs w:val="18"/>
    </w:rPr>
  </w:style>
  <w:style w:type="paragraph" w:styleId="a7">
    <w:name w:val="caption"/>
    <w:basedOn w:val="a"/>
    <w:next w:val="a"/>
    <w:uiPriority w:val="35"/>
    <w:unhideWhenUsed/>
    <w:qFormat/>
    <w:rsid w:val="00755A71"/>
    <w:rPr>
      <w:rFonts w:asciiTheme="majorHAnsi" w:eastAsia="黑体" w:hAnsiTheme="majorHAnsi" w:cstheme="majorBidi"/>
      <w:sz w:val="20"/>
      <w:szCs w:val="20"/>
    </w:rPr>
  </w:style>
  <w:style w:type="paragraph" w:styleId="a8">
    <w:name w:val="table of figures"/>
    <w:basedOn w:val="a"/>
    <w:next w:val="a"/>
    <w:uiPriority w:val="99"/>
    <w:unhideWhenUsed/>
    <w:rsid w:val="00755A71"/>
    <w:pPr>
      <w:ind w:leftChars="200" w:left="200" w:hangingChars="200" w:hanging="200"/>
    </w:pPr>
  </w:style>
  <w:style w:type="character" w:styleId="a9">
    <w:name w:val="footnote reference"/>
    <w:basedOn w:val="a1"/>
    <w:unhideWhenUsed/>
    <w:rsid w:val="00755A71"/>
    <w:rPr>
      <w:vertAlign w:val="superscript"/>
    </w:rPr>
  </w:style>
  <w:style w:type="paragraph" w:styleId="aa">
    <w:name w:val="Title"/>
    <w:basedOn w:val="a"/>
    <w:next w:val="a"/>
    <w:link w:val="Char2"/>
    <w:uiPriority w:val="10"/>
    <w:qFormat/>
    <w:rsid w:val="00755A71"/>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a"/>
    <w:uiPriority w:val="10"/>
    <w:rsid w:val="00755A71"/>
    <w:rPr>
      <w:rFonts w:asciiTheme="majorHAnsi" w:eastAsia="宋体" w:hAnsiTheme="majorHAnsi" w:cstheme="majorBidi"/>
      <w:b/>
      <w:bCs/>
      <w:sz w:val="32"/>
      <w:szCs w:val="32"/>
    </w:rPr>
  </w:style>
  <w:style w:type="paragraph" w:styleId="ab">
    <w:name w:val="Body Text Indent"/>
    <w:basedOn w:val="a"/>
    <w:link w:val="Char3"/>
    <w:rsid w:val="00755A71"/>
    <w:pPr>
      <w:spacing w:after="120"/>
      <w:ind w:leftChars="200" w:left="420"/>
    </w:pPr>
  </w:style>
  <w:style w:type="character" w:customStyle="1" w:styleId="Char3">
    <w:name w:val="正文文本缩进 Char"/>
    <w:basedOn w:val="a1"/>
    <w:link w:val="ab"/>
    <w:rsid w:val="00755A71"/>
    <w:rPr>
      <w:rFonts w:ascii="Times New Roman" w:eastAsia="宋体" w:hAnsi="Times New Roman" w:cs="Times New Roman"/>
      <w:sz w:val="24"/>
      <w:szCs w:val="21"/>
    </w:rPr>
  </w:style>
  <w:style w:type="paragraph" w:styleId="ac">
    <w:name w:val="Date"/>
    <w:basedOn w:val="a"/>
    <w:next w:val="a"/>
    <w:link w:val="Char4"/>
    <w:rsid w:val="00755A71"/>
    <w:rPr>
      <w:szCs w:val="20"/>
    </w:rPr>
  </w:style>
  <w:style w:type="character" w:customStyle="1" w:styleId="Char4">
    <w:name w:val="日期 Char"/>
    <w:basedOn w:val="a1"/>
    <w:link w:val="ac"/>
    <w:rsid w:val="00755A71"/>
    <w:rPr>
      <w:rFonts w:ascii="Times New Roman" w:eastAsia="宋体" w:hAnsi="Times New Roman" w:cs="Times New Roman"/>
      <w:szCs w:val="20"/>
    </w:rPr>
  </w:style>
  <w:style w:type="character" w:styleId="ad">
    <w:name w:val="Hyperlink"/>
    <w:basedOn w:val="a1"/>
    <w:uiPriority w:val="99"/>
    <w:unhideWhenUsed/>
    <w:rsid w:val="00755A71"/>
    <w:rPr>
      <w:color w:val="0000FF" w:themeColor="hyperlink"/>
      <w:u w:val="single"/>
    </w:rPr>
  </w:style>
  <w:style w:type="paragraph" w:styleId="ae">
    <w:name w:val="Balloon Text"/>
    <w:basedOn w:val="a"/>
    <w:link w:val="Char5"/>
    <w:uiPriority w:val="99"/>
    <w:semiHidden/>
    <w:unhideWhenUsed/>
    <w:rsid w:val="00755A71"/>
    <w:rPr>
      <w:sz w:val="18"/>
      <w:szCs w:val="18"/>
    </w:rPr>
  </w:style>
  <w:style w:type="character" w:customStyle="1" w:styleId="Char5">
    <w:name w:val="批注框文本 Char"/>
    <w:basedOn w:val="a1"/>
    <w:link w:val="ae"/>
    <w:uiPriority w:val="99"/>
    <w:semiHidden/>
    <w:rsid w:val="00755A71"/>
    <w:rPr>
      <w:rFonts w:ascii="Times New Roman" w:eastAsia="宋体" w:hAnsi="Times New Roman" w:cs="Times New Roman"/>
      <w:sz w:val="18"/>
      <w:szCs w:val="18"/>
    </w:rPr>
  </w:style>
  <w:style w:type="paragraph" w:styleId="af">
    <w:name w:val="List Paragraph"/>
    <w:basedOn w:val="a"/>
    <w:uiPriority w:val="34"/>
    <w:qFormat/>
    <w:rsid w:val="00755A71"/>
    <w:pPr>
      <w:ind w:firstLine="420"/>
    </w:pPr>
    <w:rPr>
      <w:szCs w:val="22"/>
    </w:rPr>
  </w:style>
  <w:style w:type="paragraph" w:styleId="TOC">
    <w:name w:val="TOC Heading"/>
    <w:basedOn w:val="1"/>
    <w:next w:val="a"/>
    <w:uiPriority w:val="39"/>
    <w:semiHidden/>
    <w:unhideWhenUsed/>
    <w:qFormat/>
    <w:rsid w:val="00755A71"/>
    <w:pPr>
      <w:numPr>
        <w:numId w:val="0"/>
      </w:numPr>
      <w:spacing w:beforeLines="0" w:before="480" w:afterLines="0" w:after="0" w:line="276" w:lineRule="auto"/>
      <w:jc w:val="left"/>
      <w:outlineLvl w:val="9"/>
    </w:pPr>
    <w:rPr>
      <w:rFonts w:asciiTheme="majorHAnsi" w:eastAsiaTheme="majorEastAsia" w:hAnsiTheme="majorHAnsi" w:cstheme="majorBidi"/>
      <w:snapToGrid/>
      <w:color w:val="365F91" w:themeColor="accent1" w:themeShade="BF"/>
      <w:kern w:val="0"/>
      <w:sz w:val="28"/>
      <w:szCs w:val="28"/>
    </w:rPr>
  </w:style>
  <w:style w:type="paragraph" w:styleId="a0">
    <w:name w:val="Body Text"/>
    <w:basedOn w:val="a"/>
    <w:link w:val="Char6"/>
    <w:qFormat/>
    <w:rsid w:val="003E192B"/>
    <w:rPr>
      <w:rFonts w:ascii="宋体" w:hAnsi="宋体" w:cs="宋体"/>
      <w:sz w:val="20"/>
      <w:szCs w:val="20"/>
      <w:lang w:val="zh-CN" w:bidi="zh-CN"/>
    </w:rPr>
  </w:style>
  <w:style w:type="character" w:customStyle="1" w:styleId="Char6">
    <w:name w:val="正文文本 Char"/>
    <w:basedOn w:val="a1"/>
    <w:link w:val="a0"/>
    <w:rsid w:val="003E192B"/>
    <w:rPr>
      <w:rFonts w:ascii="宋体" w:eastAsia="宋体" w:hAnsi="宋体" w:cs="宋体"/>
      <w:sz w:val="20"/>
      <w:szCs w:val="20"/>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pPr>
        <w:spacing w:before="5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E192B"/>
    <w:pPr>
      <w:widowControl w:val="0"/>
      <w:spacing w:before="0" w:line="240" w:lineRule="auto"/>
      <w:jc w:val="both"/>
    </w:pPr>
    <w:rPr>
      <w:rFonts w:ascii="Times New Roman" w:eastAsia="宋体" w:hAnsi="Times New Roman" w:cs="Times New Roman"/>
      <w:szCs w:val="24"/>
    </w:rPr>
  </w:style>
  <w:style w:type="paragraph" w:styleId="1">
    <w:name w:val="heading 1"/>
    <w:basedOn w:val="a"/>
    <w:next w:val="a"/>
    <w:link w:val="1Char"/>
    <w:qFormat/>
    <w:rsid w:val="00755A71"/>
    <w:pPr>
      <w:keepNext/>
      <w:keepLines/>
      <w:numPr>
        <w:numId w:val="1"/>
      </w:numPr>
      <w:spacing w:beforeLines="300" w:before="300" w:afterLines="200" w:after="200"/>
      <w:jc w:val="center"/>
      <w:outlineLvl w:val="0"/>
    </w:pPr>
    <w:rPr>
      <w:b/>
      <w:bCs/>
      <w:snapToGrid w:val="0"/>
      <w:kern w:val="44"/>
      <w:sz w:val="32"/>
      <w:szCs w:val="44"/>
    </w:rPr>
  </w:style>
  <w:style w:type="paragraph" w:styleId="2">
    <w:name w:val="heading 2"/>
    <w:basedOn w:val="a"/>
    <w:next w:val="a"/>
    <w:link w:val="2Char"/>
    <w:uiPriority w:val="9"/>
    <w:unhideWhenUsed/>
    <w:qFormat/>
    <w:rsid w:val="00755A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55A7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55A7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755A71"/>
    <w:pPr>
      <w:keepNext/>
      <w:keepLines/>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755A71"/>
    <w:pPr>
      <w:keepNext/>
      <w:keepLines/>
      <w:spacing w:before="240" w:after="64" w:line="320" w:lineRule="auto"/>
      <w:outlineLvl w:val="5"/>
    </w:pPr>
    <w:rPr>
      <w:rFonts w:asciiTheme="majorHAnsi" w:eastAsiaTheme="majorEastAsia" w:hAnsiTheme="majorHAnsi" w:cstheme="majorBidi"/>
      <w:b/>
      <w:bCs/>
    </w:rPr>
  </w:style>
  <w:style w:type="paragraph" w:styleId="7">
    <w:name w:val="heading 7"/>
    <w:basedOn w:val="a"/>
    <w:next w:val="a"/>
    <w:link w:val="7Char"/>
    <w:uiPriority w:val="9"/>
    <w:semiHidden/>
    <w:unhideWhenUsed/>
    <w:qFormat/>
    <w:rsid w:val="00755A71"/>
    <w:pPr>
      <w:keepNext/>
      <w:keepLines/>
      <w:spacing w:before="240" w:after="64" w:line="320" w:lineRule="auto"/>
      <w:outlineLvl w:val="6"/>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fcontentcircle">
    <w:name w:val="ref_content_circle"/>
    <w:basedOn w:val="a1"/>
    <w:rsid w:val="00755A71"/>
  </w:style>
  <w:style w:type="character" w:customStyle="1" w:styleId="1Char">
    <w:name w:val="标题 1 Char"/>
    <w:basedOn w:val="a1"/>
    <w:link w:val="1"/>
    <w:rsid w:val="00755A71"/>
    <w:rPr>
      <w:rFonts w:ascii="Times New Roman" w:eastAsia="宋体" w:hAnsi="Times New Roman" w:cs="Times New Roman"/>
      <w:b/>
      <w:bCs/>
      <w:snapToGrid w:val="0"/>
      <w:kern w:val="44"/>
      <w:sz w:val="32"/>
      <w:szCs w:val="44"/>
    </w:rPr>
  </w:style>
  <w:style w:type="character" w:customStyle="1" w:styleId="2Char">
    <w:name w:val="标题 2 Char"/>
    <w:basedOn w:val="a1"/>
    <w:link w:val="2"/>
    <w:uiPriority w:val="9"/>
    <w:rsid w:val="00755A71"/>
    <w:rPr>
      <w:rFonts w:asciiTheme="majorHAnsi" w:eastAsiaTheme="majorEastAsia" w:hAnsiTheme="majorHAnsi" w:cstheme="majorBidi"/>
      <w:b/>
      <w:bCs/>
      <w:sz w:val="32"/>
      <w:szCs w:val="32"/>
    </w:rPr>
  </w:style>
  <w:style w:type="character" w:customStyle="1" w:styleId="3Char">
    <w:name w:val="标题 3 Char"/>
    <w:basedOn w:val="a1"/>
    <w:link w:val="3"/>
    <w:uiPriority w:val="9"/>
    <w:rsid w:val="00755A71"/>
    <w:rPr>
      <w:rFonts w:ascii="Times New Roman" w:eastAsia="宋体" w:hAnsi="Times New Roman" w:cs="Times New Roman"/>
      <w:b/>
      <w:bCs/>
      <w:sz w:val="32"/>
      <w:szCs w:val="32"/>
    </w:rPr>
  </w:style>
  <w:style w:type="character" w:customStyle="1" w:styleId="4Char">
    <w:name w:val="标题 4 Char"/>
    <w:basedOn w:val="a1"/>
    <w:link w:val="4"/>
    <w:uiPriority w:val="9"/>
    <w:semiHidden/>
    <w:rsid w:val="00755A71"/>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755A71"/>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755A71"/>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755A71"/>
    <w:rPr>
      <w:rFonts w:ascii="Times New Roman" w:eastAsia="宋体" w:hAnsi="Times New Roman" w:cs="Times New Roman"/>
      <w:b/>
      <w:bCs/>
      <w:sz w:val="24"/>
      <w:szCs w:val="24"/>
    </w:rPr>
  </w:style>
  <w:style w:type="paragraph" w:styleId="10">
    <w:name w:val="toc 1"/>
    <w:basedOn w:val="a"/>
    <w:next w:val="a"/>
    <w:autoRedefine/>
    <w:uiPriority w:val="39"/>
    <w:qFormat/>
    <w:rsid w:val="00755A71"/>
  </w:style>
  <w:style w:type="paragraph" w:styleId="20">
    <w:name w:val="toc 2"/>
    <w:basedOn w:val="a"/>
    <w:next w:val="a"/>
    <w:uiPriority w:val="39"/>
    <w:qFormat/>
    <w:rsid w:val="00755A71"/>
    <w:pPr>
      <w:ind w:leftChars="200" w:left="200"/>
    </w:pPr>
  </w:style>
  <w:style w:type="paragraph" w:styleId="30">
    <w:name w:val="toc 3"/>
    <w:basedOn w:val="a"/>
    <w:next w:val="a"/>
    <w:uiPriority w:val="39"/>
    <w:qFormat/>
    <w:rsid w:val="00755A71"/>
    <w:pPr>
      <w:ind w:leftChars="400" w:left="400"/>
    </w:pPr>
  </w:style>
  <w:style w:type="paragraph" w:styleId="a4">
    <w:name w:val="footnote text"/>
    <w:basedOn w:val="a"/>
    <w:link w:val="Char"/>
    <w:semiHidden/>
    <w:unhideWhenUsed/>
    <w:rsid w:val="00755A71"/>
    <w:pPr>
      <w:snapToGrid w:val="0"/>
    </w:pPr>
    <w:rPr>
      <w:sz w:val="18"/>
      <w:szCs w:val="18"/>
    </w:rPr>
  </w:style>
  <w:style w:type="character" w:customStyle="1" w:styleId="Char">
    <w:name w:val="脚注文本 Char"/>
    <w:basedOn w:val="a1"/>
    <w:link w:val="a4"/>
    <w:semiHidden/>
    <w:rsid w:val="00755A71"/>
    <w:rPr>
      <w:sz w:val="18"/>
      <w:szCs w:val="18"/>
    </w:rPr>
  </w:style>
  <w:style w:type="paragraph" w:styleId="a5">
    <w:name w:val="header"/>
    <w:basedOn w:val="a"/>
    <w:link w:val="Char0"/>
    <w:uiPriority w:val="99"/>
    <w:unhideWhenUsed/>
    <w:rsid w:val="00755A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5"/>
    <w:uiPriority w:val="99"/>
    <w:rsid w:val="00755A71"/>
    <w:rPr>
      <w:rFonts w:ascii="Times New Roman" w:eastAsia="宋体" w:hAnsi="Times New Roman" w:cs="Times New Roman"/>
      <w:sz w:val="18"/>
      <w:szCs w:val="18"/>
    </w:rPr>
  </w:style>
  <w:style w:type="paragraph" w:styleId="a6">
    <w:name w:val="footer"/>
    <w:basedOn w:val="a"/>
    <w:link w:val="Char1"/>
    <w:uiPriority w:val="99"/>
    <w:unhideWhenUsed/>
    <w:rsid w:val="00755A71"/>
    <w:pPr>
      <w:tabs>
        <w:tab w:val="center" w:pos="4153"/>
        <w:tab w:val="right" w:pos="8306"/>
      </w:tabs>
      <w:snapToGrid w:val="0"/>
    </w:pPr>
    <w:rPr>
      <w:sz w:val="18"/>
      <w:szCs w:val="18"/>
    </w:rPr>
  </w:style>
  <w:style w:type="character" w:customStyle="1" w:styleId="Char1">
    <w:name w:val="页脚 Char"/>
    <w:basedOn w:val="a1"/>
    <w:link w:val="a6"/>
    <w:uiPriority w:val="99"/>
    <w:rsid w:val="00755A71"/>
    <w:rPr>
      <w:rFonts w:ascii="Times New Roman" w:eastAsia="宋体" w:hAnsi="Times New Roman" w:cs="Times New Roman"/>
      <w:sz w:val="18"/>
      <w:szCs w:val="18"/>
    </w:rPr>
  </w:style>
  <w:style w:type="paragraph" w:styleId="a7">
    <w:name w:val="caption"/>
    <w:basedOn w:val="a"/>
    <w:next w:val="a"/>
    <w:uiPriority w:val="35"/>
    <w:unhideWhenUsed/>
    <w:qFormat/>
    <w:rsid w:val="00755A71"/>
    <w:rPr>
      <w:rFonts w:asciiTheme="majorHAnsi" w:eastAsia="黑体" w:hAnsiTheme="majorHAnsi" w:cstheme="majorBidi"/>
      <w:sz w:val="20"/>
      <w:szCs w:val="20"/>
    </w:rPr>
  </w:style>
  <w:style w:type="paragraph" w:styleId="a8">
    <w:name w:val="table of figures"/>
    <w:basedOn w:val="a"/>
    <w:next w:val="a"/>
    <w:uiPriority w:val="99"/>
    <w:unhideWhenUsed/>
    <w:rsid w:val="00755A71"/>
    <w:pPr>
      <w:ind w:leftChars="200" w:left="200" w:hangingChars="200" w:hanging="200"/>
    </w:pPr>
  </w:style>
  <w:style w:type="character" w:styleId="a9">
    <w:name w:val="footnote reference"/>
    <w:basedOn w:val="a1"/>
    <w:unhideWhenUsed/>
    <w:rsid w:val="00755A71"/>
    <w:rPr>
      <w:vertAlign w:val="superscript"/>
    </w:rPr>
  </w:style>
  <w:style w:type="paragraph" w:styleId="aa">
    <w:name w:val="Title"/>
    <w:basedOn w:val="a"/>
    <w:next w:val="a"/>
    <w:link w:val="Char2"/>
    <w:uiPriority w:val="10"/>
    <w:qFormat/>
    <w:rsid w:val="00755A71"/>
    <w:pPr>
      <w:spacing w:before="240" w:after="60"/>
      <w:jc w:val="center"/>
      <w:outlineLvl w:val="0"/>
    </w:pPr>
    <w:rPr>
      <w:rFonts w:asciiTheme="majorHAnsi" w:hAnsiTheme="majorHAnsi" w:cstheme="majorBidi"/>
      <w:b/>
      <w:bCs/>
      <w:sz w:val="32"/>
      <w:szCs w:val="32"/>
    </w:rPr>
  </w:style>
  <w:style w:type="character" w:customStyle="1" w:styleId="Char2">
    <w:name w:val="标题 Char"/>
    <w:basedOn w:val="a1"/>
    <w:link w:val="aa"/>
    <w:uiPriority w:val="10"/>
    <w:rsid w:val="00755A71"/>
    <w:rPr>
      <w:rFonts w:asciiTheme="majorHAnsi" w:eastAsia="宋体" w:hAnsiTheme="majorHAnsi" w:cstheme="majorBidi"/>
      <w:b/>
      <w:bCs/>
      <w:sz w:val="32"/>
      <w:szCs w:val="32"/>
    </w:rPr>
  </w:style>
  <w:style w:type="paragraph" w:styleId="ab">
    <w:name w:val="Body Text Indent"/>
    <w:basedOn w:val="a"/>
    <w:link w:val="Char3"/>
    <w:rsid w:val="00755A71"/>
    <w:pPr>
      <w:spacing w:after="120"/>
      <w:ind w:leftChars="200" w:left="420"/>
    </w:pPr>
  </w:style>
  <w:style w:type="character" w:customStyle="1" w:styleId="Char3">
    <w:name w:val="正文文本缩进 Char"/>
    <w:basedOn w:val="a1"/>
    <w:link w:val="ab"/>
    <w:rsid w:val="00755A71"/>
    <w:rPr>
      <w:rFonts w:ascii="Times New Roman" w:eastAsia="宋体" w:hAnsi="Times New Roman" w:cs="Times New Roman"/>
      <w:sz w:val="24"/>
      <w:szCs w:val="21"/>
    </w:rPr>
  </w:style>
  <w:style w:type="paragraph" w:styleId="ac">
    <w:name w:val="Date"/>
    <w:basedOn w:val="a"/>
    <w:next w:val="a"/>
    <w:link w:val="Char4"/>
    <w:rsid w:val="00755A71"/>
    <w:rPr>
      <w:szCs w:val="20"/>
    </w:rPr>
  </w:style>
  <w:style w:type="character" w:customStyle="1" w:styleId="Char4">
    <w:name w:val="日期 Char"/>
    <w:basedOn w:val="a1"/>
    <w:link w:val="ac"/>
    <w:rsid w:val="00755A71"/>
    <w:rPr>
      <w:rFonts w:ascii="Times New Roman" w:eastAsia="宋体" w:hAnsi="Times New Roman" w:cs="Times New Roman"/>
      <w:szCs w:val="20"/>
    </w:rPr>
  </w:style>
  <w:style w:type="character" w:styleId="ad">
    <w:name w:val="Hyperlink"/>
    <w:basedOn w:val="a1"/>
    <w:uiPriority w:val="99"/>
    <w:unhideWhenUsed/>
    <w:rsid w:val="00755A71"/>
    <w:rPr>
      <w:color w:val="0000FF" w:themeColor="hyperlink"/>
      <w:u w:val="single"/>
    </w:rPr>
  </w:style>
  <w:style w:type="paragraph" w:styleId="ae">
    <w:name w:val="Balloon Text"/>
    <w:basedOn w:val="a"/>
    <w:link w:val="Char5"/>
    <w:uiPriority w:val="99"/>
    <w:semiHidden/>
    <w:unhideWhenUsed/>
    <w:rsid w:val="00755A71"/>
    <w:rPr>
      <w:sz w:val="18"/>
      <w:szCs w:val="18"/>
    </w:rPr>
  </w:style>
  <w:style w:type="character" w:customStyle="1" w:styleId="Char5">
    <w:name w:val="批注框文本 Char"/>
    <w:basedOn w:val="a1"/>
    <w:link w:val="ae"/>
    <w:uiPriority w:val="99"/>
    <w:semiHidden/>
    <w:rsid w:val="00755A71"/>
    <w:rPr>
      <w:rFonts w:ascii="Times New Roman" w:eastAsia="宋体" w:hAnsi="Times New Roman" w:cs="Times New Roman"/>
      <w:sz w:val="18"/>
      <w:szCs w:val="18"/>
    </w:rPr>
  </w:style>
  <w:style w:type="paragraph" w:styleId="af">
    <w:name w:val="List Paragraph"/>
    <w:basedOn w:val="a"/>
    <w:uiPriority w:val="34"/>
    <w:qFormat/>
    <w:rsid w:val="00755A71"/>
    <w:pPr>
      <w:ind w:firstLine="420"/>
    </w:pPr>
    <w:rPr>
      <w:szCs w:val="22"/>
    </w:rPr>
  </w:style>
  <w:style w:type="paragraph" w:styleId="TOC">
    <w:name w:val="TOC Heading"/>
    <w:basedOn w:val="1"/>
    <w:next w:val="a"/>
    <w:uiPriority w:val="39"/>
    <w:semiHidden/>
    <w:unhideWhenUsed/>
    <w:qFormat/>
    <w:rsid w:val="00755A71"/>
    <w:pPr>
      <w:numPr>
        <w:numId w:val="0"/>
      </w:numPr>
      <w:spacing w:beforeLines="0" w:before="480" w:afterLines="0" w:after="0" w:line="276" w:lineRule="auto"/>
      <w:jc w:val="left"/>
      <w:outlineLvl w:val="9"/>
    </w:pPr>
    <w:rPr>
      <w:rFonts w:asciiTheme="majorHAnsi" w:eastAsiaTheme="majorEastAsia" w:hAnsiTheme="majorHAnsi" w:cstheme="majorBidi"/>
      <w:snapToGrid/>
      <w:color w:val="365F91" w:themeColor="accent1" w:themeShade="BF"/>
      <w:kern w:val="0"/>
      <w:sz w:val="28"/>
      <w:szCs w:val="28"/>
    </w:rPr>
  </w:style>
  <w:style w:type="paragraph" w:styleId="a0">
    <w:name w:val="Body Text"/>
    <w:basedOn w:val="a"/>
    <w:link w:val="Char6"/>
    <w:qFormat/>
    <w:rsid w:val="003E192B"/>
    <w:rPr>
      <w:rFonts w:ascii="宋体" w:hAnsi="宋体" w:cs="宋体"/>
      <w:sz w:val="20"/>
      <w:szCs w:val="20"/>
      <w:lang w:val="zh-CN" w:bidi="zh-CN"/>
    </w:rPr>
  </w:style>
  <w:style w:type="character" w:customStyle="1" w:styleId="Char6">
    <w:name w:val="正文文本 Char"/>
    <w:basedOn w:val="a1"/>
    <w:link w:val="a0"/>
    <w:rsid w:val="003E192B"/>
    <w:rPr>
      <w:rFonts w:ascii="宋体" w:eastAsia="宋体" w:hAnsi="宋体" w:cs="宋体"/>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2025-03-05T08:58:00Z</dcterms:created>
  <dcterms:modified xsi:type="dcterms:W3CDTF">2025-03-05T08:59:00Z</dcterms:modified>
</cp:coreProperties>
</file>