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1C91">
      <w:pPr>
        <w:tabs>
          <w:tab w:val="left" w:pos="5812"/>
          <w:tab w:val="left" w:pos="6946"/>
          <w:tab w:val="left" w:pos="7088"/>
        </w:tabs>
        <w:spacing w:line="560" w:lineRule="exact"/>
        <w:ind w:right="1280" w:rightChars="400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6A025DF">
      <w:pPr>
        <w:snapToGrid w:val="0"/>
        <w:spacing w:before="100" w:beforeAutospacing="1" w:after="100" w:afterAutospacing="1" w:line="324" w:lineRule="auto"/>
        <w:ind w:firstLine="5920" w:firstLineChars="1850"/>
        <w:rPr>
          <w:rFonts w:eastAsia="仿宋"/>
          <w:sz w:val="32"/>
          <w:szCs w:val="32"/>
        </w:rPr>
      </w:pPr>
    </w:p>
    <w:p w14:paraId="7B833B0C">
      <w:pPr>
        <w:snapToGrid w:val="0"/>
        <w:spacing w:before="100" w:beforeAutospacing="1" w:after="100" w:afterAutospacing="1" w:line="6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年度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文物事业高质量发展案例</w:t>
      </w:r>
    </w:p>
    <w:p w14:paraId="3DF68711">
      <w:pPr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申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报</w:t>
      </w:r>
      <w:r>
        <w:rPr>
          <w:rFonts w:hint="eastAsia" w:ascii="宋体" w:hAnsi="宋体" w:cs="宋体"/>
          <w:b/>
          <w:sz w:val="44"/>
          <w:szCs w:val="44"/>
        </w:rPr>
        <w:t xml:space="preserve"> 书</w:t>
      </w:r>
    </w:p>
    <w:p w14:paraId="21B7088B">
      <w:pPr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5FA92F26"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eastAsia="仿宋"/>
          <w:sz w:val="32"/>
        </w:rPr>
      </w:pPr>
    </w:p>
    <w:p w14:paraId="17A9AD4C"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案例</w:t>
      </w:r>
      <w:r>
        <w:rPr>
          <w:rFonts w:hint="eastAsia" w:eastAsia="黑体"/>
          <w:sz w:val="32"/>
        </w:rPr>
        <w:t>名称：</w:t>
      </w:r>
      <w:r>
        <w:rPr>
          <w:rFonts w:eastAsia="黑体"/>
          <w:sz w:val="32"/>
        </w:rPr>
        <w:t xml:space="preserve"> </w:t>
      </w:r>
    </w:p>
    <w:p w14:paraId="160536B3">
      <w:pPr>
        <w:snapToGrid w:val="0"/>
        <w:spacing w:before="100" w:beforeAutospacing="1" w:after="100" w:afterAutospacing="1" w:line="400" w:lineRule="exact"/>
        <w:rPr>
          <w:rFonts w:eastAsia="黑体"/>
          <w:sz w:val="32"/>
        </w:rPr>
      </w:pPr>
    </w:p>
    <w:p w14:paraId="46DC8C71">
      <w:pPr>
        <w:snapToGrid w:val="0"/>
        <w:spacing w:before="100" w:beforeAutospacing="1" w:after="100" w:afterAutospacing="1" w:line="400" w:lineRule="exact"/>
        <w:ind w:firstLine="320" w:firstLineChars="100"/>
        <w:rPr>
          <w:rFonts w:eastAsia="楷体_GB2312"/>
          <w:sz w:val="32"/>
        </w:rPr>
      </w:pPr>
      <w:r>
        <w:rPr>
          <w:rFonts w:hint="eastAsia" w:eastAsia="黑体"/>
          <w:sz w:val="32"/>
        </w:rPr>
        <w:t>申报单位：</w:t>
      </w:r>
      <w:r>
        <w:rPr>
          <w:rFonts w:eastAsia="黑体"/>
          <w:sz w:val="32"/>
        </w:rPr>
        <w:t xml:space="preserve">                 </w:t>
      </w:r>
      <w:r>
        <w:rPr>
          <w:rFonts w:eastAsia="楷体_GB2312"/>
          <w:sz w:val="32"/>
        </w:rPr>
        <w:t xml:space="preserve"> </w:t>
      </w:r>
      <w:r>
        <w:rPr>
          <w:rFonts w:hint="eastAsia" w:eastAsia="楷体_GB2312"/>
          <w:sz w:val="32"/>
        </w:rPr>
        <w:t>（公章）</w:t>
      </w:r>
    </w:p>
    <w:p w14:paraId="3D5930C8">
      <w:pPr>
        <w:snapToGrid w:val="0"/>
        <w:spacing w:before="100" w:beforeAutospacing="1" w:after="100" w:afterAutospacing="1" w:line="400" w:lineRule="exact"/>
        <w:rPr>
          <w:rFonts w:eastAsia="黑体"/>
          <w:sz w:val="32"/>
          <w:szCs w:val="20"/>
        </w:rPr>
      </w:pPr>
    </w:p>
    <w:p w14:paraId="75118A67">
      <w:pPr>
        <w:snapToGrid w:val="0"/>
        <w:spacing w:before="100" w:beforeAutospacing="1" w:after="100" w:afterAutospacing="1" w:line="400" w:lineRule="exact"/>
        <w:ind w:firstLine="320" w:firstLineChars="100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申报</w:t>
      </w:r>
      <w:r>
        <w:rPr>
          <w:rFonts w:hint="eastAsia" w:eastAsia="黑体"/>
          <w:sz w:val="32"/>
        </w:rPr>
        <w:t>日期：</w:t>
      </w:r>
    </w:p>
    <w:p w14:paraId="76C453DD">
      <w:pPr>
        <w:snapToGrid w:val="0"/>
        <w:spacing w:before="100" w:beforeAutospacing="1" w:after="100" w:afterAutospacing="1" w:line="400" w:lineRule="exact"/>
        <w:rPr>
          <w:rFonts w:eastAsia="仿宋"/>
          <w:sz w:val="32"/>
        </w:rPr>
      </w:pPr>
    </w:p>
    <w:p w14:paraId="5040312A">
      <w:pPr>
        <w:snapToGrid w:val="0"/>
        <w:spacing w:before="100" w:beforeAutospacing="1" w:after="100" w:afterAutospacing="1" w:line="400" w:lineRule="exact"/>
        <w:rPr>
          <w:rFonts w:eastAsia="仿宋"/>
          <w:sz w:val="32"/>
        </w:rPr>
      </w:pPr>
    </w:p>
    <w:p w14:paraId="26A391B0">
      <w:pPr>
        <w:snapToGrid w:val="0"/>
        <w:spacing w:before="100" w:beforeAutospacing="1" w:after="100" w:afterAutospacing="1" w:line="400" w:lineRule="exact"/>
        <w:rPr>
          <w:rFonts w:eastAsia="仿宋"/>
          <w:sz w:val="32"/>
        </w:rPr>
      </w:pPr>
    </w:p>
    <w:p w14:paraId="0060E3F0">
      <w:pPr>
        <w:snapToGrid w:val="0"/>
        <w:spacing w:before="100" w:beforeAutospacing="1" w:after="100" w:afterAutospacing="1" w:line="500" w:lineRule="exact"/>
        <w:jc w:val="center"/>
        <w:rPr>
          <w:rFonts w:eastAsia="仿宋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国家文物局 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</w:rPr>
        <w:t>制</w:t>
      </w:r>
    </w:p>
    <w:p w14:paraId="399770F1">
      <w:p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A13E23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04251CB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案例情况</w:t>
      </w:r>
    </w:p>
    <w:p w14:paraId="010BB07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261"/>
      </w:tblGrid>
      <w:tr w14:paraId="118D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30F17447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案例名称</w:t>
            </w:r>
          </w:p>
        </w:tc>
        <w:tc>
          <w:tcPr>
            <w:tcW w:w="7261" w:type="dxa"/>
            <w:noWrap w:val="0"/>
            <w:vAlign w:val="top"/>
          </w:tcPr>
          <w:p w14:paraId="2C13534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9E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25A9A76F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主题类别</w:t>
            </w:r>
          </w:p>
        </w:tc>
        <w:tc>
          <w:tcPr>
            <w:tcW w:w="7261" w:type="dxa"/>
            <w:noWrap w:val="0"/>
            <w:vAlign w:val="top"/>
          </w:tcPr>
          <w:p w14:paraId="0F457BB7">
            <w:pPr>
              <w:spacing w:line="276" w:lineRule="auto"/>
              <w:ind w:left="-298" w:leftChars="-93" w:firstLine="473" w:firstLineChars="148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协调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绿色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开放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共享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14:paraId="2B6D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49080D9A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  <w:lang w:eastAsia="zh-CN"/>
              </w:rPr>
              <w:t>背景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情况</w:t>
            </w:r>
          </w:p>
        </w:tc>
        <w:tc>
          <w:tcPr>
            <w:tcW w:w="7261" w:type="dxa"/>
            <w:noWrap w:val="0"/>
            <w:vAlign w:val="top"/>
          </w:tcPr>
          <w:p w14:paraId="0BFC38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包括案例实施的背景，案例实施单位的基本情况，取得的主要成效。（800字左右）</w:t>
            </w:r>
          </w:p>
          <w:p w14:paraId="6DC0844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6C4FC2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64BC1F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50CF76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C2A6EB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492AA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2762C0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A9A11A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C40BCC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F1E5AE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40E3D0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564A67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39F19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1B6AD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7DB1E6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43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63A0B144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主要做法</w:t>
            </w:r>
          </w:p>
        </w:tc>
        <w:tc>
          <w:tcPr>
            <w:tcW w:w="7261" w:type="dxa"/>
            <w:noWrap w:val="0"/>
            <w:vAlign w:val="top"/>
          </w:tcPr>
          <w:p w14:paraId="038289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案例推动文物事业高质量发展的主要措施、工作过程，解决的主要问题，主要创新点等。</w:t>
            </w:r>
          </w:p>
          <w:p w14:paraId="114A88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（2200字以内）</w:t>
            </w:r>
          </w:p>
          <w:p w14:paraId="59BD60D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604F09E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7492FE3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05E97D4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5C58007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559CFAB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6E71D60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1055BD2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613948F3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3E5868DF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7CDAF5AC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0DFDAC25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1C4E1801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20F66AEB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14A4EC15">
            <w:pPr>
              <w:pStyle w:val="5"/>
              <w:rPr>
                <w:rFonts w:hint="eastAsia"/>
                <w:lang w:eastAsia="zh-CN"/>
              </w:rPr>
            </w:pPr>
          </w:p>
          <w:p w14:paraId="324203E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6CA634C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0AF293E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12D66BF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139F472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C8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0" w:hRule="atLeast"/>
          <w:jc w:val="center"/>
        </w:trPr>
        <w:tc>
          <w:tcPr>
            <w:tcW w:w="1799" w:type="dxa"/>
            <w:noWrap w:val="0"/>
            <w:vAlign w:val="top"/>
          </w:tcPr>
          <w:p w14:paraId="2F72F6FF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经验总结</w:t>
            </w:r>
          </w:p>
        </w:tc>
        <w:tc>
          <w:tcPr>
            <w:tcW w:w="7261" w:type="dxa"/>
            <w:noWrap w:val="0"/>
            <w:vAlign w:val="top"/>
          </w:tcPr>
          <w:p w14:paraId="425F6A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对主要做法、取得的成绩、存在的问题进行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  <w:lang w:eastAsia="zh-CN"/>
              </w:rPr>
              <w:t>思考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，做出经验总结，提炼一般意义，对宣传推介工作作出计划。</w:t>
            </w:r>
          </w:p>
          <w:p w14:paraId="0011A0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</w:rPr>
              <w:t>（1000字以内）</w:t>
            </w:r>
          </w:p>
          <w:p w14:paraId="10CD89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auto" w:fill="FFFFFF"/>
                <w:lang w:eastAsia="zh-CN"/>
              </w:rPr>
            </w:pPr>
          </w:p>
          <w:p w14:paraId="0A5B652F"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13A9963D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411CE3C5">
            <w:pPr>
              <w:rPr>
                <w:rFonts w:hint="eastAsia"/>
                <w:lang w:eastAsia="zh-CN"/>
              </w:rPr>
            </w:pPr>
          </w:p>
          <w:p w14:paraId="4263F7E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4D82691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6DD8C6C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7D944F5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66806EC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2F0275E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28F6683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 w14:paraId="23BF6A7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36A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7DCC3197"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申报单位联系人及联系方式</w:t>
            </w:r>
          </w:p>
        </w:tc>
        <w:tc>
          <w:tcPr>
            <w:tcW w:w="7261" w:type="dxa"/>
            <w:noWrap w:val="0"/>
            <w:vAlign w:val="top"/>
          </w:tcPr>
          <w:p w14:paraId="703A5F5E"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联系人：</w:t>
            </w:r>
          </w:p>
          <w:p w14:paraId="0C99D3C5"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联系电话：</w:t>
            </w:r>
          </w:p>
          <w:p w14:paraId="087CB0B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联系单位：</w:t>
            </w:r>
          </w:p>
        </w:tc>
      </w:tr>
      <w:tr w14:paraId="39EF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26994686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材料目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录</w:t>
            </w:r>
          </w:p>
        </w:tc>
        <w:tc>
          <w:tcPr>
            <w:tcW w:w="7261" w:type="dxa"/>
            <w:noWrap w:val="0"/>
            <w:vAlign w:val="top"/>
          </w:tcPr>
          <w:p w14:paraId="49F808D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（含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相关佐证材料、获奖情况等）</w:t>
            </w:r>
          </w:p>
        </w:tc>
      </w:tr>
      <w:tr w14:paraId="1741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99" w:type="dxa"/>
            <w:noWrap w:val="0"/>
            <w:vAlign w:val="top"/>
          </w:tcPr>
          <w:p w14:paraId="0B5E221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7261" w:type="dxa"/>
            <w:noWrap w:val="0"/>
            <w:vAlign w:val="top"/>
          </w:tcPr>
          <w:p w14:paraId="4056D87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84F580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7CF12B-8D67-4442-B7F5-F354840A3D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A284AD-93B2-4B15-A4DC-074EFFC796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6FEA8D-E3F5-482F-99FA-1C7F6C5835B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B734B8E-1C38-4BEB-A2F3-584326F74B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5153DE1-7AD0-40C9-9282-D82E5A0C186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92668D44-75DA-49C6-B803-56683A42B9AF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2C261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-59690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0F969">
                          <w:pPr>
                            <w:pStyle w:val="3"/>
                            <w:ind w:left="319" w:right="10" w:rightChars="3" w:hanging="319" w:hangingChars="114"/>
                          </w:pP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a+h09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48g2B3oxQvzjzs1BZk&#10;Xcn//PUP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2vodPUAAAABwEAAA8AAAAAAAAAAQAgAAAAIgAAAGRycy9kb3ducmV2&#10;LnhtbFBLAQIUABQAAAAIAIdO4kD0CSeXxwEAAJkDAAAOAAAAAAAAAAEAIAAAACM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20F969">
                    <w:pPr>
                      <w:pStyle w:val="3"/>
                      <w:ind w:left="319" w:right="10" w:rightChars="3" w:hanging="319" w:hangingChars="114"/>
                    </w:pP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1047C"/>
    <w:rsid w:val="4A1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bidi w:val="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rPr>
      <w:rFonts w:ascii="等线" w:hAnsi="等线" w:eastAsia="等线" w:cs="Times New Roman"/>
      <w:sz w:val="21"/>
      <w:szCs w:val="2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2025-01-21T12:11:00Z</dcterms:created>
  <dc:creator>Dazzle</dc:creator>
  <cp:lastModifiedBy>Dazzle</cp:lastModifiedBy>
  <dcterms:modified xsi:type="dcterms:W3CDTF">2025-01-21T12:13:55Z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751F7ECE5DD3483C98BD2BD76EB10453_11</vt:lpwstr>
  </property>
  <property fmtid="{D5CDD505-2E9C-101B-9397-08002B2CF9AE}" pid="4" name="KSOTemplateDocerSaveRecord">
    <vt:lpwstr>eyJoZGlkIjoiYzYwNzA0ZTU1Zjg2YTYzOWIyMjY2YzMwNmVjNTgxY2IiLCJ1c2VySWQiOiIzOTE0NTU3MjkifQ==</vt:lpwstr>
  </property>
</Properties>
</file>