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5650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47419D3">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D794FE1">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13.030.50</w:t>
            </w:r>
            <w:r>
              <w:rPr>
                <w:rFonts w:ascii="黑体" w:hAnsi="黑体" w:eastAsia="黑体"/>
                <w:sz w:val="21"/>
                <w:szCs w:val="21"/>
              </w:rPr>
              <w:fldChar w:fldCharType="end"/>
            </w:r>
            <w:bookmarkEnd w:id="0"/>
          </w:p>
        </w:tc>
      </w:tr>
      <w:tr w14:paraId="59E2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77E0E6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D6ABB9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 04</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6C58DB9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719E7190">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SB</w:t>
            </w:r>
            <w:r>
              <w:fldChar w:fldCharType="end"/>
            </w:r>
            <w:bookmarkEnd w:id="3"/>
          </w:p>
        </w:tc>
      </w:tr>
    </w:tbl>
    <w:p w14:paraId="4188F8BC">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国内贸易</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6355BE46">
      <w:pPr>
        <w:pStyle w:val="195"/>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SB/T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5270E74">
      <w:pPr>
        <w:pStyle w:val="196"/>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14:paraId="4E27AF14">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35EA2CB">
      <w:pPr>
        <w:pStyle w:val="50"/>
        <w:framePr w:w="9639" w:h="6976" w:hRule="exact" w:hSpace="0" w:vSpace="0" w:wrap="around" w:hAnchor="page" w:y="6408"/>
        <w:jc w:val="center"/>
        <w:rPr>
          <w:rFonts w:ascii="黑体" w:hAnsi="黑体" w:eastAsia="黑体"/>
          <w:b w:val="0"/>
          <w:bCs w:val="0"/>
          <w:w w:val="100"/>
          <w:lang w:val="fr-FR"/>
        </w:rPr>
      </w:pPr>
    </w:p>
    <w:p w14:paraId="56B6D749">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再生资源绿色回收规范</w:t>
      </w:r>
      <w:r>
        <w:fldChar w:fldCharType="end"/>
      </w:r>
      <w:bookmarkEnd w:id="9"/>
    </w:p>
    <w:p w14:paraId="5336B309">
      <w:pPr>
        <w:framePr w:w="9639" w:h="6974" w:hRule="exact" w:wrap="around" w:vAnchor="page" w:hAnchor="page" w:x="1419" w:y="6408" w:anchorLock="1"/>
        <w:ind w:left="-1418"/>
      </w:pPr>
    </w:p>
    <w:p w14:paraId="18096CC8">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 for green take-back of recyclable resource</w:t>
      </w:r>
      <w:r>
        <w:rPr>
          <w:rFonts w:eastAsia="黑体"/>
          <w:szCs w:val="28"/>
        </w:rPr>
        <w:fldChar w:fldCharType="end"/>
      </w:r>
      <w:bookmarkEnd w:id="10"/>
    </w:p>
    <w:p w14:paraId="4AED93F6">
      <w:pPr>
        <w:framePr w:w="9639" w:h="6974" w:hRule="exact" w:wrap="around" w:vAnchor="page" w:hAnchor="page" w:x="1419" w:y="6408" w:anchorLock="1"/>
        <w:spacing w:line="760" w:lineRule="exact"/>
        <w:ind w:left="-1418"/>
      </w:pPr>
    </w:p>
    <w:p w14:paraId="16506F40">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14:paraId="3B7255B4">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1D51C208">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60417D35">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0A0C3090">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61A8D387">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6219776B">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中华人民共和国商务部</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14:paraId="35DD6F4E">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E049A93">
      <w:pPr>
        <w:pStyle w:val="91"/>
        <w:spacing w:after="360"/>
      </w:pPr>
      <w:bookmarkStart w:id="22" w:name="BookMark1"/>
      <w:r>
        <w:rPr>
          <w:rFonts w:hint="eastAsia"/>
          <w:spacing w:val="320"/>
        </w:rPr>
        <w:t>目</w:t>
      </w:r>
      <w:r>
        <w:rPr>
          <w:rFonts w:hint="eastAsia"/>
        </w:rPr>
        <w:t>次</w:t>
      </w:r>
    </w:p>
    <w:p w14:paraId="5D375491">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"_Toc174318701" </w:instrText>
      </w:r>
      <w:r>
        <w:fldChar w:fldCharType="separate"/>
      </w:r>
      <w:r>
        <w:rPr>
          <w:rStyle w:val="32"/>
          <w:rFonts w:hint="eastAsia"/>
          <w:spacing w:val="320"/>
        </w:rPr>
        <w:t>前</w:t>
      </w:r>
      <w:r>
        <w:rPr>
          <w:rStyle w:val="32"/>
          <w:rFonts w:hint="eastAsia"/>
        </w:rPr>
        <w:t>言</w:t>
      </w:r>
      <w:r>
        <w:rPr>
          <w:rFonts w:hint="eastAsia"/>
        </w:rPr>
        <w:tab/>
      </w:r>
      <w:r>
        <w:rPr>
          <w:rFonts w:hint="eastAsia"/>
        </w:rPr>
        <w:fldChar w:fldCharType="begin"/>
      </w:r>
      <w:r>
        <w:rPr>
          <w:rFonts w:hint="eastAsia"/>
        </w:rPr>
        <w:instrText xml:space="preserve"> </w:instrText>
      </w:r>
      <w:r>
        <w:instrText xml:space="preserve">PAGEREF _Toc174318701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215F8D18">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"_Toc174318702" </w:instrText>
      </w:r>
      <w:r>
        <w:fldChar w:fldCharType="separate"/>
      </w:r>
      <w:r>
        <w:rPr>
          <w:rStyle w:val="32"/>
          <w:rFonts w:hint="eastAsia"/>
        </w:rPr>
        <w:t>1 范围</w:t>
      </w:r>
      <w:r>
        <w:rPr>
          <w:rFonts w:hint="eastAsia"/>
        </w:rPr>
        <w:tab/>
      </w:r>
      <w:r>
        <w:rPr>
          <w:rFonts w:hint="eastAsia"/>
        </w:rPr>
        <w:fldChar w:fldCharType="begin"/>
      </w:r>
      <w:r>
        <w:rPr>
          <w:rFonts w:hint="eastAsia"/>
        </w:rPr>
        <w:instrText xml:space="preserve"> </w:instrText>
      </w:r>
      <w:r>
        <w:instrText xml:space="preserve">PAGEREF _Toc174318702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F5EF508">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"_Toc174318703" </w:instrText>
      </w:r>
      <w:r>
        <w:fldChar w:fldCharType="separate"/>
      </w:r>
      <w:r>
        <w:rPr>
          <w:rStyle w:val="32"/>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_Toc174318703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1DB6CF5">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"_Toc174318704" </w:instrText>
      </w:r>
      <w:r>
        <w:fldChar w:fldCharType="separate"/>
      </w:r>
      <w:r>
        <w:rPr>
          <w:rStyle w:val="32"/>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_Toc174318704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9B4390E">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"_Toc174318705" </w:instrText>
      </w:r>
      <w:r>
        <w:fldChar w:fldCharType="separate"/>
      </w:r>
      <w:r>
        <w:rPr>
          <w:rStyle w:val="32"/>
          <w:rFonts w:hint="eastAsia"/>
        </w:rPr>
        <w:t>4 通用要求</w:t>
      </w:r>
      <w:r>
        <w:rPr>
          <w:rFonts w:hint="eastAsia"/>
        </w:rPr>
        <w:tab/>
      </w:r>
      <w:r>
        <w:rPr>
          <w:rFonts w:hint="eastAsia"/>
        </w:rPr>
        <w:fldChar w:fldCharType="begin"/>
      </w:r>
      <w:r>
        <w:rPr>
          <w:rFonts w:hint="eastAsia"/>
        </w:rPr>
        <w:instrText xml:space="preserve"> </w:instrText>
      </w:r>
      <w:r>
        <w:instrText xml:space="preserve">PAGEREF _Toc174318705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F18D515">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"_Toc174318706" </w:instrText>
      </w:r>
      <w:r>
        <w:fldChar w:fldCharType="separate"/>
      </w:r>
      <w:r>
        <w:rPr>
          <w:rStyle w:val="32"/>
          <w:rFonts w:hint="eastAsia"/>
        </w:rPr>
        <w:t>5 收集要求</w:t>
      </w:r>
      <w:r>
        <w:rPr>
          <w:rFonts w:hint="eastAsia"/>
        </w:rPr>
        <w:tab/>
      </w:r>
      <w:r>
        <w:rPr>
          <w:rFonts w:hint="eastAsia"/>
        </w:rPr>
        <w:fldChar w:fldCharType="begin"/>
      </w:r>
      <w:r>
        <w:rPr>
          <w:rFonts w:hint="eastAsia"/>
        </w:rPr>
        <w:instrText xml:space="preserve"> </w:instrText>
      </w:r>
      <w:r>
        <w:instrText xml:space="preserve">PAGEREF _Toc174318706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23A04E0">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"_Toc174318707" </w:instrText>
      </w:r>
      <w:r>
        <w:fldChar w:fldCharType="separate"/>
      </w:r>
      <w:r>
        <w:rPr>
          <w:rStyle w:val="32"/>
          <w:rFonts w:hint="eastAsia"/>
        </w:rPr>
        <w:t>6 运输要求</w:t>
      </w:r>
      <w:r>
        <w:rPr>
          <w:rFonts w:hint="eastAsia"/>
        </w:rPr>
        <w:tab/>
      </w:r>
      <w:r>
        <w:rPr>
          <w:rFonts w:hint="eastAsia"/>
        </w:rPr>
        <w:fldChar w:fldCharType="begin"/>
      </w:r>
      <w:r>
        <w:rPr>
          <w:rFonts w:hint="eastAsia"/>
        </w:rPr>
        <w:instrText xml:space="preserve"> </w:instrText>
      </w:r>
      <w:r>
        <w:instrText xml:space="preserve">PAGEREF _Toc174318707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414FC17">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"_Toc174318708" </w:instrText>
      </w:r>
      <w:r>
        <w:fldChar w:fldCharType="separate"/>
      </w:r>
      <w:r>
        <w:rPr>
          <w:rStyle w:val="32"/>
          <w:rFonts w:hint="eastAsia"/>
        </w:rPr>
        <w:t>7 贮存要求</w:t>
      </w:r>
      <w:r>
        <w:rPr>
          <w:rFonts w:hint="eastAsia"/>
        </w:rPr>
        <w:tab/>
      </w:r>
      <w:r>
        <w:rPr>
          <w:rFonts w:hint="eastAsia"/>
        </w:rPr>
        <w:fldChar w:fldCharType="begin"/>
      </w:r>
      <w:r>
        <w:rPr>
          <w:rFonts w:hint="eastAsia"/>
        </w:rPr>
        <w:instrText xml:space="preserve"> </w:instrText>
      </w:r>
      <w:r>
        <w:instrText xml:space="preserve">PAGEREF _Toc174318708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1FB8D7B">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"_Toc174318709" </w:instrText>
      </w:r>
      <w:r>
        <w:fldChar w:fldCharType="separate"/>
      </w:r>
      <w:r>
        <w:rPr>
          <w:rStyle w:val="32"/>
          <w:rFonts w:hint="eastAsia"/>
        </w:rPr>
        <w:t>8 分拣要求</w:t>
      </w:r>
      <w:r>
        <w:rPr>
          <w:rFonts w:hint="eastAsia"/>
        </w:rPr>
        <w:tab/>
      </w:r>
      <w:r>
        <w:rPr>
          <w:rFonts w:hint="eastAsia"/>
        </w:rPr>
        <w:fldChar w:fldCharType="begin"/>
      </w:r>
      <w:r>
        <w:rPr>
          <w:rFonts w:hint="eastAsia"/>
        </w:rPr>
        <w:instrText xml:space="preserve"> </w:instrText>
      </w:r>
      <w:r>
        <w:instrText xml:space="preserve">PAGEREF _Toc174318709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451311A">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"_Toc174318710" </w:instrText>
      </w:r>
      <w:r>
        <w:fldChar w:fldCharType="separate"/>
      </w:r>
      <w:r>
        <w:rPr>
          <w:rStyle w:val="32"/>
          <w:rFonts w:hint="eastAsia"/>
        </w:rPr>
        <w:t>9 包装要求</w:t>
      </w:r>
      <w:r>
        <w:rPr>
          <w:rFonts w:hint="eastAsia"/>
        </w:rPr>
        <w:tab/>
      </w:r>
      <w:r>
        <w:rPr>
          <w:rFonts w:hint="eastAsia"/>
        </w:rPr>
        <w:fldChar w:fldCharType="begin"/>
      </w:r>
      <w:r>
        <w:rPr>
          <w:rFonts w:hint="eastAsia"/>
        </w:rPr>
        <w:instrText xml:space="preserve"> </w:instrText>
      </w:r>
      <w:r>
        <w:instrText xml:space="preserve">PAGEREF _Toc174318710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5D252CF">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"_Toc174318711" </w:instrText>
      </w:r>
      <w:r>
        <w:fldChar w:fldCharType="separate"/>
      </w:r>
      <w:r>
        <w:rPr>
          <w:rStyle w:val="32"/>
          <w:rFonts w:hint="eastAsia"/>
        </w:rPr>
        <w:t>10 管理要求</w:t>
      </w:r>
      <w:r>
        <w:rPr>
          <w:rFonts w:hint="eastAsia"/>
        </w:rPr>
        <w:tab/>
      </w:r>
      <w:r>
        <w:rPr>
          <w:rFonts w:hint="eastAsia"/>
        </w:rPr>
        <w:fldChar w:fldCharType="begin"/>
      </w:r>
      <w:r>
        <w:rPr>
          <w:rFonts w:hint="eastAsia"/>
        </w:rPr>
        <w:instrText xml:space="preserve"> </w:instrText>
      </w:r>
      <w:r>
        <w:instrText xml:space="preserve">PAGEREF _Toc174318711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B5E7AFE">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"_Toc174318712" </w:instrText>
      </w:r>
      <w:r>
        <w:fldChar w:fldCharType="separate"/>
      </w:r>
      <w:r>
        <w:rPr>
          <w:rStyle w:val="32"/>
          <w:rFonts w:hint="eastAsia"/>
        </w:rPr>
        <w:t>11 信息管理要求</w:t>
      </w:r>
      <w:r>
        <w:rPr>
          <w:rFonts w:hint="eastAsia"/>
        </w:rPr>
        <w:tab/>
      </w:r>
      <w:r>
        <w:rPr>
          <w:rFonts w:hint="eastAsia"/>
        </w:rPr>
        <w:fldChar w:fldCharType="begin"/>
      </w:r>
      <w:r>
        <w:rPr>
          <w:rFonts w:hint="eastAsia"/>
        </w:rPr>
        <w:instrText xml:space="preserve"> </w:instrText>
      </w:r>
      <w:r>
        <w:instrText xml:space="preserve">PAGEREF _Toc174318712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3C54DCE">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"_Toc174318713" </w:instrText>
      </w:r>
      <w:r>
        <w:fldChar w:fldCharType="separate"/>
      </w:r>
      <w:r>
        <w:rPr>
          <w:rStyle w:val="32"/>
          <w:rFonts w:hint="eastAsia"/>
        </w:rPr>
        <w:t>12 证实方法</w:t>
      </w:r>
      <w:r>
        <w:rPr>
          <w:rFonts w:hint="eastAsia"/>
        </w:rPr>
        <w:tab/>
      </w:r>
      <w:r>
        <w:rPr>
          <w:rFonts w:hint="eastAsia"/>
        </w:rPr>
        <w:fldChar w:fldCharType="begin"/>
      </w:r>
      <w:r>
        <w:rPr>
          <w:rFonts w:hint="eastAsia"/>
        </w:rPr>
        <w:instrText xml:space="preserve"> </w:instrText>
      </w:r>
      <w:r>
        <w:instrText xml:space="preserve">PAGEREF _Toc174318713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0FFB16E">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"_Toc174318714" </w:instrText>
      </w:r>
      <w:r>
        <w:fldChar w:fldCharType="separate"/>
      </w:r>
      <w:r>
        <w:rPr>
          <w:rStyle w:val="32"/>
          <w:rFonts w:hint="eastAsia"/>
          <w:spacing w:val="100"/>
        </w:rPr>
        <w:t>附录A</w:t>
      </w:r>
      <w:r>
        <w:rPr>
          <w:rStyle w:val="32"/>
          <w:rFonts w:hint="eastAsia"/>
        </w:rPr>
        <w:t xml:space="preserve"> （资料性） 安全标识</w:t>
      </w:r>
      <w:r>
        <w:rPr>
          <w:rFonts w:hint="eastAsia"/>
        </w:rPr>
        <w:tab/>
      </w:r>
      <w:r>
        <w:rPr>
          <w:rFonts w:hint="eastAsia"/>
        </w:rPr>
        <w:fldChar w:fldCharType="begin"/>
      </w:r>
      <w:r>
        <w:rPr>
          <w:rFonts w:hint="eastAsia"/>
        </w:rPr>
        <w:instrText xml:space="preserve"> </w:instrText>
      </w:r>
      <w:r>
        <w:instrText xml:space="preserve">PAGEREF _Toc174318714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3B101F80">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"_Toc174318715" </w:instrText>
      </w:r>
      <w:r>
        <w:fldChar w:fldCharType="separate"/>
      </w:r>
      <w:r>
        <w:rPr>
          <w:rStyle w:val="32"/>
          <w:rFonts w:hint="eastAsia"/>
          <w:spacing w:val="105"/>
        </w:rPr>
        <w:t>参考文</w:t>
      </w:r>
      <w:r>
        <w:rPr>
          <w:rStyle w:val="32"/>
          <w:rFonts w:hint="eastAsia"/>
        </w:rPr>
        <w:t>献</w:t>
      </w:r>
      <w:r>
        <w:rPr>
          <w:rFonts w:hint="eastAsia"/>
        </w:rPr>
        <w:tab/>
      </w:r>
      <w:r>
        <w:rPr>
          <w:rFonts w:hint="eastAsia"/>
        </w:rPr>
        <w:fldChar w:fldCharType="begin"/>
      </w:r>
      <w:r>
        <w:rPr>
          <w:rFonts w:hint="eastAsia"/>
        </w:rPr>
        <w:instrText xml:space="preserve"> </w:instrText>
      </w:r>
      <w:r>
        <w:instrText xml:space="preserve">PAGEREF _Toc174318715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E8C2F35">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2"/>
    <w:p w14:paraId="4905651C">
      <w:pPr>
        <w:pStyle w:val="89"/>
        <w:spacing w:after="360"/>
      </w:pPr>
      <w:bookmarkStart w:id="23" w:name="_Toc174318701"/>
      <w:bookmarkStart w:id="24" w:name="BookMark2"/>
      <w:r>
        <w:rPr>
          <w:spacing w:val="320"/>
        </w:rPr>
        <w:t>前</w:t>
      </w:r>
      <w:r>
        <w:t>言</w:t>
      </w:r>
      <w:bookmarkEnd w:id="23"/>
    </w:p>
    <w:p w14:paraId="1BF3D141">
      <w:pPr>
        <w:pStyle w:val="56"/>
        <w:ind w:firstLine="420"/>
      </w:pPr>
      <w:r>
        <w:rPr>
          <w:rFonts w:hint="eastAsia"/>
        </w:rPr>
        <w:t>本文件按照GB/T 1.1—2020《标准化工作导则  第1部分：标准化文件的结构和起草规则》的规定起草。</w:t>
      </w:r>
    </w:p>
    <w:p w14:paraId="31243E67">
      <w:pPr>
        <w:pStyle w:val="230"/>
      </w:pPr>
      <w:bookmarkStart w:id="25" w:name="_Hlk174322649"/>
      <w:r>
        <w:rPr>
          <w:rFonts w:hint="eastAsia"/>
        </w:rPr>
        <w:t>本文件由</w:t>
      </w:r>
      <w:r>
        <w:rPr>
          <w:rFonts w:hint="eastAsia"/>
          <w:lang w:eastAsia="zh-CN"/>
        </w:rPr>
        <w:t>中华人民共和国商务部流通业发展司</w:t>
      </w:r>
      <w:r>
        <w:rPr>
          <w:rFonts w:hint="eastAsia"/>
        </w:rPr>
        <w:t>归口。</w:t>
      </w:r>
    </w:p>
    <w:p w14:paraId="2C431A11">
      <w:pPr>
        <w:pStyle w:val="230"/>
      </w:pPr>
      <w:r>
        <w:rPr>
          <w:rFonts w:hint="eastAsia"/>
        </w:rPr>
        <w:t>本文件由中国物资再生协会负责具体技术内容的解释。</w:t>
      </w:r>
    </w:p>
    <w:bookmarkEnd w:id="25"/>
    <w:p w14:paraId="3962DF8B">
      <w:pPr>
        <w:pStyle w:val="230"/>
      </w:pPr>
      <w:r>
        <w:rPr>
          <w:rFonts w:hint="eastAsia"/>
        </w:rPr>
        <w:t>本文件起草单位：</w:t>
      </w:r>
      <w:r>
        <w:t xml:space="preserve"> </w:t>
      </w:r>
    </w:p>
    <w:p w14:paraId="7F1E9118">
      <w:pPr>
        <w:pStyle w:val="56"/>
        <w:ind w:firstLine="420"/>
      </w:pPr>
      <w:r>
        <w:rPr>
          <w:rFonts w:hint="eastAsia"/>
        </w:rPr>
        <w:t>本文件主要起草人：</w:t>
      </w:r>
    </w:p>
    <w:p w14:paraId="56FC4847">
      <w:pPr>
        <w:pStyle w:val="56"/>
        <w:ind w:firstLine="420"/>
      </w:pPr>
      <w:r>
        <w:rPr>
          <w:rFonts w:hint="eastAsia"/>
        </w:rPr>
        <w:t>本文件及其所代替文件的历次版本发布情况为：</w:t>
      </w:r>
    </w:p>
    <w:p w14:paraId="3612B7D4">
      <w:pPr>
        <w:pStyle w:val="56"/>
        <w:ind w:firstLine="420"/>
      </w:pPr>
      <w:r>
        <w:rPr>
          <w:rFonts w:hint="eastAsia"/>
        </w:rPr>
        <w:t>——本文件为首次发布。</w:t>
      </w:r>
    </w:p>
    <w:p w14:paraId="3C897C7C">
      <w:pPr>
        <w:pStyle w:val="56"/>
        <w:ind w:firstLine="420"/>
      </w:pPr>
    </w:p>
    <w:p w14:paraId="3E62B7EC">
      <w:pPr>
        <w:pStyle w:val="56"/>
        <w:ind w:firstLine="420"/>
      </w:pPr>
    </w:p>
    <w:p w14:paraId="7F18D083">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linePitch="312" w:charSpace="0"/>
        </w:sectPr>
      </w:pPr>
    </w:p>
    <w:bookmarkEnd w:id="24"/>
    <w:p w14:paraId="429777F8">
      <w:pPr>
        <w:spacing w:line="20" w:lineRule="exact"/>
        <w:jc w:val="center"/>
        <w:rPr>
          <w:rFonts w:ascii="黑体" w:hAnsi="黑体" w:eastAsia="黑体"/>
          <w:sz w:val="32"/>
          <w:szCs w:val="32"/>
        </w:rPr>
      </w:pPr>
      <w:bookmarkStart w:id="26" w:name="BookMark4"/>
    </w:p>
    <w:p w14:paraId="2C446CD6">
      <w:pPr>
        <w:spacing w:line="20" w:lineRule="exact"/>
        <w:jc w:val="center"/>
        <w:rPr>
          <w:rFonts w:ascii="黑体" w:hAnsi="黑体" w:eastAsia="黑体"/>
          <w:sz w:val="32"/>
          <w:szCs w:val="32"/>
        </w:rPr>
      </w:pPr>
    </w:p>
    <w:sdt>
      <w:sdtPr>
        <w:tag w:val="NEW_STAND_NAME"/>
        <w:id w:val="595910757"/>
        <w:lock w:val="sdtLocked"/>
        <w:placeholder>
          <w:docPart w:val="AD53DA3AC68A4768A9F1C299EB41E97F"/>
        </w:placeholder>
      </w:sdtPr>
      <w:sdtContent>
        <w:p w14:paraId="7EB2FC43">
          <w:pPr>
            <w:pStyle w:val="177"/>
            <w:spacing w:before="240" w:beforeLines="100" w:after="528" w:afterLines="220"/>
          </w:pPr>
          <w:bookmarkStart w:id="27" w:name="NEW_STAND_NAME"/>
          <w:r>
            <w:rPr>
              <w:rFonts w:hint="eastAsia"/>
            </w:rPr>
            <w:t>再生资源绿色回收规范</w:t>
          </w:r>
        </w:p>
      </w:sdtContent>
    </w:sdt>
    <w:bookmarkEnd w:id="27"/>
    <w:p w14:paraId="5C39DD72">
      <w:pPr>
        <w:pStyle w:val="104"/>
        <w:spacing w:before="240" w:after="240"/>
      </w:pPr>
      <w:bookmarkStart w:id="28" w:name="_Toc26648465"/>
      <w:bookmarkStart w:id="29" w:name="_Toc26718930"/>
      <w:bookmarkStart w:id="30" w:name="_Toc26986771"/>
      <w:bookmarkStart w:id="31" w:name="_Toc17233325"/>
      <w:bookmarkStart w:id="32" w:name="_Toc17233333"/>
      <w:bookmarkStart w:id="33" w:name="_Toc24884211"/>
      <w:bookmarkStart w:id="34" w:name="_Toc174318702"/>
      <w:bookmarkStart w:id="35" w:name="_Toc26986530"/>
      <w:bookmarkStart w:id="36" w:name="_Toc97195091"/>
      <w:bookmarkStart w:id="37" w:name="_Toc24884218"/>
      <w:r>
        <w:rPr>
          <w:rFonts w:hint="eastAsia"/>
        </w:rPr>
        <w:t>范围</w:t>
      </w:r>
      <w:bookmarkEnd w:id="28"/>
      <w:bookmarkEnd w:id="29"/>
      <w:bookmarkEnd w:id="30"/>
      <w:bookmarkEnd w:id="31"/>
      <w:bookmarkEnd w:id="32"/>
      <w:bookmarkEnd w:id="33"/>
      <w:bookmarkEnd w:id="34"/>
      <w:bookmarkEnd w:id="35"/>
      <w:bookmarkEnd w:id="36"/>
      <w:bookmarkEnd w:id="37"/>
    </w:p>
    <w:p w14:paraId="194C398A">
      <w:pPr>
        <w:pStyle w:val="56"/>
        <w:ind w:firstLine="420"/>
      </w:pPr>
      <w:bookmarkStart w:id="38" w:name="_Toc17233334"/>
      <w:bookmarkStart w:id="39" w:name="_Toc24884212"/>
      <w:bookmarkStart w:id="40" w:name="_Toc26648466"/>
      <w:bookmarkStart w:id="41" w:name="_Toc17233326"/>
      <w:bookmarkStart w:id="42" w:name="_Toc24884219"/>
      <w:r>
        <w:rPr>
          <w:rFonts w:hint="eastAsia"/>
        </w:rPr>
        <w:t>本文件规定了再生资源绿色回收的通用要求、收集要求、运输要求、贮存要求、分拣要求、包装要求、管理要求和信息管理要求，描述了对应的证实方法。</w:t>
      </w:r>
    </w:p>
    <w:p w14:paraId="777B0820">
      <w:pPr>
        <w:pStyle w:val="56"/>
        <w:ind w:firstLine="420"/>
      </w:pPr>
      <w:r>
        <w:rPr>
          <w:rFonts w:hint="eastAsia"/>
        </w:rPr>
        <w:t>本文件适用于指导中华人民共和国境内废钢铁、废纸、废塑料、废有色金属、废轮胎、废玻璃、废旧纺织品、废木材等生活及生产源再生资源的回收活动，其他品类可参照执行。</w:t>
      </w:r>
    </w:p>
    <w:p w14:paraId="53C35828">
      <w:pPr>
        <w:pStyle w:val="104"/>
        <w:spacing w:before="240" w:after="240"/>
      </w:pPr>
      <w:bookmarkStart w:id="43" w:name="_Toc174318703"/>
      <w:bookmarkStart w:id="44" w:name="_Toc26986531"/>
      <w:bookmarkStart w:id="45" w:name="_Toc97195092"/>
      <w:bookmarkStart w:id="46" w:name="_Toc26986772"/>
      <w:bookmarkStart w:id="47" w:name="_Toc267189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2C4B335B4804E749388957D928F59F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3AEAAFC">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374AB1C">
      <w:pPr>
        <w:pStyle w:val="56"/>
        <w:ind w:firstLine="420"/>
      </w:pPr>
      <w:r>
        <w:rPr>
          <w:rFonts w:hint="eastAsia"/>
        </w:rPr>
        <w:t>GBZ 1  工业企业设计卫生标准</w:t>
      </w:r>
    </w:p>
    <w:p w14:paraId="34C31D76">
      <w:pPr>
        <w:pStyle w:val="56"/>
        <w:ind w:firstLine="420"/>
      </w:pPr>
      <w:r>
        <w:rPr>
          <w:rFonts w:hint="eastAsia"/>
        </w:rPr>
        <w:t>G</w:t>
      </w:r>
      <w:r>
        <w:t xml:space="preserve">B 8978  </w:t>
      </w:r>
      <w:r>
        <w:rPr>
          <w:rFonts w:hint="eastAsia"/>
        </w:rPr>
        <w:t>污水综合排放标准</w:t>
      </w:r>
    </w:p>
    <w:p w14:paraId="69056B7B">
      <w:pPr>
        <w:pStyle w:val="56"/>
        <w:ind w:firstLine="420"/>
      </w:pPr>
      <w:r>
        <w:rPr>
          <w:rFonts w:hint="eastAsia"/>
        </w:rPr>
        <w:t>GB 12348  工业企业厂界环境噪声排放标准</w:t>
      </w:r>
    </w:p>
    <w:p w14:paraId="1CC454FB">
      <w:pPr>
        <w:pStyle w:val="56"/>
        <w:ind w:firstLine="420"/>
      </w:pPr>
      <w:r>
        <w:rPr>
          <w:rFonts w:hint="eastAsia"/>
        </w:rPr>
        <w:t>GB/T 12801  生产过程安全卫生要求总则</w:t>
      </w:r>
    </w:p>
    <w:p w14:paraId="323B6B44">
      <w:pPr>
        <w:pStyle w:val="56"/>
        <w:ind w:firstLine="420"/>
      </w:pPr>
      <w:r>
        <w:rPr>
          <w:rFonts w:hint="eastAsia"/>
        </w:rPr>
        <w:t>GB/T 13861  生产过程危险和有害因素分类与代码</w:t>
      </w:r>
    </w:p>
    <w:p w14:paraId="6A4D3417">
      <w:pPr>
        <w:pStyle w:val="56"/>
        <w:ind w:firstLine="420"/>
      </w:pPr>
      <w:r>
        <w:rPr>
          <w:rFonts w:hint="eastAsia"/>
        </w:rPr>
        <w:t>GB 16297  大气污染物综合排放标准</w:t>
      </w:r>
    </w:p>
    <w:p w14:paraId="2E29C922">
      <w:pPr>
        <w:pStyle w:val="56"/>
        <w:ind w:firstLine="420"/>
      </w:pPr>
      <w:r>
        <w:rPr>
          <w:rFonts w:hint="eastAsia"/>
        </w:rPr>
        <w:t xml:space="preserve">GB/T 19001  质量管理体系 </w:t>
      </w:r>
      <w:r>
        <w:t xml:space="preserve"> </w:t>
      </w:r>
      <w:r>
        <w:rPr>
          <w:rFonts w:hint="eastAsia"/>
        </w:rPr>
        <w:t>要求</w:t>
      </w:r>
    </w:p>
    <w:p w14:paraId="3D0B8798">
      <w:pPr>
        <w:pStyle w:val="56"/>
        <w:ind w:firstLine="420"/>
      </w:pPr>
      <w:r>
        <w:rPr>
          <w:rFonts w:hint="eastAsia"/>
        </w:rPr>
        <w:t>GB/T 23331</w:t>
      </w:r>
      <w:r>
        <w:t xml:space="preserve"> </w:t>
      </w:r>
      <w:r>
        <w:rPr>
          <w:rFonts w:hint="eastAsia"/>
        </w:rPr>
        <w:t xml:space="preserve"> 能源管理体系 </w:t>
      </w:r>
      <w:r>
        <w:t xml:space="preserve"> </w:t>
      </w:r>
      <w:r>
        <w:rPr>
          <w:rFonts w:hint="eastAsia"/>
        </w:rPr>
        <w:t>要求及使用指南</w:t>
      </w:r>
    </w:p>
    <w:p w14:paraId="0B9D0D35">
      <w:pPr>
        <w:pStyle w:val="56"/>
        <w:ind w:firstLine="420"/>
      </w:pPr>
      <w:r>
        <w:rPr>
          <w:rFonts w:hint="eastAsia"/>
        </w:rPr>
        <w:t>GB/T 2400</w:t>
      </w:r>
      <w:bookmarkStart w:id="112" w:name="_GoBack"/>
      <w:bookmarkEnd w:id="112"/>
      <w:r>
        <w:rPr>
          <w:rFonts w:hint="eastAsia"/>
        </w:rPr>
        <w:t xml:space="preserve">1  环境管理体系 </w:t>
      </w:r>
      <w:r>
        <w:t xml:space="preserve"> </w:t>
      </w:r>
      <w:r>
        <w:rPr>
          <w:rFonts w:hint="eastAsia"/>
        </w:rPr>
        <w:t>要求及使用指南</w:t>
      </w:r>
    </w:p>
    <w:p w14:paraId="1504B993">
      <w:pPr>
        <w:pStyle w:val="56"/>
        <w:ind w:firstLine="420"/>
      </w:pPr>
      <w:r>
        <w:rPr>
          <w:rFonts w:hint="eastAsia"/>
        </w:rPr>
        <w:t>GB/T 29639  生产经营单位生产安全事故应急预案编制导则</w:t>
      </w:r>
    </w:p>
    <w:p w14:paraId="4B035220">
      <w:pPr>
        <w:pStyle w:val="56"/>
        <w:ind w:firstLine="420"/>
      </w:pPr>
      <w:r>
        <w:rPr>
          <w:rFonts w:hint="eastAsia"/>
        </w:rPr>
        <w:t xml:space="preserve">GB/T 45001  职业健康安全管理体系 </w:t>
      </w:r>
      <w:r>
        <w:t xml:space="preserve"> </w:t>
      </w:r>
      <w:r>
        <w:rPr>
          <w:rFonts w:hint="eastAsia"/>
        </w:rPr>
        <w:t>要求及使用指南</w:t>
      </w:r>
    </w:p>
    <w:p w14:paraId="45A7AA23">
      <w:pPr>
        <w:pStyle w:val="56"/>
        <w:ind w:firstLine="420"/>
      </w:pPr>
      <w:r>
        <w:rPr>
          <w:rFonts w:hint="eastAsia"/>
        </w:rPr>
        <w:t>G</w:t>
      </w:r>
      <w:r>
        <w:t xml:space="preserve">B 50034  </w:t>
      </w:r>
      <w:r>
        <w:rPr>
          <w:rFonts w:hint="eastAsia"/>
        </w:rPr>
        <w:t>建筑照明设计标准</w:t>
      </w:r>
    </w:p>
    <w:p w14:paraId="65F84138">
      <w:pPr>
        <w:pStyle w:val="56"/>
        <w:ind w:firstLine="420"/>
      </w:pPr>
      <w:r>
        <w:rPr>
          <w:rFonts w:hint="eastAsia"/>
        </w:rPr>
        <w:t>G</w:t>
      </w:r>
      <w:r>
        <w:t xml:space="preserve">B 50037  </w:t>
      </w:r>
      <w:r>
        <w:rPr>
          <w:rFonts w:hint="eastAsia"/>
        </w:rPr>
        <w:t>建筑地面设计</w:t>
      </w:r>
    </w:p>
    <w:p w14:paraId="21BC6C62">
      <w:pPr>
        <w:pStyle w:val="56"/>
        <w:ind w:firstLine="420"/>
      </w:pPr>
      <w:r>
        <w:rPr>
          <w:rFonts w:hint="eastAsia"/>
        </w:rPr>
        <w:t>G</w:t>
      </w:r>
      <w:r>
        <w:t xml:space="preserve">B/T 50878  </w:t>
      </w:r>
      <w:r>
        <w:rPr>
          <w:rFonts w:hint="eastAsia"/>
        </w:rPr>
        <w:t>绿色工业建筑评价标准</w:t>
      </w:r>
    </w:p>
    <w:p w14:paraId="5777469F">
      <w:pPr>
        <w:pStyle w:val="56"/>
        <w:ind w:firstLine="420"/>
      </w:pPr>
      <w:r>
        <w:rPr>
          <w:rFonts w:hint="eastAsia"/>
        </w:rPr>
        <w:t>S</w:t>
      </w:r>
      <w:r>
        <w:t xml:space="preserve">B/T 10720  </w:t>
      </w:r>
      <w:r>
        <w:rPr>
          <w:rFonts w:hint="eastAsia"/>
        </w:rPr>
        <w:t>再生资源绿色分拣中心建设管理规范</w:t>
      </w:r>
    </w:p>
    <w:p w14:paraId="267953EA">
      <w:pPr>
        <w:pStyle w:val="56"/>
        <w:ind w:firstLine="420"/>
      </w:pPr>
      <w:r>
        <w:rPr>
          <w:rFonts w:hint="eastAsia"/>
        </w:rPr>
        <w:t>SB/T 11111</w:t>
      </w:r>
      <w:r>
        <w:rPr>
          <w:rFonts w:hint="eastAsia" w:asciiTheme="minorEastAsia" w:hAnsiTheme="minorEastAsia" w:eastAsiaTheme="minorEastAsia"/>
        </w:rPr>
        <w:t>—2</w:t>
      </w:r>
      <w:r>
        <w:rPr>
          <w:rFonts w:asciiTheme="minorEastAsia" w:hAnsiTheme="minorEastAsia" w:eastAsiaTheme="minorEastAsia"/>
        </w:rPr>
        <w:t>014</w:t>
      </w:r>
      <w:r>
        <w:rPr>
          <w:rFonts w:hint="eastAsia"/>
        </w:rPr>
        <w:t xml:space="preserve">  再生资源回收站点交易行为规范</w:t>
      </w:r>
    </w:p>
    <w:p w14:paraId="0021D73D">
      <w:pPr>
        <w:pStyle w:val="104"/>
        <w:spacing w:before="240" w:after="240"/>
      </w:pPr>
      <w:bookmarkStart w:id="48" w:name="_Toc97195093"/>
      <w:bookmarkStart w:id="49" w:name="_Toc174318704"/>
      <w:r>
        <w:rPr>
          <w:rFonts w:hint="eastAsia"/>
          <w:szCs w:val="21"/>
        </w:rPr>
        <w:t>术语和定义</w:t>
      </w:r>
      <w:bookmarkEnd w:id="48"/>
      <w:bookmarkEnd w:id="49"/>
    </w:p>
    <w:sdt>
      <w:sdtPr>
        <w:id w:val="-1909835108"/>
        <w:placeholder>
          <w:docPart w:val="68B6C43E9702450599D1D91400F7421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77ECE1D">
          <w:pPr>
            <w:pStyle w:val="56"/>
            <w:ind w:firstLine="420"/>
          </w:pPr>
          <w:bookmarkStart w:id="50" w:name="_Toc26986532"/>
          <w:bookmarkEnd w:id="50"/>
          <w:r>
            <w:t>下列术语和定义适用于本文件。</w:t>
          </w:r>
        </w:p>
      </w:sdtContent>
    </w:sdt>
    <w:p w14:paraId="72998B6B">
      <w:pPr>
        <w:pStyle w:val="223"/>
        <w:ind w:left="420" w:hanging="420" w:hangingChars="200"/>
        <w:rPr>
          <w:rFonts w:ascii="黑体" w:hAnsi="黑体" w:eastAsia="黑体"/>
        </w:rPr>
      </w:pPr>
      <w:bookmarkStart w:id="51" w:name="_Toc15546968"/>
      <w:bookmarkStart w:id="52" w:name="_Toc15546857"/>
      <w:r>
        <w:rPr>
          <w:rFonts w:ascii="黑体" w:hAnsi="黑体" w:eastAsia="黑体"/>
        </w:rPr>
        <w:br w:type="textWrapping"/>
      </w:r>
      <w:r>
        <w:rPr>
          <w:rFonts w:hint="eastAsia" w:ascii="黑体" w:hAnsi="黑体" w:eastAsia="黑体"/>
        </w:rPr>
        <w:t xml:space="preserve">再生资源 </w:t>
      </w:r>
      <w:r>
        <w:rPr>
          <w:rFonts w:ascii="黑体" w:hAnsi="黑体" w:eastAsia="黑体"/>
        </w:rPr>
        <w:t xml:space="preserve"> </w:t>
      </w:r>
      <w:r>
        <w:rPr>
          <w:rFonts w:hint="eastAsia" w:ascii="黑体" w:hAnsi="黑体" w:eastAsia="黑体"/>
        </w:rPr>
        <w:t>re</w:t>
      </w:r>
      <w:r>
        <w:rPr>
          <w:rFonts w:ascii="黑体" w:hAnsi="黑体" w:eastAsia="黑体"/>
        </w:rPr>
        <w:t>cyclable resource</w:t>
      </w:r>
    </w:p>
    <w:p w14:paraId="724D5CD1">
      <w:pPr>
        <w:pStyle w:val="56"/>
        <w:ind w:firstLine="420"/>
      </w:pPr>
      <w:r>
        <w:rPr>
          <w:rFonts w:hint="eastAsia"/>
        </w:rPr>
        <w:t>在社会生产和生活消费过程中产生的，已经失去原有全部或部分使用价值，经过回收、加工、处理，能够重新获得价值和使用价值的各种废弃物。</w:t>
      </w:r>
    </w:p>
    <w:p w14:paraId="5DC0CFE3">
      <w:pPr>
        <w:pStyle w:val="56"/>
        <w:ind w:firstLine="420"/>
      </w:pPr>
      <w:r>
        <w:rPr>
          <w:rFonts w:hint="eastAsia"/>
        </w:rPr>
        <w:t>[来源：S</w:t>
      </w:r>
      <w:r>
        <w:t>B/T 10720</w:t>
      </w:r>
      <w:r>
        <w:rPr>
          <w:rFonts w:hint="eastAsia"/>
        </w:rPr>
        <w:t>—2</w:t>
      </w:r>
      <w:r>
        <w:t>021</w:t>
      </w:r>
      <w:r>
        <w:rPr>
          <w:rFonts w:hint="eastAsia"/>
        </w:rPr>
        <w:t>,</w:t>
      </w:r>
      <w:r>
        <w:t>3.1</w:t>
      </w:r>
      <w:r>
        <w:rPr>
          <w:rFonts w:hint="eastAsia"/>
        </w:rPr>
        <w:t>]</w:t>
      </w:r>
    </w:p>
    <w:p w14:paraId="75D39122">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绿色回收 </w:t>
      </w:r>
      <w:r>
        <w:rPr>
          <w:rFonts w:ascii="黑体" w:hAnsi="黑体" w:eastAsia="黑体"/>
        </w:rPr>
        <w:t xml:space="preserve"> </w:t>
      </w:r>
      <w:r>
        <w:rPr>
          <w:rFonts w:hint="eastAsia" w:ascii="黑体" w:hAnsi="黑体" w:eastAsia="黑体"/>
        </w:rPr>
        <w:t>green take-back</w:t>
      </w:r>
    </w:p>
    <w:p w14:paraId="6805D136">
      <w:pPr>
        <w:pStyle w:val="56"/>
        <w:ind w:firstLine="420"/>
      </w:pPr>
      <w:r>
        <w:rPr>
          <w:rFonts w:hint="eastAsia"/>
        </w:rPr>
        <w:t>实现了设施绿色、环保安全、运营低碳、管理规范的收集、运输、贮存和分拣再生资源的活动。</w:t>
      </w:r>
    </w:p>
    <w:p w14:paraId="27E60CE6">
      <w:pPr>
        <w:pStyle w:val="104"/>
        <w:spacing w:before="240" w:after="240"/>
      </w:pPr>
      <w:bookmarkStart w:id="53" w:name="_Toc174318705"/>
      <w:r>
        <w:rPr>
          <w:rFonts w:hint="eastAsia"/>
        </w:rPr>
        <w:t>通用要求</w:t>
      </w:r>
      <w:bookmarkEnd w:id="51"/>
      <w:bookmarkEnd w:id="52"/>
      <w:bookmarkEnd w:id="53"/>
    </w:p>
    <w:p w14:paraId="0F88A9AD">
      <w:pPr>
        <w:pStyle w:val="162"/>
      </w:pPr>
      <w:bookmarkStart w:id="54" w:name="_Toc15546859"/>
      <w:bookmarkStart w:id="55" w:name="_Hlk18064355"/>
      <w:r>
        <w:rPr>
          <w:rFonts w:hint="eastAsia"/>
        </w:rPr>
        <w:t>应具备包含再生资源回收经营范围的营业执照</w:t>
      </w:r>
      <w:bookmarkStart w:id="56" w:name="_Toc15546860"/>
      <w:r>
        <w:rPr>
          <w:rFonts w:hint="eastAsia"/>
        </w:rPr>
        <w:t>，完成再生资源回收经营者备案，并在其固定经营场所的显著位置悬挂或张贴相关资质证件。</w:t>
      </w:r>
      <w:bookmarkEnd w:id="54"/>
      <w:bookmarkEnd w:id="56"/>
    </w:p>
    <w:p w14:paraId="00BC8A09">
      <w:pPr>
        <w:pStyle w:val="162"/>
      </w:pPr>
      <w:bookmarkStart w:id="57" w:name="_Toc15546858"/>
      <w:r>
        <w:rPr>
          <w:rFonts w:hint="eastAsia"/>
        </w:rPr>
        <w:t>应具备满足经营要求的场所，场所应划分为装卸、分拣、贮存、办公等区域。</w:t>
      </w:r>
      <w:bookmarkEnd w:id="57"/>
    </w:p>
    <w:p w14:paraId="1693F85D">
      <w:pPr>
        <w:pStyle w:val="162"/>
      </w:pPr>
      <w:r>
        <w:rPr>
          <w:rFonts w:hint="eastAsia"/>
        </w:rPr>
        <w:t>从业场所的</w:t>
      </w:r>
      <w:r>
        <w:t>选址</w:t>
      </w:r>
      <w:r>
        <w:rPr>
          <w:rFonts w:hint="eastAsia"/>
        </w:rPr>
        <w:t>应</w:t>
      </w:r>
      <w:r>
        <w:t>根据回收再生资源的性质，与居住区和人员活动</w:t>
      </w:r>
      <w:r>
        <w:rPr>
          <w:rFonts w:hint="eastAsia"/>
        </w:rPr>
        <w:t>密集区</w:t>
      </w:r>
      <w:r>
        <w:t>保持</w:t>
      </w:r>
      <w:r>
        <w:rPr>
          <w:rFonts w:hint="eastAsia"/>
        </w:rPr>
        <w:t>必要</w:t>
      </w:r>
      <w:r>
        <w:t>的安全距离，</w:t>
      </w:r>
      <w:r>
        <w:rPr>
          <w:rFonts w:hint="eastAsia"/>
        </w:rPr>
        <w:t>以防散发的</w:t>
      </w:r>
      <w:r>
        <w:t>气味</w:t>
      </w:r>
      <w:r>
        <w:rPr>
          <w:rFonts w:hint="eastAsia"/>
        </w:rPr>
        <w:t>影响</w:t>
      </w:r>
      <w:r>
        <w:t>他人生活。</w:t>
      </w:r>
    </w:p>
    <w:p w14:paraId="53D28314">
      <w:pPr>
        <w:pStyle w:val="162"/>
      </w:pPr>
      <w:r>
        <w:t>从事</w:t>
      </w:r>
      <w:r>
        <w:rPr>
          <w:rFonts w:hint="eastAsia"/>
        </w:rPr>
        <w:t>易潮解</w:t>
      </w:r>
      <w:r>
        <w:t>变质或</w:t>
      </w:r>
      <w:r>
        <w:rPr>
          <w:rFonts w:hint="eastAsia"/>
        </w:rPr>
        <w:t>具有</w:t>
      </w:r>
      <w:r>
        <w:t>残留液体的再生资源回收</w:t>
      </w:r>
      <w:r>
        <w:rPr>
          <w:rFonts w:hint="eastAsia"/>
        </w:rPr>
        <w:t>业务的应</w:t>
      </w:r>
      <w:r>
        <w:t>具有</w:t>
      </w:r>
      <w:r>
        <w:rPr>
          <w:rFonts w:hint="eastAsia"/>
        </w:rPr>
        <w:t>带棚防雨的营业</w:t>
      </w:r>
      <w:r>
        <w:t>场所，属于固定建筑的经营场所，</w:t>
      </w:r>
      <w:r>
        <w:rPr>
          <w:rFonts w:hint="eastAsia"/>
        </w:rPr>
        <w:t>应是</w:t>
      </w:r>
      <w:r>
        <w:t>达到</w:t>
      </w:r>
      <w:r>
        <w:rPr>
          <w:rFonts w:hint="eastAsia"/>
        </w:rPr>
        <w:t>G</w:t>
      </w:r>
      <w:r>
        <w:t>B/T 50878</w:t>
      </w:r>
      <w:r>
        <w:rPr>
          <w:rFonts w:hint="eastAsia"/>
        </w:rPr>
        <w:t>规定</w:t>
      </w:r>
      <w:r>
        <w:t>的</w:t>
      </w:r>
      <w:r>
        <w:rPr>
          <w:rFonts w:hint="eastAsia"/>
        </w:rPr>
        <w:t>一星及以上评级的绿色建筑。</w:t>
      </w:r>
    </w:p>
    <w:p w14:paraId="734F8144">
      <w:pPr>
        <w:pStyle w:val="162"/>
      </w:pPr>
      <w:r>
        <w:rPr>
          <w:rFonts w:hint="eastAsia"/>
          <w:szCs w:val="21"/>
        </w:rPr>
        <w:t>所有</w:t>
      </w:r>
      <w:r>
        <w:rPr>
          <w:szCs w:val="21"/>
        </w:rPr>
        <w:t>经营场所</w:t>
      </w:r>
      <w:r>
        <w:rPr>
          <w:rFonts w:hint="eastAsia"/>
          <w:szCs w:val="21"/>
        </w:rPr>
        <w:t>需要实现</w:t>
      </w:r>
      <w:r>
        <w:rPr>
          <w:szCs w:val="21"/>
        </w:rPr>
        <w:t>雨污分流，</w:t>
      </w:r>
      <w:r>
        <w:rPr>
          <w:rFonts w:hint="eastAsia"/>
          <w:szCs w:val="21"/>
        </w:rPr>
        <w:t>并能够</w:t>
      </w:r>
      <w:r>
        <w:rPr>
          <w:szCs w:val="21"/>
        </w:rPr>
        <w:t>集中收集污水和渗滤液</w:t>
      </w:r>
      <w:r>
        <w:rPr>
          <w:rFonts w:hint="eastAsia"/>
          <w:szCs w:val="21"/>
        </w:rPr>
        <w:t>，</w:t>
      </w:r>
      <w:r>
        <w:rPr>
          <w:szCs w:val="21"/>
        </w:rPr>
        <w:t>并应能够</w:t>
      </w:r>
      <w:r>
        <w:rPr>
          <w:rFonts w:hint="eastAsia"/>
          <w:szCs w:val="21"/>
        </w:rPr>
        <w:t>处理</w:t>
      </w:r>
      <w:r>
        <w:rPr>
          <w:szCs w:val="21"/>
        </w:rPr>
        <w:t>收集污水</w:t>
      </w:r>
      <w:r>
        <w:rPr>
          <w:rFonts w:hint="eastAsia"/>
          <w:szCs w:val="21"/>
        </w:rPr>
        <w:t>及</w:t>
      </w:r>
      <w:r>
        <w:rPr>
          <w:szCs w:val="21"/>
        </w:rPr>
        <w:t>渗滤液，或建立委托专业</w:t>
      </w:r>
      <w:r>
        <w:rPr>
          <w:rFonts w:hint="eastAsia"/>
          <w:szCs w:val="21"/>
        </w:rPr>
        <w:t>企业</w:t>
      </w:r>
      <w:r>
        <w:rPr>
          <w:szCs w:val="21"/>
        </w:rPr>
        <w:t>处理的机制。</w:t>
      </w:r>
    </w:p>
    <w:p w14:paraId="3A51CAD4">
      <w:pPr>
        <w:pStyle w:val="162"/>
      </w:pPr>
      <w:r>
        <w:rPr>
          <w:rFonts w:hint="eastAsia"/>
        </w:rPr>
        <w:t>合理利用自然采光，人工照明应符合G</w:t>
      </w:r>
      <w:r>
        <w:t>B 50034</w:t>
      </w:r>
      <w:r>
        <w:rPr>
          <w:rFonts w:hint="eastAsia"/>
        </w:rPr>
        <w:t>的要求。</w:t>
      </w:r>
    </w:p>
    <w:bookmarkEnd w:id="55"/>
    <w:p w14:paraId="36ACD53F">
      <w:pPr>
        <w:pStyle w:val="162"/>
      </w:pPr>
      <w:bookmarkStart w:id="58" w:name="_Toc15546870"/>
      <w:bookmarkStart w:id="59" w:name="_Toc15546864"/>
      <w:bookmarkStart w:id="60" w:name="_Hlk18064553"/>
      <w:r>
        <w:rPr>
          <w:rFonts w:hint="eastAsia"/>
        </w:rPr>
        <w:t>作业场所涉及易燃、易爆等危险物品的，应设置可靠的安全防护设施和安全标识</w:t>
      </w:r>
      <w:bookmarkEnd w:id="58"/>
      <w:r>
        <w:rPr>
          <w:rFonts w:hint="eastAsia"/>
        </w:rPr>
        <w:t>，安全标识可参考附录A。</w:t>
      </w:r>
    </w:p>
    <w:bookmarkEnd w:id="59"/>
    <w:bookmarkEnd w:id="60"/>
    <w:p w14:paraId="197A78C6">
      <w:pPr>
        <w:pStyle w:val="162"/>
      </w:pPr>
      <w:bookmarkStart w:id="61" w:name="_Toc15546863"/>
      <w:bookmarkStart w:id="62" w:name="_Hlk18064636"/>
      <w:r>
        <w:rPr>
          <w:rFonts w:hint="eastAsia"/>
        </w:rPr>
        <w:t>回收过程中，尽量减少土地、水源、能源、各种材料等资源消耗，控制和降低成本，并减少废物的排放。</w:t>
      </w:r>
      <w:bookmarkEnd w:id="61"/>
    </w:p>
    <w:p w14:paraId="612D525C">
      <w:pPr>
        <w:pStyle w:val="162"/>
      </w:pPr>
      <w:r>
        <w:rPr>
          <w:rFonts w:hint="eastAsia"/>
        </w:rPr>
        <w:t>回收过程中，应设置防护措施，避免再生资源溢散、掉落、泄漏。</w:t>
      </w:r>
    </w:p>
    <w:p w14:paraId="4CE2304C">
      <w:pPr>
        <w:pStyle w:val="162"/>
      </w:pPr>
      <w:r>
        <w:rPr>
          <w:rFonts w:hint="eastAsia"/>
        </w:rPr>
        <w:t>应对收集到的再生资源进行信息登记，做好从收集到运输、贮存、分拣的回收全流程信息更新，确保实现溯源管理。</w:t>
      </w:r>
    </w:p>
    <w:p w14:paraId="60D84282">
      <w:pPr>
        <w:pStyle w:val="162"/>
      </w:pPr>
      <w:r>
        <w:rPr>
          <w:rFonts w:hint="eastAsia"/>
        </w:rPr>
        <w:t>宜采用适用的标准或规范对回收产品进行碳排放核算或核查，并利用核算或核查结果对其回收产品的碳排放进行改善。</w:t>
      </w:r>
    </w:p>
    <w:p w14:paraId="2FFE0FC3">
      <w:pPr>
        <w:pStyle w:val="162"/>
      </w:pPr>
      <w:bookmarkStart w:id="63" w:name="_Toc15546876"/>
      <w:r>
        <w:rPr>
          <w:rFonts w:hint="eastAsia"/>
        </w:rPr>
        <w:t>再生资源回收交易行为应符合SB/T 11111—2</w:t>
      </w:r>
      <w:r>
        <w:t>014</w:t>
      </w:r>
      <w:r>
        <w:rPr>
          <w:rFonts w:hint="eastAsia"/>
        </w:rPr>
        <w:t>第6～9章相关规定。</w:t>
      </w:r>
      <w:bookmarkEnd w:id="63"/>
    </w:p>
    <w:bookmarkEnd w:id="62"/>
    <w:p w14:paraId="2AD54F12">
      <w:pPr>
        <w:pStyle w:val="104"/>
        <w:spacing w:before="240" w:after="240"/>
      </w:pPr>
      <w:bookmarkStart w:id="64" w:name="_Toc174318706"/>
      <w:bookmarkStart w:id="65" w:name="_Toc15546872"/>
      <w:bookmarkStart w:id="66" w:name="_Toc15546969"/>
      <w:r>
        <w:rPr>
          <w:rFonts w:hint="eastAsia"/>
        </w:rPr>
        <w:t>收集要求</w:t>
      </w:r>
      <w:bookmarkEnd w:id="64"/>
      <w:bookmarkEnd w:id="65"/>
      <w:bookmarkEnd w:id="66"/>
      <w:bookmarkStart w:id="67" w:name="_Hlk18064745"/>
    </w:p>
    <w:p w14:paraId="0612D5E9">
      <w:pPr>
        <w:pStyle w:val="162"/>
      </w:pPr>
      <w:bookmarkStart w:id="68" w:name="_Toc15546873"/>
      <w:r>
        <w:rPr>
          <w:rFonts w:hint="eastAsia"/>
          <w:szCs w:val="21"/>
        </w:rPr>
        <w:t>应</w:t>
      </w:r>
      <w:r>
        <w:rPr>
          <w:szCs w:val="21"/>
        </w:rPr>
        <w:t>通过</w:t>
      </w:r>
      <w:r>
        <w:rPr>
          <w:rFonts w:hint="eastAsia"/>
          <w:szCs w:val="21"/>
        </w:rPr>
        <w:t>上门收集、流动收集、固定地点收集、智能设备收集等多种方式直接收集再生</w:t>
      </w:r>
      <w:r>
        <w:rPr>
          <w:szCs w:val="21"/>
        </w:rPr>
        <w:t>资源</w:t>
      </w:r>
      <w:r>
        <w:rPr>
          <w:rFonts w:hint="eastAsia"/>
          <w:szCs w:val="21"/>
        </w:rPr>
        <w:t>。</w:t>
      </w:r>
    </w:p>
    <w:bookmarkEnd w:id="68"/>
    <w:p w14:paraId="749DD794">
      <w:pPr>
        <w:pStyle w:val="162"/>
      </w:pPr>
      <w:bookmarkStart w:id="69" w:name="_Toc15546880"/>
      <w:r>
        <w:rPr>
          <w:rFonts w:hint="eastAsia"/>
        </w:rPr>
        <w:t>宜采取积分兑换、以旧换新等形式直接收集再生资源。</w:t>
      </w:r>
      <w:bookmarkEnd w:id="69"/>
    </w:p>
    <w:p w14:paraId="014DDE4E">
      <w:pPr>
        <w:pStyle w:val="162"/>
      </w:pPr>
      <w:r>
        <w:rPr>
          <w:rFonts w:hint="eastAsia"/>
          <w:szCs w:val="21"/>
        </w:rPr>
        <w:t>收集过程中应在不影响环境和再生资源品质的情况下，进行分类减容，以便于后续的运输和贮存。</w:t>
      </w:r>
    </w:p>
    <w:p w14:paraId="4D9C5B15">
      <w:pPr>
        <w:pStyle w:val="162"/>
      </w:pPr>
      <w:r>
        <w:rPr>
          <w:rFonts w:hint="eastAsia"/>
        </w:rPr>
        <w:t>收集过程中不应对再生资源进行任何形式的初级加工，如拆卸或加工处理成可直接生产的原材料。</w:t>
      </w:r>
    </w:p>
    <w:bookmarkEnd w:id="67"/>
    <w:p w14:paraId="1FED8ADF">
      <w:pPr>
        <w:pStyle w:val="104"/>
        <w:spacing w:before="240" w:after="240"/>
      </w:pPr>
      <w:bookmarkStart w:id="70" w:name="_Toc15546970"/>
      <w:bookmarkStart w:id="71" w:name="_Toc15546881"/>
      <w:bookmarkStart w:id="72" w:name="_Toc174318707"/>
      <w:r>
        <w:rPr>
          <w:rFonts w:hint="eastAsia"/>
        </w:rPr>
        <w:t>运输要求</w:t>
      </w:r>
      <w:bookmarkEnd w:id="70"/>
      <w:bookmarkEnd w:id="71"/>
      <w:bookmarkEnd w:id="72"/>
    </w:p>
    <w:p w14:paraId="6EA46B82">
      <w:pPr>
        <w:pStyle w:val="162"/>
      </w:pPr>
      <w:bookmarkStart w:id="73" w:name="_Toc15546887"/>
      <w:bookmarkStart w:id="74" w:name="_Hlk18065040"/>
      <w:r>
        <w:rPr>
          <w:rFonts w:hint="eastAsia"/>
          <w:szCs w:val="21"/>
        </w:rPr>
        <w:t>回收运输过程应</w:t>
      </w:r>
      <w:r>
        <w:rPr>
          <w:szCs w:val="21"/>
        </w:rPr>
        <w:t>使用</w:t>
      </w:r>
      <w:r>
        <w:rPr>
          <w:rFonts w:hint="eastAsia"/>
          <w:szCs w:val="21"/>
        </w:rPr>
        <w:t>专用</w:t>
      </w:r>
      <w:r>
        <w:rPr>
          <w:szCs w:val="21"/>
        </w:rPr>
        <w:t>运输车辆，车辆</w:t>
      </w:r>
      <w:r>
        <w:rPr>
          <w:rFonts w:hint="eastAsia"/>
          <w:szCs w:val="21"/>
        </w:rPr>
        <w:t>应</w:t>
      </w:r>
      <w:r>
        <w:rPr>
          <w:szCs w:val="21"/>
        </w:rPr>
        <w:t>具有防止回收物散失和渗漏的功能，</w:t>
      </w:r>
      <w:r>
        <w:rPr>
          <w:rFonts w:hint="eastAsia"/>
          <w:szCs w:val="21"/>
        </w:rPr>
        <w:t>运输</w:t>
      </w:r>
      <w:r>
        <w:rPr>
          <w:szCs w:val="21"/>
        </w:rPr>
        <w:t>车辆</w:t>
      </w:r>
      <w:r>
        <w:rPr>
          <w:rFonts w:hint="eastAsia"/>
          <w:szCs w:val="21"/>
        </w:rPr>
        <w:t>应</w:t>
      </w:r>
      <w:r>
        <w:rPr>
          <w:szCs w:val="21"/>
        </w:rPr>
        <w:t>有</w:t>
      </w:r>
      <w:r>
        <w:rPr>
          <w:rFonts w:hint="eastAsia"/>
          <w:szCs w:val="21"/>
        </w:rPr>
        <w:t>明显</w:t>
      </w:r>
      <w:r>
        <w:rPr>
          <w:szCs w:val="21"/>
        </w:rPr>
        <w:t>易辨识的回收用途的</w:t>
      </w:r>
      <w:r>
        <w:rPr>
          <w:rFonts w:hint="eastAsia"/>
          <w:szCs w:val="21"/>
        </w:rPr>
        <w:t>字迹</w:t>
      </w:r>
      <w:r>
        <w:rPr>
          <w:szCs w:val="21"/>
        </w:rPr>
        <w:t>标识</w:t>
      </w:r>
      <w:r>
        <w:rPr>
          <w:rFonts w:hint="eastAsia"/>
          <w:szCs w:val="21"/>
        </w:rPr>
        <w:t>，</w:t>
      </w:r>
      <w:r>
        <w:rPr>
          <w:szCs w:val="21"/>
        </w:rPr>
        <w:t>运输车辆的数量</w:t>
      </w:r>
      <w:r>
        <w:rPr>
          <w:rFonts w:hint="eastAsia"/>
          <w:szCs w:val="21"/>
        </w:rPr>
        <w:t>应</w:t>
      </w:r>
      <w:r>
        <w:rPr>
          <w:szCs w:val="21"/>
        </w:rPr>
        <w:t>根据回收量配置。</w:t>
      </w:r>
    </w:p>
    <w:p w14:paraId="4D3AE9CB">
      <w:pPr>
        <w:pStyle w:val="162"/>
      </w:pPr>
      <w:r>
        <w:rPr>
          <w:rFonts w:hint="eastAsia"/>
          <w:szCs w:val="21"/>
        </w:rPr>
        <w:t>运输过程应有</w:t>
      </w:r>
      <w:r>
        <w:rPr>
          <w:szCs w:val="21"/>
        </w:rPr>
        <w:t>运输规划</w:t>
      </w:r>
      <w:r>
        <w:rPr>
          <w:rFonts w:hint="eastAsia"/>
          <w:szCs w:val="21"/>
        </w:rPr>
        <w:t>，</w:t>
      </w:r>
      <w:r>
        <w:rPr>
          <w:szCs w:val="21"/>
        </w:rPr>
        <w:t>车辆数量、运行路径、装卸</w:t>
      </w:r>
      <w:r>
        <w:rPr>
          <w:rFonts w:hint="eastAsia"/>
          <w:szCs w:val="21"/>
        </w:rPr>
        <w:t>地点应按照</w:t>
      </w:r>
      <w:r>
        <w:rPr>
          <w:szCs w:val="21"/>
        </w:rPr>
        <w:t>最优路径和最低</w:t>
      </w:r>
      <w:r>
        <w:rPr>
          <w:rFonts w:hint="eastAsia"/>
          <w:szCs w:val="21"/>
        </w:rPr>
        <w:t>运输</w:t>
      </w:r>
      <w:r>
        <w:rPr>
          <w:szCs w:val="21"/>
        </w:rPr>
        <w:t>成本科学规划</w:t>
      </w:r>
      <w:r>
        <w:rPr>
          <w:rFonts w:hint="eastAsia"/>
          <w:szCs w:val="21"/>
        </w:rPr>
        <w:t>。</w:t>
      </w:r>
    </w:p>
    <w:p w14:paraId="40F4EA99">
      <w:pPr>
        <w:pStyle w:val="162"/>
      </w:pPr>
      <w:r>
        <w:rPr>
          <w:rFonts w:hint="eastAsia"/>
          <w:szCs w:val="21"/>
        </w:rPr>
        <w:t>应根据再生资源的运输计划进行运输作业，尽量减少装卸搬运活动，实现运输作业过程中各环节的协同作业和无缝衔接。</w:t>
      </w:r>
    </w:p>
    <w:p w14:paraId="56AF2010">
      <w:pPr>
        <w:pStyle w:val="162"/>
      </w:pPr>
      <w:bookmarkStart w:id="75" w:name="_Toc15546882"/>
      <w:r>
        <w:rPr>
          <w:rFonts w:hint="eastAsia"/>
        </w:rPr>
        <w:t>运输再生资源过程中应根据各个品种再生资源特性进行装载，运输过程中使用的包装、容器表面应有明显标识。</w:t>
      </w:r>
      <w:bookmarkEnd w:id="75"/>
    </w:p>
    <w:p w14:paraId="7FFE360F">
      <w:pPr>
        <w:pStyle w:val="162"/>
      </w:pPr>
      <w:r>
        <w:rPr>
          <w:rFonts w:hint="eastAsia"/>
          <w:szCs w:val="21"/>
        </w:rPr>
        <w:t>运输应落实主体责任，宜应用北斗卫星导航系统（</w:t>
      </w:r>
      <w:r>
        <w:rPr>
          <w:szCs w:val="21"/>
        </w:rPr>
        <w:t>BDS</w:t>
      </w:r>
      <w:r>
        <w:rPr>
          <w:rFonts w:hint="eastAsia"/>
          <w:szCs w:val="21"/>
        </w:rPr>
        <w:t>）</w:t>
      </w:r>
      <w:r>
        <w:rPr>
          <w:szCs w:val="21"/>
        </w:rPr>
        <w:t>/</w:t>
      </w:r>
      <w:r>
        <w:rPr>
          <w:rFonts w:hint="eastAsia"/>
          <w:szCs w:val="21"/>
        </w:rPr>
        <w:t>地理信息系统（</w:t>
      </w:r>
      <w:r>
        <w:rPr>
          <w:szCs w:val="21"/>
        </w:rPr>
        <w:t>GIS</w:t>
      </w:r>
      <w:r>
        <w:rPr>
          <w:rFonts w:hint="eastAsia"/>
          <w:szCs w:val="21"/>
        </w:rPr>
        <w:t>）技术</w:t>
      </w:r>
      <w:r>
        <w:rPr>
          <w:szCs w:val="21"/>
        </w:rPr>
        <w:t>装备</w:t>
      </w:r>
      <w:r>
        <w:rPr>
          <w:rFonts w:hint="eastAsia"/>
          <w:szCs w:val="21"/>
        </w:rPr>
        <w:t>做好运输过程和流向的监督管理，</w:t>
      </w:r>
      <w:r>
        <w:rPr>
          <w:szCs w:val="21"/>
        </w:rPr>
        <w:t>建立</w:t>
      </w:r>
      <w:r>
        <w:rPr>
          <w:rFonts w:hint="eastAsia"/>
          <w:szCs w:val="21"/>
        </w:rPr>
        <w:t>可视化</w:t>
      </w:r>
      <w:r>
        <w:rPr>
          <w:szCs w:val="21"/>
        </w:rPr>
        <w:t>运输调度系统</w:t>
      </w:r>
      <w:r>
        <w:rPr>
          <w:rFonts w:hint="eastAsia"/>
          <w:szCs w:val="21"/>
        </w:rPr>
        <w:t>。</w:t>
      </w:r>
    </w:p>
    <w:bookmarkEnd w:id="73"/>
    <w:p w14:paraId="4B86D8A6">
      <w:pPr>
        <w:pStyle w:val="162"/>
      </w:pPr>
      <w:bookmarkStart w:id="76" w:name="_Toc15546883"/>
      <w:bookmarkStart w:id="77" w:name="_Toc15546886"/>
      <w:r>
        <w:rPr>
          <w:rFonts w:hint="eastAsia"/>
        </w:rPr>
        <w:t>宜采用新能源或清洁能源的车辆和搬运设备运输再生资源。</w:t>
      </w:r>
      <w:bookmarkEnd w:id="76"/>
    </w:p>
    <w:bookmarkEnd w:id="74"/>
    <w:bookmarkEnd w:id="77"/>
    <w:p w14:paraId="2225CA92">
      <w:pPr>
        <w:pStyle w:val="104"/>
        <w:spacing w:before="240" w:after="240"/>
      </w:pPr>
      <w:bookmarkStart w:id="78" w:name="_Toc15546971"/>
      <w:bookmarkStart w:id="79" w:name="_Toc174318708"/>
      <w:bookmarkStart w:id="80" w:name="_Toc15546890"/>
      <w:r>
        <w:rPr>
          <w:rFonts w:hint="eastAsia"/>
        </w:rPr>
        <w:t>贮存要求</w:t>
      </w:r>
      <w:bookmarkEnd w:id="78"/>
      <w:bookmarkEnd w:id="79"/>
      <w:bookmarkEnd w:id="80"/>
    </w:p>
    <w:p w14:paraId="4DDAFE6F">
      <w:pPr>
        <w:pStyle w:val="162"/>
      </w:pPr>
      <w:bookmarkStart w:id="81" w:name="_Toc15546895"/>
      <w:bookmarkStart w:id="82" w:name="_Toc15546891"/>
      <w:bookmarkStart w:id="83" w:name="_Hlk18065167"/>
      <w:r>
        <w:rPr>
          <w:rFonts w:hint="eastAsia"/>
          <w:szCs w:val="21"/>
        </w:rPr>
        <w:t>贮存场地应符合GB 50037相关规定，</w:t>
      </w:r>
      <w:r>
        <w:rPr>
          <w:rFonts w:hint="eastAsia"/>
        </w:rPr>
        <w:t>不应露天堆放再生资源</w:t>
      </w:r>
      <w:r>
        <w:rPr>
          <w:rFonts w:hint="eastAsia"/>
          <w:szCs w:val="21"/>
        </w:rPr>
        <w:t>。</w:t>
      </w:r>
    </w:p>
    <w:bookmarkEnd w:id="81"/>
    <w:p w14:paraId="04D50A86">
      <w:pPr>
        <w:pStyle w:val="162"/>
      </w:pPr>
      <w:r>
        <w:rPr>
          <w:rFonts w:hint="eastAsia"/>
        </w:rPr>
        <w:t>未经分拣的再生资源应与分拣后的再生资源分开存放，各个品种再生资源应分类存放，并在显著位置标识其种类名称</w:t>
      </w:r>
      <w:bookmarkEnd w:id="82"/>
      <w:r>
        <w:rPr>
          <w:rFonts w:hint="eastAsia"/>
        </w:rPr>
        <w:t>。</w:t>
      </w:r>
    </w:p>
    <w:p w14:paraId="7F4C1ECE">
      <w:pPr>
        <w:pStyle w:val="162"/>
      </w:pPr>
      <w:bookmarkStart w:id="84" w:name="_Toc15546892"/>
      <w:r>
        <w:rPr>
          <w:rFonts w:hint="eastAsia"/>
        </w:rPr>
        <w:t>贮存场地应设置防污染、防火、防坠落等防护措施</w:t>
      </w:r>
      <w:bookmarkEnd w:id="84"/>
      <w:bookmarkStart w:id="85" w:name="_Toc15546893"/>
      <w:r>
        <w:rPr>
          <w:rFonts w:hint="eastAsia"/>
        </w:rPr>
        <w:t>，保持场内道路通畅，消防无障碍</w:t>
      </w:r>
      <w:bookmarkEnd w:id="85"/>
      <w:r>
        <w:rPr>
          <w:rFonts w:hint="eastAsia"/>
        </w:rPr>
        <w:t>。</w:t>
      </w:r>
    </w:p>
    <w:p w14:paraId="697767EA">
      <w:pPr>
        <w:pStyle w:val="162"/>
      </w:pPr>
      <w:bookmarkStart w:id="86" w:name="_Toc15546897"/>
      <w:r>
        <w:rPr>
          <w:rFonts w:hint="eastAsia"/>
        </w:rPr>
        <w:t>贮存时不应有污染物溢散、泄漏，对于废弃电器电子产品零部件的贮存场地，地面应硬化并采取防渗漏措施。</w:t>
      </w:r>
    </w:p>
    <w:bookmarkEnd w:id="83"/>
    <w:bookmarkEnd w:id="86"/>
    <w:p w14:paraId="07580412">
      <w:pPr>
        <w:pStyle w:val="104"/>
        <w:spacing w:before="240" w:after="240"/>
      </w:pPr>
      <w:bookmarkStart w:id="87" w:name="_Toc15546898"/>
      <w:bookmarkStart w:id="88" w:name="_Toc174318709"/>
      <w:bookmarkStart w:id="89" w:name="_Toc15546972"/>
      <w:r>
        <w:rPr>
          <w:rFonts w:hint="eastAsia"/>
        </w:rPr>
        <w:t>分拣要求</w:t>
      </w:r>
      <w:bookmarkEnd w:id="87"/>
      <w:bookmarkEnd w:id="88"/>
      <w:bookmarkEnd w:id="89"/>
    </w:p>
    <w:p w14:paraId="09EF9B9B">
      <w:pPr>
        <w:pStyle w:val="162"/>
      </w:pPr>
      <w:bookmarkStart w:id="90" w:name="_Toc15546904"/>
      <w:bookmarkStart w:id="91" w:name="_Toc15546902"/>
      <w:bookmarkStart w:id="92" w:name="_Hlk18065289"/>
      <w:r>
        <w:rPr>
          <w:rFonts w:hint="eastAsia"/>
        </w:rPr>
        <w:t>分拣场所的卫生设计应符合GBZ 1相关规定。</w:t>
      </w:r>
      <w:bookmarkEnd w:id="90"/>
    </w:p>
    <w:p w14:paraId="31AEC57F">
      <w:pPr>
        <w:pStyle w:val="162"/>
      </w:pPr>
      <w:r>
        <w:rPr>
          <w:rFonts w:hint="eastAsia"/>
        </w:rPr>
        <w:t>分拣场所地面应作防水、防渗处理，地面建设应符合G</w:t>
      </w:r>
      <w:r>
        <w:t>B 50037</w:t>
      </w:r>
      <w:r>
        <w:rPr>
          <w:rFonts w:hint="eastAsia"/>
        </w:rPr>
        <w:t>相关规定。</w:t>
      </w:r>
      <w:bookmarkEnd w:id="91"/>
    </w:p>
    <w:p w14:paraId="12769F4C">
      <w:pPr>
        <w:pStyle w:val="162"/>
      </w:pPr>
      <w:bookmarkStart w:id="93" w:name="_Toc15546905"/>
      <w:r>
        <w:rPr>
          <w:rFonts w:hint="eastAsia"/>
          <w:szCs w:val="21"/>
        </w:rPr>
        <w:t>分拣</w:t>
      </w:r>
      <w:r>
        <w:rPr>
          <w:szCs w:val="21"/>
        </w:rPr>
        <w:t>作业要注重安全生产，</w:t>
      </w:r>
      <w:r>
        <w:rPr>
          <w:rFonts w:hint="eastAsia"/>
          <w:szCs w:val="21"/>
        </w:rPr>
        <w:t>应符合GB/</w:t>
      </w:r>
      <w:r>
        <w:rPr>
          <w:szCs w:val="21"/>
        </w:rPr>
        <w:t>T</w:t>
      </w:r>
      <w:r>
        <w:rPr>
          <w:rFonts w:hint="eastAsia"/>
          <w:szCs w:val="21"/>
        </w:rPr>
        <w:t xml:space="preserve"> 12801相关规定。</w:t>
      </w:r>
    </w:p>
    <w:p w14:paraId="482E57F5">
      <w:pPr>
        <w:pStyle w:val="162"/>
      </w:pPr>
      <w:bookmarkStart w:id="94" w:name="_Toc15546903"/>
      <w:r>
        <w:rPr>
          <w:rFonts w:hint="eastAsia"/>
        </w:rPr>
        <w:t>不应露天分拣再生资源。</w:t>
      </w:r>
      <w:bookmarkEnd w:id="94"/>
    </w:p>
    <w:p w14:paraId="45EA60FD">
      <w:pPr>
        <w:pStyle w:val="162"/>
      </w:pPr>
      <w:r>
        <w:rPr>
          <w:rFonts w:hint="eastAsia"/>
        </w:rPr>
        <w:t>分拣作业应采用低噪、节能、高效的技术和设备，不应使用国家严令禁止的高能耗、高污染的技术和设备。</w:t>
      </w:r>
      <w:bookmarkEnd w:id="93"/>
    </w:p>
    <w:p w14:paraId="6D53D527">
      <w:pPr>
        <w:pStyle w:val="162"/>
      </w:pPr>
      <w:r>
        <w:rPr>
          <w:rFonts w:hint="eastAsia"/>
        </w:rPr>
        <w:t>应优化用能结构，在保证安全、质量的前提下减少不可再生能源投入，宜使用可再生能源替代不可再生能源。</w:t>
      </w:r>
    </w:p>
    <w:p w14:paraId="146278D1">
      <w:pPr>
        <w:pStyle w:val="162"/>
      </w:pPr>
      <w:bookmarkStart w:id="95" w:name="_Toc15546877"/>
      <w:r>
        <w:rPr>
          <w:rFonts w:hint="eastAsia"/>
        </w:rPr>
        <w:t>再生资源的分类和鉴别按照相应的国家标准或行业标准执行。</w:t>
      </w:r>
      <w:bookmarkEnd w:id="92"/>
      <w:bookmarkEnd w:id="95"/>
      <w:bookmarkStart w:id="96" w:name="_Toc15546900"/>
    </w:p>
    <w:p w14:paraId="2460F99C">
      <w:pPr>
        <w:pStyle w:val="162"/>
      </w:pPr>
      <w:r>
        <w:rPr>
          <w:rFonts w:hint="eastAsia"/>
          <w:szCs w:val="21"/>
        </w:rPr>
        <w:t>分拣</w:t>
      </w:r>
      <w:r>
        <w:rPr>
          <w:szCs w:val="21"/>
        </w:rPr>
        <w:t>过程宜</w:t>
      </w:r>
      <w:r>
        <w:rPr>
          <w:rFonts w:hint="eastAsia"/>
          <w:szCs w:val="21"/>
        </w:rPr>
        <w:t>实施</w:t>
      </w:r>
      <w:r>
        <w:rPr>
          <w:szCs w:val="21"/>
        </w:rPr>
        <w:t>精细分选</w:t>
      </w:r>
      <w:r>
        <w:rPr>
          <w:rFonts w:hint="eastAsia"/>
          <w:szCs w:val="21"/>
        </w:rPr>
        <w:t>，推进</w:t>
      </w:r>
      <w:r>
        <w:rPr>
          <w:szCs w:val="21"/>
        </w:rPr>
        <w:t>全组分</w:t>
      </w:r>
      <w:r>
        <w:rPr>
          <w:rFonts w:hint="eastAsia"/>
          <w:szCs w:val="21"/>
        </w:rPr>
        <w:t>回收利用</w:t>
      </w:r>
      <w:r>
        <w:rPr>
          <w:szCs w:val="21"/>
        </w:rPr>
        <w:t>，减少</w:t>
      </w:r>
      <w:r>
        <w:rPr>
          <w:rFonts w:hint="eastAsia"/>
          <w:szCs w:val="21"/>
        </w:rPr>
        <w:t>固体</w:t>
      </w:r>
      <w:r>
        <w:rPr>
          <w:szCs w:val="21"/>
        </w:rPr>
        <w:t>废物</w:t>
      </w:r>
      <w:r>
        <w:rPr>
          <w:rFonts w:hint="eastAsia"/>
          <w:szCs w:val="21"/>
        </w:rPr>
        <w:t>排放</w:t>
      </w:r>
      <w:r>
        <w:rPr>
          <w:szCs w:val="21"/>
        </w:rPr>
        <w:t>。</w:t>
      </w:r>
      <w:r>
        <w:rPr>
          <w:rFonts w:hint="eastAsia"/>
        </w:rPr>
        <w:t>不能利用的固体废物应分类暂存或直接送至有资质单位进行无害化处理，不应随意破碎、堆放、丢弃、转移、倾倒和焚烧。</w:t>
      </w:r>
      <w:bookmarkEnd w:id="96"/>
    </w:p>
    <w:p w14:paraId="0D738D08">
      <w:pPr>
        <w:pStyle w:val="162"/>
      </w:pPr>
      <w:bookmarkStart w:id="97" w:name="_Toc15546908"/>
      <w:r>
        <w:rPr>
          <w:rFonts w:hint="eastAsia"/>
        </w:rPr>
        <w:t>分拣过程产生的粉尘应执行GB 16297相关规定。</w:t>
      </w:r>
      <w:bookmarkEnd w:id="97"/>
    </w:p>
    <w:p w14:paraId="6FFAA20C">
      <w:pPr>
        <w:pStyle w:val="162"/>
      </w:pPr>
      <w:bookmarkStart w:id="98" w:name="_Toc15546909"/>
      <w:r>
        <w:rPr>
          <w:rFonts w:hint="eastAsia"/>
        </w:rPr>
        <w:t>分拣</w:t>
      </w:r>
      <w:bookmarkEnd w:id="98"/>
      <w:r>
        <w:rPr>
          <w:rFonts w:hint="eastAsia"/>
        </w:rPr>
        <w:t>过程应进行减噪处理，并执行</w:t>
      </w:r>
      <w:r>
        <w:t>GB 12348</w:t>
      </w:r>
      <w:r>
        <w:rPr>
          <w:rFonts w:hint="eastAsia"/>
        </w:rPr>
        <w:t>相关规定。</w:t>
      </w:r>
    </w:p>
    <w:p w14:paraId="1E722D75">
      <w:pPr>
        <w:pStyle w:val="162"/>
      </w:pPr>
      <w:r>
        <w:rPr>
          <w:rFonts w:hint="eastAsia"/>
          <w:szCs w:val="21"/>
        </w:rPr>
        <w:t>分拣过程涉及浮选</w:t>
      </w:r>
      <w:r>
        <w:rPr>
          <w:szCs w:val="21"/>
        </w:rPr>
        <w:t>和</w:t>
      </w:r>
      <w:r>
        <w:rPr>
          <w:rFonts w:hint="eastAsia"/>
          <w:szCs w:val="21"/>
        </w:rPr>
        <w:t>清洗环节的，应具备污水收集和处理系统，并实现循环使用。</w:t>
      </w:r>
    </w:p>
    <w:p w14:paraId="292F2544">
      <w:pPr>
        <w:pStyle w:val="162"/>
      </w:pPr>
      <w:r>
        <w:rPr>
          <w:rFonts w:hint="eastAsia"/>
        </w:rPr>
        <w:t>废水排放应符合G</w:t>
      </w:r>
      <w:r>
        <w:t>B 8978</w:t>
      </w:r>
      <w:r>
        <w:rPr>
          <w:rFonts w:hint="eastAsia"/>
        </w:rPr>
        <w:t>或地方水污染排放标准。</w:t>
      </w:r>
    </w:p>
    <w:p w14:paraId="5B2D4145">
      <w:pPr>
        <w:pStyle w:val="162"/>
      </w:pPr>
      <w:r>
        <w:rPr>
          <w:rFonts w:hint="eastAsia"/>
        </w:rPr>
        <w:t>绿色绩效指标应符合S</w:t>
      </w:r>
      <w:r>
        <w:t>B/T 10720</w:t>
      </w:r>
      <w:r>
        <w:rPr>
          <w:rFonts w:hint="eastAsia"/>
        </w:rPr>
        <w:t>的相关要求。</w:t>
      </w:r>
    </w:p>
    <w:p w14:paraId="36CE9A45">
      <w:pPr>
        <w:pStyle w:val="104"/>
        <w:spacing w:before="240" w:after="240"/>
      </w:pPr>
      <w:bookmarkStart w:id="99" w:name="_Toc174318710"/>
      <w:r>
        <w:rPr>
          <w:rFonts w:hint="eastAsia"/>
        </w:rPr>
        <w:t>包装要求</w:t>
      </w:r>
      <w:bookmarkEnd w:id="99"/>
    </w:p>
    <w:p w14:paraId="11ABAB3C">
      <w:pPr>
        <w:pStyle w:val="162"/>
      </w:pPr>
      <w:r>
        <w:rPr>
          <w:rFonts w:hint="eastAsia"/>
        </w:rPr>
        <w:t>分拣</w:t>
      </w:r>
      <w:r>
        <w:t>后的再生资源</w:t>
      </w:r>
      <w:r>
        <w:rPr>
          <w:rFonts w:hint="eastAsia"/>
        </w:rPr>
        <w:t>应</w:t>
      </w:r>
      <w:r>
        <w:t>进行分类包装，根据物料的形状，选择袋装、箱装、捆装或散装等适合的包装</w:t>
      </w:r>
      <w:r>
        <w:rPr>
          <w:rFonts w:hint="eastAsia"/>
        </w:rPr>
        <w:t>方式</w:t>
      </w:r>
      <w:r>
        <w:t>进行包装。</w:t>
      </w:r>
    </w:p>
    <w:p w14:paraId="70D832DB">
      <w:pPr>
        <w:pStyle w:val="162"/>
      </w:pPr>
      <w:r>
        <w:rPr>
          <w:rFonts w:hint="eastAsia"/>
        </w:rPr>
        <w:t>包装</w:t>
      </w:r>
      <w:r>
        <w:t>单元</w:t>
      </w:r>
      <w:r>
        <w:rPr>
          <w:rFonts w:hint="eastAsia"/>
        </w:rPr>
        <w:t>应</w:t>
      </w:r>
      <w:r>
        <w:t>根据</w:t>
      </w:r>
      <w:r>
        <w:rPr>
          <w:rFonts w:hint="eastAsia"/>
        </w:rPr>
        <w:t>再生</w:t>
      </w:r>
      <w:r>
        <w:t>资源的形状</w:t>
      </w:r>
      <w:r>
        <w:rPr>
          <w:rFonts w:hint="eastAsia"/>
        </w:rPr>
        <w:t>规定</w:t>
      </w:r>
      <w:r>
        <w:t>适当的重量单元</w:t>
      </w:r>
      <w:r>
        <w:rPr>
          <w:rFonts w:hint="eastAsia"/>
        </w:rPr>
        <w:t>或</w:t>
      </w:r>
      <w:r>
        <w:t>体积模数，重量</w:t>
      </w:r>
      <w:r>
        <w:rPr>
          <w:rFonts w:hint="eastAsia"/>
        </w:rPr>
        <w:t>单元</w:t>
      </w:r>
      <w:r>
        <w:t>系列可</w:t>
      </w:r>
      <w:r>
        <w:rPr>
          <w:rFonts w:hint="eastAsia"/>
        </w:rPr>
        <w:t>优选0.5吨</w:t>
      </w:r>
      <w:r>
        <w:t>、</w:t>
      </w:r>
      <w:r>
        <w:rPr>
          <w:rFonts w:hint="eastAsia"/>
        </w:rPr>
        <w:t>1吨</w:t>
      </w:r>
      <w:r>
        <w:t>，体积模数</w:t>
      </w:r>
      <w:r>
        <w:rPr>
          <w:rFonts w:hint="eastAsia"/>
        </w:rPr>
        <w:t>结合</w:t>
      </w:r>
      <w:r>
        <w:t>运输车辆的</w:t>
      </w:r>
      <w:r>
        <w:rPr>
          <w:rFonts w:hint="eastAsia"/>
        </w:rPr>
        <w:t>规格</w:t>
      </w:r>
      <w:r>
        <w:t>确定，</w:t>
      </w:r>
      <w:r>
        <w:rPr>
          <w:rFonts w:hint="eastAsia"/>
        </w:rPr>
        <w:t>优选</w:t>
      </w:r>
      <w:r>
        <w:t>模数为600mm×400mm</w:t>
      </w:r>
      <w:r>
        <w:rPr>
          <w:rFonts w:hint="eastAsia"/>
        </w:rPr>
        <w:t>、</w:t>
      </w:r>
      <w:r>
        <w:t>1200mm×1000mm</w:t>
      </w:r>
      <w:r>
        <w:rPr>
          <w:rFonts w:hint="eastAsia"/>
        </w:rPr>
        <w:t>。</w:t>
      </w:r>
    </w:p>
    <w:p w14:paraId="7180D46E">
      <w:pPr>
        <w:pStyle w:val="162"/>
      </w:pPr>
      <w:r>
        <w:rPr>
          <w:rFonts w:hint="eastAsia"/>
        </w:rPr>
        <w:t>包装</w:t>
      </w:r>
      <w:r>
        <w:t>单元</w:t>
      </w:r>
      <w:r>
        <w:rPr>
          <w:rFonts w:hint="eastAsia"/>
        </w:rPr>
        <w:t>应</w:t>
      </w:r>
      <w:r>
        <w:t>携带</w:t>
      </w:r>
      <w:r>
        <w:rPr>
          <w:rFonts w:hint="eastAsia"/>
        </w:rPr>
        <w:t>物料</w:t>
      </w:r>
      <w:r>
        <w:t>标签，</w:t>
      </w:r>
      <w:r>
        <w:rPr>
          <w:rFonts w:hint="eastAsia"/>
        </w:rPr>
        <w:t>标明回收再</w:t>
      </w:r>
      <w:r>
        <w:t>生</w:t>
      </w:r>
      <w:r>
        <w:rPr>
          <w:rFonts w:hint="eastAsia"/>
        </w:rPr>
        <w:t>资源</w:t>
      </w:r>
      <w:r>
        <w:t>的种类、名称、材质、数量、重量和质量等级</w:t>
      </w:r>
      <w:r>
        <w:rPr>
          <w:rFonts w:hint="eastAsia"/>
        </w:rPr>
        <w:t>等</w:t>
      </w:r>
      <w:r>
        <w:t>信息。</w:t>
      </w:r>
    </w:p>
    <w:p w14:paraId="4832DEBD">
      <w:pPr>
        <w:pStyle w:val="162"/>
      </w:pPr>
      <w:r>
        <w:rPr>
          <w:rFonts w:hint="eastAsia"/>
          <w:szCs w:val="21"/>
        </w:rPr>
        <w:t>包装</w:t>
      </w:r>
      <w:r>
        <w:rPr>
          <w:szCs w:val="21"/>
        </w:rPr>
        <w:t>后的再生资源</w:t>
      </w:r>
      <w:r>
        <w:rPr>
          <w:rFonts w:hint="eastAsia"/>
          <w:szCs w:val="21"/>
        </w:rPr>
        <w:t>应</w:t>
      </w:r>
      <w:r>
        <w:rPr>
          <w:szCs w:val="21"/>
        </w:rPr>
        <w:t>分类</w:t>
      </w:r>
      <w:r>
        <w:rPr>
          <w:rFonts w:hint="eastAsia"/>
          <w:szCs w:val="21"/>
        </w:rPr>
        <w:t>贮存，贮存要求见第7章</w:t>
      </w:r>
      <w:r>
        <w:rPr>
          <w:szCs w:val="21"/>
        </w:rPr>
        <w:t>。</w:t>
      </w:r>
    </w:p>
    <w:p w14:paraId="15AB64EB">
      <w:pPr>
        <w:pStyle w:val="104"/>
        <w:spacing w:before="240" w:after="240"/>
      </w:pPr>
      <w:bookmarkStart w:id="100" w:name="_Toc174318711"/>
      <w:r>
        <w:rPr>
          <w:rFonts w:hint="eastAsia"/>
        </w:rPr>
        <w:t>管理要求</w:t>
      </w:r>
      <w:bookmarkEnd w:id="100"/>
    </w:p>
    <w:p w14:paraId="344E4AFC">
      <w:pPr>
        <w:pStyle w:val="162"/>
      </w:pPr>
      <w:bookmarkStart w:id="101" w:name="_Toc15546867"/>
      <w:bookmarkStart w:id="102" w:name="_Toc15546911"/>
      <w:bookmarkStart w:id="103" w:name="_Hlk18065411"/>
      <w:r>
        <w:rPr>
          <w:rFonts w:hint="eastAsia"/>
        </w:rPr>
        <w:t>按照</w:t>
      </w:r>
      <w:r>
        <w:rPr>
          <w:rFonts w:hint="eastAsia" w:hAnsi="宋体"/>
        </w:rPr>
        <w:t>GB/T 19001、</w:t>
      </w:r>
      <w:r>
        <w:rPr>
          <w:rFonts w:hint="eastAsia"/>
        </w:rPr>
        <w:t>GB/T 24001</w:t>
      </w:r>
      <w:r>
        <w:rPr>
          <w:rFonts w:hint="eastAsia" w:hAnsi="宋体"/>
        </w:rPr>
        <w:t>、</w:t>
      </w:r>
      <w:r>
        <w:rPr>
          <w:rFonts w:hint="eastAsia"/>
        </w:rPr>
        <w:t>GB/T 45001和G</w:t>
      </w:r>
      <w:r>
        <w:t>B/T 23331</w:t>
      </w:r>
      <w:r>
        <w:rPr>
          <w:rFonts w:hint="eastAsia"/>
        </w:rPr>
        <w:t>建立、实施并保持质量管理体系、环境管理体系</w:t>
      </w:r>
      <w:r>
        <w:rPr>
          <w:rFonts w:hint="eastAsia" w:hAnsi="宋体"/>
        </w:rPr>
        <w:t>、</w:t>
      </w:r>
      <w:r>
        <w:rPr>
          <w:rFonts w:hint="eastAsia"/>
        </w:rPr>
        <w:t>职业健康安全管理体系和能源管理体系。</w:t>
      </w:r>
      <w:bookmarkEnd w:id="101"/>
    </w:p>
    <w:p w14:paraId="630C3CDE">
      <w:pPr>
        <w:pStyle w:val="162"/>
      </w:pPr>
      <w:r>
        <w:rPr>
          <w:rFonts w:hint="eastAsia"/>
        </w:rPr>
        <w:t>应设置环境保护、安全部门，为员工提供必要的安全保障和防护，并为员工提供有关劳动保护和应急救援方面的培训，使员工熟悉相关规章制度和操作规程，掌握本岗位的安全操作技能，了解再生资源的性质、包装容器的使用特性和发生事故时的应急措施。</w:t>
      </w:r>
    </w:p>
    <w:p w14:paraId="647FE04D">
      <w:pPr>
        <w:pStyle w:val="162"/>
      </w:pPr>
      <w:r>
        <w:rPr>
          <w:szCs w:val="21"/>
        </w:rPr>
        <w:t>作业人员</w:t>
      </w:r>
      <w:r>
        <w:rPr>
          <w:rFonts w:hint="eastAsia"/>
          <w:szCs w:val="21"/>
        </w:rPr>
        <w:t>应</w:t>
      </w:r>
      <w:r>
        <w:rPr>
          <w:szCs w:val="21"/>
        </w:rPr>
        <w:t>经过</w:t>
      </w:r>
      <w:r>
        <w:rPr>
          <w:rFonts w:hint="eastAsia"/>
          <w:szCs w:val="21"/>
        </w:rPr>
        <w:t>所</w:t>
      </w:r>
      <w:r>
        <w:rPr>
          <w:szCs w:val="21"/>
        </w:rPr>
        <w:t>从事回收领域</w:t>
      </w:r>
      <w:r>
        <w:rPr>
          <w:rFonts w:hint="eastAsia"/>
          <w:szCs w:val="21"/>
        </w:rPr>
        <w:t>相关</w:t>
      </w:r>
      <w:r>
        <w:rPr>
          <w:szCs w:val="21"/>
        </w:rPr>
        <w:t>的</w:t>
      </w:r>
      <w:r>
        <w:rPr>
          <w:rFonts w:hint="eastAsia"/>
          <w:szCs w:val="21"/>
        </w:rPr>
        <w:t>专业</w:t>
      </w:r>
      <w:r>
        <w:rPr>
          <w:szCs w:val="21"/>
        </w:rPr>
        <w:t>培训，</w:t>
      </w:r>
      <w:r>
        <w:rPr>
          <w:rFonts w:hint="eastAsia"/>
          <w:szCs w:val="21"/>
        </w:rPr>
        <w:t>具备</w:t>
      </w:r>
      <w:r>
        <w:rPr>
          <w:szCs w:val="21"/>
        </w:rPr>
        <w:t>必要的</w:t>
      </w:r>
      <w:r>
        <w:rPr>
          <w:rFonts w:hint="eastAsia"/>
          <w:szCs w:val="21"/>
        </w:rPr>
        <w:t>专业</w:t>
      </w:r>
      <w:r>
        <w:rPr>
          <w:szCs w:val="21"/>
        </w:rPr>
        <w:t>知识</w:t>
      </w:r>
      <w:r>
        <w:rPr>
          <w:rFonts w:hint="eastAsia"/>
          <w:szCs w:val="21"/>
        </w:rPr>
        <w:t>和</w:t>
      </w:r>
      <w:r>
        <w:rPr>
          <w:szCs w:val="21"/>
        </w:rPr>
        <w:t>专业技能。</w:t>
      </w:r>
    </w:p>
    <w:p w14:paraId="0A370781">
      <w:pPr>
        <w:pStyle w:val="162"/>
      </w:pPr>
      <w:r>
        <w:rPr>
          <w:rFonts w:hint="eastAsia"/>
          <w:szCs w:val="21"/>
        </w:rPr>
        <w:t>宜加强绿色供应链管理，与上下游企业合作发展产业链。</w:t>
      </w:r>
    </w:p>
    <w:p w14:paraId="37BA6939">
      <w:pPr>
        <w:pStyle w:val="162"/>
      </w:pPr>
      <w:r>
        <w:rPr>
          <w:rFonts w:hint="eastAsia"/>
          <w:szCs w:val="21"/>
        </w:rPr>
        <w:t>应</w:t>
      </w:r>
      <w:r>
        <w:rPr>
          <w:szCs w:val="21"/>
        </w:rPr>
        <w:t>建立</w:t>
      </w:r>
      <w:r>
        <w:rPr>
          <w:rFonts w:hint="eastAsia"/>
          <w:szCs w:val="21"/>
        </w:rPr>
        <w:t>再生资源</w:t>
      </w:r>
      <w:r>
        <w:rPr>
          <w:szCs w:val="21"/>
        </w:rPr>
        <w:t>收集、</w:t>
      </w:r>
      <w:r>
        <w:rPr>
          <w:rFonts w:hint="eastAsia"/>
          <w:szCs w:val="21"/>
        </w:rPr>
        <w:t>贮存</w:t>
      </w:r>
      <w:r>
        <w:rPr>
          <w:szCs w:val="21"/>
        </w:rPr>
        <w:t>、运输、分拣和包装</w:t>
      </w:r>
      <w:r>
        <w:rPr>
          <w:rFonts w:hint="eastAsia"/>
          <w:szCs w:val="21"/>
        </w:rPr>
        <w:t>过程的</w:t>
      </w:r>
      <w:r>
        <w:rPr>
          <w:szCs w:val="21"/>
        </w:rPr>
        <w:t>作业</w:t>
      </w:r>
      <w:r>
        <w:rPr>
          <w:rFonts w:hint="eastAsia"/>
          <w:szCs w:val="21"/>
        </w:rPr>
        <w:t>规程，收集</w:t>
      </w:r>
      <w:r>
        <w:rPr>
          <w:szCs w:val="21"/>
        </w:rPr>
        <w:t>过程还</w:t>
      </w:r>
      <w:r>
        <w:rPr>
          <w:rFonts w:hint="eastAsia"/>
          <w:szCs w:val="21"/>
        </w:rPr>
        <w:t>应制定</w:t>
      </w:r>
      <w:r>
        <w:rPr>
          <w:szCs w:val="21"/>
        </w:rPr>
        <w:t>服务规范。</w:t>
      </w:r>
    </w:p>
    <w:p w14:paraId="1450D60E">
      <w:pPr>
        <w:pStyle w:val="162"/>
      </w:pPr>
      <w:r>
        <w:rPr>
          <w:rFonts w:hint="eastAsia"/>
        </w:rPr>
        <w:t>应制定切实可行的绿色回收实施方案，并明确绿色回收目标和可量化指标。</w:t>
      </w:r>
    </w:p>
    <w:p w14:paraId="28717A2A">
      <w:pPr>
        <w:pStyle w:val="162"/>
      </w:pPr>
      <w:r>
        <w:rPr>
          <w:rFonts w:hint="eastAsia"/>
        </w:rPr>
        <w:t>应建立相应绿色回收的考核及奖励制度，由企业管理者具体负责创建活动。</w:t>
      </w:r>
    </w:p>
    <w:p w14:paraId="6F5D336F">
      <w:pPr>
        <w:pStyle w:val="162"/>
      </w:pPr>
      <w:r>
        <w:rPr>
          <w:rFonts w:hint="eastAsia"/>
        </w:rPr>
        <w:t>应按照GB/T 13861的规定进行危险有害因素分析。</w:t>
      </w:r>
      <w:bookmarkEnd w:id="102"/>
    </w:p>
    <w:p w14:paraId="0E64B6F5">
      <w:pPr>
        <w:pStyle w:val="162"/>
      </w:pPr>
      <w:bookmarkStart w:id="104" w:name="_Toc15546912"/>
      <w:r>
        <w:rPr>
          <w:rFonts w:hint="eastAsia"/>
        </w:rPr>
        <w:t>应按照GB/T 29639的规定，结合自身的具体情况，制定切实可行的各类事故应急预案，包括但不限于：</w:t>
      </w:r>
      <w:bookmarkEnd w:id="104"/>
    </w:p>
    <w:bookmarkEnd w:id="103"/>
    <w:p w14:paraId="5E61AC62">
      <w:pPr>
        <w:pStyle w:val="174"/>
      </w:pPr>
      <w:r>
        <w:rPr>
          <w:rFonts w:hint="eastAsia"/>
        </w:rPr>
        <w:t>火灾事故应急预案；</w:t>
      </w:r>
    </w:p>
    <w:p w14:paraId="6004A9BE">
      <w:pPr>
        <w:pStyle w:val="174"/>
      </w:pPr>
      <w:r>
        <w:rPr>
          <w:rFonts w:hint="eastAsia"/>
        </w:rPr>
        <w:t>爆炸事故应急预案；</w:t>
      </w:r>
    </w:p>
    <w:p w14:paraId="76188490">
      <w:pPr>
        <w:pStyle w:val="174"/>
      </w:pPr>
      <w:r>
        <w:rPr>
          <w:rFonts w:hint="eastAsia"/>
        </w:rPr>
        <w:t>有毒有害物质泄漏事故应急预案；</w:t>
      </w:r>
    </w:p>
    <w:p w14:paraId="66AD0C05">
      <w:pPr>
        <w:pStyle w:val="174"/>
      </w:pPr>
      <w:r>
        <w:rPr>
          <w:rFonts w:hint="eastAsia"/>
        </w:rPr>
        <w:t>贮存设施破损事故应急预案；</w:t>
      </w:r>
    </w:p>
    <w:p w14:paraId="478790E0">
      <w:pPr>
        <w:pStyle w:val="174"/>
      </w:pPr>
      <w:r>
        <w:rPr>
          <w:rFonts w:hint="eastAsia"/>
        </w:rPr>
        <w:t>操作人员伤亡事故应急预案；</w:t>
      </w:r>
    </w:p>
    <w:p w14:paraId="28E09D81">
      <w:pPr>
        <w:pStyle w:val="174"/>
      </w:pPr>
      <w:r>
        <w:rPr>
          <w:rFonts w:hint="eastAsia"/>
        </w:rPr>
        <w:t>交通事故应急预案。</w:t>
      </w:r>
    </w:p>
    <w:p w14:paraId="2D8DDB9B">
      <w:pPr>
        <w:pStyle w:val="104"/>
        <w:spacing w:before="240" w:after="240"/>
      </w:pPr>
      <w:bookmarkStart w:id="105" w:name="_Toc174318712"/>
      <w:r>
        <w:rPr>
          <w:rFonts w:hint="eastAsia"/>
        </w:rPr>
        <w:t>信息管理要求</w:t>
      </w:r>
      <w:bookmarkEnd w:id="105"/>
    </w:p>
    <w:p w14:paraId="6F8EB87F">
      <w:pPr>
        <w:pStyle w:val="162"/>
      </w:pPr>
      <w:r>
        <w:rPr>
          <w:rFonts w:hint="eastAsia"/>
          <w:szCs w:val="21"/>
        </w:rPr>
        <w:t>回收作业过程应</w:t>
      </w:r>
      <w:r>
        <w:rPr>
          <w:szCs w:val="21"/>
        </w:rPr>
        <w:t>有健全的生产记录，</w:t>
      </w:r>
      <w:r>
        <w:rPr>
          <w:rFonts w:hint="eastAsia"/>
          <w:szCs w:val="21"/>
        </w:rPr>
        <w:t>记录</w:t>
      </w:r>
      <w:r>
        <w:rPr>
          <w:szCs w:val="21"/>
        </w:rPr>
        <w:t>内容</w:t>
      </w:r>
      <w:r>
        <w:rPr>
          <w:rFonts w:hint="eastAsia"/>
          <w:szCs w:val="21"/>
        </w:rPr>
        <w:t>包括</w:t>
      </w:r>
      <w:r>
        <w:rPr>
          <w:szCs w:val="21"/>
        </w:rPr>
        <w:t>但不限于生产过程的品种、数量、重量、质量等。</w:t>
      </w:r>
    </w:p>
    <w:p w14:paraId="12B7C0F4">
      <w:pPr>
        <w:pStyle w:val="162"/>
      </w:pPr>
      <w:r>
        <w:rPr>
          <w:szCs w:val="21"/>
        </w:rPr>
        <w:t>收集、</w:t>
      </w:r>
      <w:r>
        <w:rPr>
          <w:rFonts w:hint="eastAsia"/>
          <w:szCs w:val="21"/>
        </w:rPr>
        <w:t>贮存</w:t>
      </w:r>
      <w:r>
        <w:rPr>
          <w:szCs w:val="21"/>
        </w:rPr>
        <w:t>、运输、分拣和包装作业过程之间</w:t>
      </w:r>
      <w:r>
        <w:rPr>
          <w:rFonts w:hint="eastAsia"/>
          <w:szCs w:val="21"/>
        </w:rPr>
        <w:t>应</w:t>
      </w:r>
      <w:r>
        <w:rPr>
          <w:szCs w:val="21"/>
        </w:rPr>
        <w:t>建立传递或出入库台账</w:t>
      </w:r>
      <w:r>
        <w:rPr>
          <w:rFonts w:hint="eastAsia"/>
          <w:szCs w:val="21"/>
        </w:rPr>
        <w:t>。</w:t>
      </w:r>
    </w:p>
    <w:p w14:paraId="09163E0B">
      <w:pPr>
        <w:pStyle w:val="162"/>
      </w:pPr>
      <w:r>
        <w:rPr>
          <w:rFonts w:hint="eastAsia"/>
          <w:szCs w:val="21"/>
        </w:rPr>
        <w:t>生产作业记录</w:t>
      </w:r>
      <w:r>
        <w:rPr>
          <w:szCs w:val="21"/>
        </w:rPr>
        <w:t>数据、</w:t>
      </w:r>
      <w:r>
        <w:rPr>
          <w:rFonts w:hint="eastAsia"/>
          <w:szCs w:val="21"/>
        </w:rPr>
        <w:t>台账</w:t>
      </w:r>
      <w:r>
        <w:rPr>
          <w:szCs w:val="21"/>
        </w:rPr>
        <w:t>资料</w:t>
      </w:r>
      <w:r>
        <w:rPr>
          <w:rFonts w:hint="eastAsia"/>
          <w:szCs w:val="21"/>
        </w:rPr>
        <w:t>的保存期限</w:t>
      </w:r>
      <w:r>
        <w:rPr>
          <w:rFonts w:hint="eastAsia"/>
        </w:rPr>
        <w:t>不应少于两年。</w:t>
      </w:r>
    </w:p>
    <w:p w14:paraId="294F490D">
      <w:pPr>
        <w:pStyle w:val="162"/>
      </w:pPr>
      <w:r>
        <w:rPr>
          <w:rFonts w:hint="eastAsia"/>
          <w:szCs w:val="21"/>
        </w:rPr>
        <w:t>应</w:t>
      </w:r>
      <w:r>
        <w:rPr>
          <w:szCs w:val="21"/>
        </w:rPr>
        <w:t>建立回收管理信息系统，或依托第三方平台开展回收管理工作。</w:t>
      </w:r>
    </w:p>
    <w:p w14:paraId="720A96E8">
      <w:pPr>
        <w:pStyle w:val="162"/>
      </w:pPr>
      <w:r>
        <w:rPr>
          <w:rFonts w:hint="eastAsia"/>
        </w:rPr>
        <w:t>应</w:t>
      </w:r>
      <w:r>
        <w:rPr>
          <w:rFonts w:hint="eastAsia"/>
          <w:szCs w:val="21"/>
        </w:rPr>
        <w:t>依托</w:t>
      </w:r>
      <w:r>
        <w:rPr>
          <w:szCs w:val="21"/>
        </w:rPr>
        <w:t>回收平台</w:t>
      </w:r>
      <w:r>
        <w:rPr>
          <w:rFonts w:hint="eastAsia"/>
          <w:szCs w:val="21"/>
        </w:rPr>
        <w:t>或</w:t>
      </w:r>
      <w:r>
        <w:rPr>
          <w:szCs w:val="21"/>
        </w:rPr>
        <w:t>管理信息</w:t>
      </w:r>
      <w:r>
        <w:rPr>
          <w:rFonts w:hint="eastAsia"/>
          <w:szCs w:val="21"/>
        </w:rPr>
        <w:t>系统</w:t>
      </w:r>
      <w:r>
        <w:rPr>
          <w:szCs w:val="21"/>
        </w:rPr>
        <w:t>，</w:t>
      </w:r>
      <w:r>
        <w:rPr>
          <w:rFonts w:hint="eastAsia"/>
          <w:szCs w:val="21"/>
        </w:rPr>
        <w:t>建立溯源系统，并利用互联网、物联网等现代信息技术记录相关信息，实现全程可追溯。</w:t>
      </w:r>
    </w:p>
    <w:p w14:paraId="483AECBE">
      <w:pPr>
        <w:pStyle w:val="104"/>
        <w:spacing w:before="240" w:after="240"/>
      </w:pPr>
      <w:bookmarkStart w:id="106" w:name="_Toc174318713"/>
      <w:r>
        <w:rPr>
          <w:rFonts w:hint="eastAsia"/>
        </w:rPr>
        <w:t>证实方法</w:t>
      </w:r>
      <w:bookmarkEnd w:id="106"/>
    </w:p>
    <w:p w14:paraId="528FF80B">
      <w:pPr>
        <w:pStyle w:val="56"/>
        <w:ind w:firstLine="420"/>
      </w:pPr>
      <w:r>
        <w:rPr>
          <w:rFonts w:hint="eastAsia"/>
        </w:rPr>
        <w:t>本文件第4章</w:t>
      </w:r>
      <w:r>
        <w:rPr>
          <w:rFonts w:hint="eastAsia" w:hAnsi="宋体"/>
        </w:rPr>
        <w:t>～</w:t>
      </w:r>
      <w:r>
        <w:rPr>
          <w:rFonts w:hint="eastAsia"/>
        </w:rPr>
        <w:t>第</w:t>
      </w:r>
      <w:r>
        <w:t>11</w:t>
      </w:r>
      <w:r>
        <w:rPr>
          <w:rFonts w:hint="eastAsia"/>
        </w:rPr>
        <w:t>章所有要求或其中部分要求的证实方法如下：</w:t>
      </w:r>
    </w:p>
    <w:p w14:paraId="72BBE36F">
      <w:pPr>
        <w:pStyle w:val="132"/>
      </w:pPr>
      <w:r>
        <w:rPr>
          <w:rFonts w:hint="eastAsia"/>
        </w:rPr>
        <w:t>建立评价机制，开展自我评价；</w:t>
      </w:r>
    </w:p>
    <w:p w14:paraId="663A6B74">
      <w:pPr>
        <w:pStyle w:val="132"/>
        <w:rPr>
          <w:rFonts w:hAnsi="宋体"/>
          <w:bCs/>
          <w:szCs w:val="21"/>
        </w:rPr>
      </w:pPr>
      <w:r>
        <w:rPr>
          <w:rFonts w:hint="eastAsia" w:hAnsi="宋体"/>
          <w:bCs/>
          <w:szCs w:val="21"/>
        </w:rPr>
        <w:t>寻求组织的相关方（如顾客）对其符合性进行确认；</w:t>
      </w:r>
    </w:p>
    <w:p w14:paraId="3B25E258">
      <w:pPr>
        <w:pStyle w:val="132"/>
        <w:rPr>
          <w:rFonts w:hAnsi="宋体"/>
          <w:bCs/>
          <w:szCs w:val="21"/>
        </w:rPr>
      </w:pPr>
      <w:r>
        <w:rPr>
          <w:rFonts w:hint="eastAsia" w:hAnsi="宋体"/>
          <w:bCs/>
          <w:szCs w:val="21"/>
        </w:rPr>
        <w:t>寻求组织的外部机构对其自我</w:t>
      </w:r>
      <w:r>
        <w:rPr>
          <w:rFonts w:hint="eastAsia"/>
        </w:rPr>
        <w:t>评价</w:t>
      </w:r>
      <w:r>
        <w:rPr>
          <w:rFonts w:hint="eastAsia" w:hAnsi="宋体"/>
          <w:bCs/>
          <w:szCs w:val="21"/>
        </w:rPr>
        <w:t>的确认；</w:t>
      </w:r>
    </w:p>
    <w:p w14:paraId="011A7D16">
      <w:pPr>
        <w:pStyle w:val="132"/>
      </w:pPr>
      <w:r>
        <w:rPr>
          <w:rFonts w:hint="eastAsia" w:hAnsi="宋体"/>
          <w:bCs/>
          <w:szCs w:val="21"/>
        </w:rPr>
        <w:t>寻求外部组织对其绿色回收活动进行认证。</w:t>
      </w:r>
    </w:p>
    <w:p w14:paraId="44F10983">
      <w:pPr>
        <w:pStyle w:val="56"/>
        <w:ind w:firstLine="420"/>
      </w:pPr>
    </w:p>
    <w:p w14:paraId="0A62B5C2">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start="1"/>
          <w:cols w:space="425" w:num="1"/>
          <w:formProt w:val="0"/>
          <w:docGrid w:linePitch="312" w:charSpace="0"/>
        </w:sectPr>
      </w:pPr>
    </w:p>
    <w:bookmarkEnd w:id="26"/>
    <w:p w14:paraId="631EEB2B">
      <w:pPr>
        <w:pStyle w:val="198"/>
      </w:pPr>
      <w:bookmarkStart w:id="107" w:name="BookMark5"/>
    </w:p>
    <w:p w14:paraId="49AD87FA">
      <w:pPr>
        <w:pStyle w:val="199"/>
      </w:pPr>
    </w:p>
    <w:p w14:paraId="2C48CE28">
      <w:pPr>
        <w:pStyle w:val="76"/>
        <w:spacing w:after="120"/>
      </w:pPr>
      <w:r>
        <w:br w:type="textWrapping"/>
      </w:r>
      <w:bookmarkStart w:id="108" w:name="_Toc174318714"/>
      <w:r>
        <w:rPr>
          <w:rFonts w:hint="eastAsia"/>
        </w:rPr>
        <w:t>（资料性）</w:t>
      </w:r>
      <w:r>
        <w:br w:type="textWrapping"/>
      </w:r>
      <w:r>
        <w:rPr>
          <w:rFonts w:hint="eastAsia"/>
        </w:rPr>
        <w:t>安全标识</w:t>
      </w:r>
      <w:bookmarkEnd w:id="108"/>
    </w:p>
    <w:p w14:paraId="1BDD50AC">
      <w:pPr>
        <w:pStyle w:val="230"/>
      </w:pPr>
      <w:r>
        <w:rPr>
          <w:rFonts w:hint="eastAsia"/>
        </w:rPr>
        <w:t xml:space="preserve">安全标识： </w:t>
      </w:r>
    </w:p>
    <w:p w14:paraId="0E6E54A3">
      <w:pPr>
        <w:pStyle w:val="230"/>
      </w:pPr>
      <w:r>
        <w:drawing>
          <wp:inline distT="0" distB="0" distL="0" distR="0">
            <wp:extent cx="5400675" cy="18002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400675" cy="1800225"/>
                    </a:xfrm>
                    <a:prstGeom prst="rect">
                      <a:avLst/>
                    </a:prstGeom>
                    <a:noFill/>
                    <a:ln>
                      <a:noFill/>
                    </a:ln>
                  </pic:spPr>
                </pic:pic>
              </a:graphicData>
            </a:graphic>
          </wp:inline>
        </w:drawing>
      </w:r>
    </w:p>
    <w:p w14:paraId="0CA2883C">
      <w:pPr>
        <w:pStyle w:val="230"/>
      </w:pPr>
      <w:r>
        <w:drawing>
          <wp:inline distT="0" distB="0" distL="0" distR="0">
            <wp:extent cx="5181600" cy="1905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181600" cy="1905000"/>
                    </a:xfrm>
                    <a:prstGeom prst="rect">
                      <a:avLst/>
                    </a:prstGeom>
                    <a:noFill/>
                    <a:ln>
                      <a:noFill/>
                    </a:ln>
                  </pic:spPr>
                </pic:pic>
              </a:graphicData>
            </a:graphic>
          </wp:inline>
        </w:drawing>
      </w:r>
    </w:p>
    <w:p w14:paraId="017E8697">
      <w:pPr>
        <w:pStyle w:val="230"/>
      </w:pPr>
      <w:r>
        <w:drawing>
          <wp:inline distT="0" distB="0" distL="0" distR="0">
            <wp:extent cx="5314950" cy="17335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314950" cy="1733550"/>
                    </a:xfrm>
                    <a:prstGeom prst="rect">
                      <a:avLst/>
                    </a:prstGeom>
                    <a:noFill/>
                    <a:ln>
                      <a:noFill/>
                    </a:ln>
                  </pic:spPr>
                </pic:pic>
              </a:graphicData>
            </a:graphic>
          </wp:inline>
        </w:drawing>
      </w:r>
    </w:p>
    <w:p w14:paraId="7E0DC59E">
      <w:pPr>
        <w:pStyle w:val="230"/>
      </w:pPr>
      <w:r>
        <w:rPr>
          <w:rFonts w:hint="eastAsia"/>
        </w:rPr>
        <w:t xml:space="preserve">            </w:t>
      </w:r>
    </w:p>
    <w:p w14:paraId="30B2463D">
      <w:pPr>
        <w:pStyle w:val="230"/>
      </w:pPr>
      <w:r>
        <w:drawing>
          <wp:inline distT="0" distB="0" distL="0" distR="0">
            <wp:extent cx="4972050" cy="16002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972050" cy="1600200"/>
                    </a:xfrm>
                    <a:prstGeom prst="rect">
                      <a:avLst/>
                    </a:prstGeom>
                    <a:noFill/>
                    <a:ln>
                      <a:noFill/>
                    </a:ln>
                  </pic:spPr>
                </pic:pic>
              </a:graphicData>
            </a:graphic>
          </wp:inline>
        </w:drawing>
      </w:r>
    </w:p>
    <w:p w14:paraId="1CCE3E53">
      <w:pPr>
        <w:pStyle w:val="230"/>
      </w:pPr>
    </w:p>
    <w:p w14:paraId="27AA0509">
      <w:pPr>
        <w:pStyle w:val="230"/>
      </w:pPr>
      <w:r>
        <w:rPr>
          <w:rFonts w:hint="eastAsia"/>
        </w:rPr>
        <w:t xml:space="preserve"> </w:t>
      </w:r>
      <w:r>
        <w:drawing>
          <wp:inline distT="0" distB="0" distL="0" distR="0">
            <wp:extent cx="3657600" cy="19145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57600" cy="1914525"/>
                    </a:xfrm>
                    <a:prstGeom prst="rect">
                      <a:avLst/>
                    </a:prstGeom>
                    <a:noFill/>
                    <a:ln>
                      <a:noFill/>
                    </a:ln>
                  </pic:spPr>
                </pic:pic>
              </a:graphicData>
            </a:graphic>
          </wp:inline>
        </w:drawing>
      </w:r>
    </w:p>
    <w:p w14:paraId="0B24A258">
      <w:pPr>
        <w:pStyle w:val="230"/>
      </w:pPr>
      <w:r>
        <w:drawing>
          <wp:inline distT="0" distB="0" distL="0" distR="0">
            <wp:extent cx="5067300" cy="19431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067300" cy="1943100"/>
                    </a:xfrm>
                    <a:prstGeom prst="rect">
                      <a:avLst/>
                    </a:prstGeom>
                    <a:noFill/>
                    <a:ln>
                      <a:noFill/>
                    </a:ln>
                  </pic:spPr>
                </pic:pic>
              </a:graphicData>
            </a:graphic>
          </wp:inline>
        </w:drawing>
      </w:r>
      <w:r>
        <w:rPr>
          <w:rFonts w:hint="eastAsia"/>
        </w:rPr>
        <w:t xml:space="preserve"> </w:t>
      </w:r>
    </w:p>
    <w:p w14:paraId="5B103C51">
      <w:pPr>
        <w:pStyle w:val="230"/>
        <w:ind w:left="420" w:leftChars="200" w:firstLine="0" w:firstLineChars="0"/>
      </w:pPr>
      <w:r>
        <w:drawing>
          <wp:inline distT="0" distB="0" distL="0" distR="0">
            <wp:extent cx="4972050" cy="17716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972050" cy="1771650"/>
                    </a:xfrm>
                    <a:prstGeom prst="rect">
                      <a:avLst/>
                    </a:prstGeom>
                    <a:noFill/>
                    <a:ln>
                      <a:noFill/>
                    </a:ln>
                  </pic:spPr>
                </pic:pic>
              </a:graphicData>
            </a:graphic>
          </wp:inline>
        </w:drawing>
      </w:r>
      <w:r>
        <w:drawing>
          <wp:inline distT="0" distB="0" distL="0" distR="0">
            <wp:extent cx="1295400" cy="14859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95400" cy="1485900"/>
                    </a:xfrm>
                    <a:prstGeom prst="rect">
                      <a:avLst/>
                    </a:prstGeom>
                    <a:noFill/>
                    <a:ln>
                      <a:noFill/>
                    </a:ln>
                  </pic:spPr>
                </pic:pic>
              </a:graphicData>
            </a:graphic>
          </wp:inline>
        </w:drawing>
      </w:r>
    </w:p>
    <w:p w14:paraId="2E5E79E6">
      <w:pPr>
        <w:pStyle w:val="56"/>
        <w:ind w:firstLine="420"/>
      </w:pPr>
    </w:p>
    <w:p w14:paraId="76482365">
      <w:pPr>
        <w:pStyle w:val="56"/>
        <w:ind w:firstLine="420"/>
      </w:pPr>
    </w:p>
    <w:p w14:paraId="0298EA47">
      <w:pPr>
        <w:pStyle w:val="56"/>
        <w:ind w:firstLine="420"/>
      </w:pPr>
    </w:p>
    <w:p w14:paraId="530812F6">
      <w:pPr>
        <w:pStyle w:val="56"/>
        <w:ind w:firstLine="420"/>
      </w:pPr>
    </w:p>
    <w:bookmarkEnd w:id="107"/>
    <w:p w14:paraId="2D3F6A6C">
      <w:pPr>
        <w:pStyle w:val="56"/>
        <w:ind w:firstLine="420"/>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linePitch="312" w:charSpace="0"/>
        </w:sectPr>
      </w:pPr>
      <w:bookmarkStart w:id="109" w:name="BookMark6"/>
    </w:p>
    <w:p w14:paraId="3C0101DD">
      <w:pPr>
        <w:pStyle w:val="63"/>
        <w:spacing w:after="120"/>
      </w:pPr>
      <w:bookmarkStart w:id="110" w:name="_Toc174318715"/>
      <w:r>
        <w:rPr>
          <w:rFonts w:hint="eastAsia"/>
          <w:spacing w:val="105"/>
        </w:rPr>
        <w:t>参考文</w:t>
      </w:r>
      <w:r>
        <w:rPr>
          <w:rFonts w:hint="eastAsia"/>
        </w:rPr>
        <w:t>献</w:t>
      </w:r>
      <w:bookmarkEnd w:id="110"/>
    </w:p>
    <w:p w14:paraId="65EFF086">
      <w:pPr>
        <w:pStyle w:val="230"/>
      </w:pPr>
      <w:r>
        <w:rPr>
          <w:rFonts w:hint="eastAsia"/>
        </w:rPr>
        <w:t xml:space="preserve">[1] </w:t>
      </w:r>
      <w:r>
        <w:t xml:space="preserve"> </w:t>
      </w:r>
      <w:r>
        <w:rPr>
          <w:rFonts w:hint="eastAsia"/>
        </w:rPr>
        <w:t>再生资源回收管理办法（2</w:t>
      </w:r>
      <w:r>
        <w:t>019</w:t>
      </w:r>
      <w:r>
        <w:rPr>
          <w:rFonts w:hint="eastAsia"/>
        </w:rPr>
        <w:t>年修订）</w:t>
      </w:r>
    </w:p>
    <w:p w14:paraId="366A6537">
      <w:pPr>
        <w:pStyle w:val="56"/>
        <w:ind w:firstLine="420"/>
      </w:pPr>
    </w:p>
    <w:bookmarkEnd w:id="109"/>
    <w:p w14:paraId="115E523F">
      <w:pPr>
        <w:pStyle w:val="56"/>
        <w:ind w:firstLine="0" w:firstLineChars="0"/>
        <w:jc w:val="center"/>
      </w:pPr>
      <w:bookmarkStart w:id="111" w:name="BookMark8"/>
      <w:r>
        <w:rPr>
          <w:rFonts w:hint="eastAsia"/>
        </w:rPr>
        <w:drawing>
          <wp:inline distT="0" distB="0" distL="0" distR="0">
            <wp:extent cx="1485900" cy="317500"/>
            <wp:effectExtent l="0" t="0" r="0" b="6350"/>
            <wp:docPr id="1739838935" name="图片 1"/>
            <wp:cNvGraphicFramePr/>
            <a:graphic xmlns:a="http://schemas.openxmlformats.org/drawingml/2006/main">
              <a:graphicData uri="http://schemas.openxmlformats.org/drawingml/2006/picture">
                <pic:pic xmlns:pic="http://schemas.openxmlformats.org/drawingml/2006/picture">
                  <pic:nvPicPr>
                    <pic:cNvPr id="1739838935" name="图片 1"/>
                    <pic:cNvPicPr/>
                  </pic:nvPicPr>
                  <pic:blipFill>
                    <a:blip r:embed="rId3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1"/>
    </w:p>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84F6A">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89482">
    <w:pPr>
      <w:pStyle w:val="51"/>
    </w:pPr>
    <w:r>
      <w:fldChar w:fldCharType="begin"/>
    </w:r>
    <w:r>
      <w:instrText xml:space="preserve"> PAGE   \* MERGEFORMAT \* MERGEFORMAT </w:instrText>
    </w:r>
    <w:r>
      <w:fldChar w:fldCharType="separate"/>
    </w:r>
    <w: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6B939">
    <w:pPr>
      <w:pStyle w:val="52"/>
    </w:pPr>
    <w:r>
      <w:fldChar w:fldCharType="begin"/>
    </w:r>
    <w:r>
      <w:instrText xml:space="preserve">PAGE   \* MERGEFORMAT</w:instrText>
    </w:r>
    <w:r>
      <w:fldChar w:fldCharType="separate"/>
    </w:r>
    <w:r>
      <w:rPr>
        <w:lang w:val="zh-CN"/>
      </w:rPr>
      <w:t>7</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E363B">
    <w:pPr>
      <w:pStyle w:val="51"/>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5CD3C">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9F9DB">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99DD6">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6E4FE">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8634B">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441C">
    <w:pPr>
      <w:pStyle w:val="52"/>
    </w:pPr>
    <w:r>
      <w:fldChar w:fldCharType="begin"/>
    </w:r>
    <w:r>
      <w:instrText xml:space="preserve">PAGE   \* MERGEFORMAT</w:instrText>
    </w:r>
    <w:r>
      <w:fldChar w:fldCharType="separate"/>
    </w:r>
    <w:r>
      <w:rPr>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0773B">
    <w:pPr>
      <w:pStyle w:val="51"/>
    </w:pPr>
    <w:r>
      <w:fldChar w:fldCharType="begin"/>
    </w:r>
    <w:r>
      <w:instrText xml:space="preserve"> PAGE   \* MERGEFORMAT \* MERGEFORMAT </w:instrText>
    </w:r>
    <w:r>
      <w:fldChar w:fldCharType="separate"/>
    </w:r>
    <w: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76815">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10D91">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A4D79">
    <w:pPr>
      <w:pStyle w:val="62"/>
    </w:pPr>
    <w:r>
      <w:fldChar w:fldCharType="begin"/>
    </w:r>
    <w:r>
      <w:instrText xml:space="preserve"> STYLEREF  标准文件_文件编号 \* MERGEFORMAT </w:instrText>
    </w:r>
    <w:r>
      <w:fldChar w:fldCharType="separate"/>
    </w:r>
    <w:r>
      <w:t>SB/T XXXXX—XXXX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8D290">
    <w:pPr>
      <w:pStyle w:val="61"/>
    </w:pPr>
    <w:r>
      <w:fldChar w:fldCharType="begin"/>
    </w:r>
    <w:r>
      <w:instrText xml:space="preserve"> STYLEREF  标准文件_文件编号  \* MERGEFORMAT </w:instrText>
    </w:r>
    <w:r>
      <w:fldChar w:fldCharType="separate"/>
    </w:r>
    <w:r>
      <w:t>SB/T XXXXX—XXXX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C63E3">
    <w:pPr>
      <w:pStyle w:val="62"/>
    </w:pPr>
    <w:r>
      <w:fldChar w:fldCharType="begin"/>
    </w:r>
    <w:r>
      <w:instrText xml:space="preserve"> STYLEREF  标准文件_文件编号 \* MERGEFORMAT </w:instrText>
    </w:r>
    <w:r>
      <w:fldChar w:fldCharType="separate"/>
    </w:r>
    <w:r>
      <w:t>SB/T XXXXX—XXXX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9052E">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B40E3">
    <w:pPr>
      <w:pStyle w:val="61"/>
    </w:pPr>
    <w:r>
      <w:fldChar w:fldCharType="begin"/>
    </w:r>
    <w:r>
      <w:instrText xml:space="preserve"> STYLEREF  标准文件_文件编号  \* MERGEFORMAT </w:instrText>
    </w:r>
    <w:r>
      <w:fldChar w:fldCharType="separate"/>
    </w:r>
    <w:r>
      <w:t>SB/T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B2AF0">
    <w:pPr>
      <w:pStyle w:val="62"/>
    </w:pPr>
    <w:r>
      <w:fldChar w:fldCharType="begin"/>
    </w:r>
    <w:r>
      <w:instrText xml:space="preserve"> STYLEREF  标准文件_文件编号 \* MERGEFORMAT </w:instrText>
    </w:r>
    <w:r>
      <w:fldChar w:fldCharType="separate"/>
    </w:r>
    <w:r>
      <w:t>SB/T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D391E">
    <w:pPr>
      <w:pStyle w:val="61"/>
    </w:pPr>
    <w:r>
      <w:fldChar w:fldCharType="begin"/>
    </w:r>
    <w:r>
      <w:instrText xml:space="preserve"> STYLEREF  标准文件_文件编号  \* MERGEFORMAT </w:instrText>
    </w:r>
    <w:r>
      <w:fldChar w:fldCharType="separate"/>
    </w:r>
    <w:r>
      <w:t>SB/T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CB81">
    <w:pPr>
      <w:pStyle w:val="62"/>
    </w:pPr>
    <w:r>
      <w:fldChar w:fldCharType="begin"/>
    </w:r>
    <w:r>
      <w:instrText xml:space="preserve"> STYLEREF  标准文件_文件编号 \* MERGEFORMAT </w:instrText>
    </w:r>
    <w:r>
      <w:fldChar w:fldCharType="separate"/>
    </w:r>
    <w:r>
      <w:t>SB/T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5654E">
    <w:pPr>
      <w:pStyle w:val="61"/>
    </w:pPr>
    <w:r>
      <w:fldChar w:fldCharType="begin"/>
    </w:r>
    <w:r>
      <w:instrText xml:space="preserve"> STYLEREF  标准文件_文件编号  \* MERGEFORMAT </w:instrText>
    </w:r>
    <w:r>
      <w:fldChar w:fldCharType="separate"/>
    </w:r>
    <w:r>
      <w:t>SB/T XXXXX—XXXX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6A71E">
    <w:pPr>
      <w:pStyle w:val="62"/>
    </w:pPr>
    <w:r>
      <w:fldChar w:fldCharType="begin"/>
    </w:r>
    <w:r>
      <w:instrText xml:space="preserve"> STYLEREF  标准文件_文件编号 \* MERGEFORMAT </w:instrText>
    </w:r>
    <w:r>
      <w:fldChar w:fldCharType="separate"/>
    </w:r>
    <w:r>
      <w:t>SB/T XXXXX—XXXX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CD78E">
    <w:pPr>
      <w:pStyle w:val="61"/>
    </w:pPr>
    <w:r>
      <w:fldChar w:fldCharType="begin"/>
    </w:r>
    <w:r>
      <w:instrText xml:space="preserve"> STYLEREF  标准文件_文件编号  \* MERGEFORMAT </w:instrText>
    </w:r>
    <w:r>
      <w:fldChar w:fldCharType="separate"/>
    </w:r>
    <w:r>
      <w:t>SB/T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F805D97"/>
    <w:multiLevelType w:val="multilevel"/>
    <w:tmpl w:val="0F805D97"/>
    <w:lvl w:ilvl="0" w:tentative="0">
      <w:start w:val="1"/>
      <w:numFmt w:val="none"/>
      <w:pStyle w:val="24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34"/>
      <w:suff w:val="nothing"/>
      <w:lvlText w:val="%1　"/>
      <w:lvlJc w:val="left"/>
      <w:pPr>
        <w:ind w:left="2410" w:firstLine="0"/>
      </w:pPr>
      <w:rPr>
        <w:rFonts w:hint="eastAsia" w:ascii="黑体" w:hAnsi="Times New Roman" w:eastAsia="黑体"/>
        <w:b w:val="0"/>
        <w:i w:val="0"/>
        <w:sz w:val="21"/>
        <w:szCs w:val="21"/>
      </w:rPr>
    </w:lvl>
    <w:lvl w:ilvl="1" w:tentative="0">
      <w:start w:val="1"/>
      <w:numFmt w:val="decimal"/>
      <w:pStyle w:val="233"/>
      <w:suff w:val="nothing"/>
      <w:lvlText w:val="%1.%2　"/>
      <w:lvlJc w:val="left"/>
      <w:pPr>
        <w:ind w:left="141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pStyle w:val="236"/>
      <w:suff w:val="nothing"/>
      <w:lvlText w:val="%1.%2.%3.%4　"/>
      <w:lvlJc w:val="left"/>
      <w:pPr>
        <w:ind w:left="0" w:firstLine="0"/>
      </w:pPr>
      <w:rPr>
        <w:rFonts w:hint="eastAsia" w:ascii="黑体" w:hAnsi="Times New Roman" w:eastAsia="黑体"/>
        <w:b w:val="0"/>
        <w:i w:val="0"/>
        <w:sz w:val="21"/>
      </w:rPr>
    </w:lvl>
    <w:lvl w:ilvl="4" w:tentative="0">
      <w:start w:val="1"/>
      <w:numFmt w:val="decimal"/>
      <w:pStyle w:val="238"/>
      <w:suff w:val="nothing"/>
      <w:lvlText w:val="%1.%2.%3.%4.%5　"/>
      <w:lvlJc w:val="left"/>
      <w:pPr>
        <w:ind w:left="0" w:firstLine="0"/>
      </w:pPr>
      <w:rPr>
        <w:rFonts w:hint="eastAsia" w:ascii="黑体" w:hAnsi="Times New Roman" w:eastAsia="黑体"/>
        <w:b w:val="0"/>
        <w:i w:val="0"/>
        <w:sz w:val="21"/>
      </w:rPr>
    </w:lvl>
    <w:lvl w:ilvl="5" w:tentative="0">
      <w:start w:val="1"/>
      <w:numFmt w:val="decimal"/>
      <w:pStyle w:val="23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TKKf3JowI1QS7Dzl2rneBSTGmS0VsQu7dVz8sftAaF9yFGIuBCEjm2ZQNpVpLikcs51ObeKnYhwVI5uSEZ+Iug==" w:salt="+kB90tr7m2fgieNN2gMJug=="/>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zN2Y2YmZjMGIzOGUyMzIzNDk1YTViZTc4OWZiZmIifQ=="/>
  </w:docVars>
  <w:rsids>
    <w:rsidRoot w:val="00454BAF"/>
    <w:rsid w:val="0000040A"/>
    <w:rsid w:val="00000A94"/>
    <w:rsid w:val="00001972"/>
    <w:rsid w:val="00001D9A"/>
    <w:rsid w:val="00007B3A"/>
    <w:rsid w:val="000107E0"/>
    <w:rsid w:val="00011FDE"/>
    <w:rsid w:val="000122CA"/>
    <w:rsid w:val="00012F35"/>
    <w:rsid w:val="00012FFD"/>
    <w:rsid w:val="00014162"/>
    <w:rsid w:val="00014340"/>
    <w:rsid w:val="00016A9C"/>
    <w:rsid w:val="00021A2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0A9"/>
    <w:rsid w:val="00067F1E"/>
    <w:rsid w:val="00071CC0"/>
    <w:rsid w:val="00073C8C"/>
    <w:rsid w:val="00077B64"/>
    <w:rsid w:val="00077E07"/>
    <w:rsid w:val="00080A1C"/>
    <w:rsid w:val="00082317"/>
    <w:rsid w:val="00083D2C"/>
    <w:rsid w:val="00086AA1"/>
    <w:rsid w:val="00087A77"/>
    <w:rsid w:val="00090CA6"/>
    <w:rsid w:val="000919AB"/>
    <w:rsid w:val="00092B8A"/>
    <w:rsid w:val="00092FB0"/>
    <w:rsid w:val="000934C5"/>
    <w:rsid w:val="000938BB"/>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3503"/>
    <w:rsid w:val="000F4AEA"/>
    <w:rsid w:val="000F67E9"/>
    <w:rsid w:val="00104926"/>
    <w:rsid w:val="001053F9"/>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31E"/>
    <w:rsid w:val="00176DFD"/>
    <w:rsid w:val="001806A5"/>
    <w:rsid w:val="001852C9"/>
    <w:rsid w:val="00190087"/>
    <w:rsid w:val="001913C4"/>
    <w:rsid w:val="0019348F"/>
    <w:rsid w:val="00193A07"/>
    <w:rsid w:val="00194C95"/>
    <w:rsid w:val="00195C34"/>
    <w:rsid w:val="001A1A53"/>
    <w:rsid w:val="001A234A"/>
    <w:rsid w:val="001B06E8"/>
    <w:rsid w:val="001B08EE"/>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344C"/>
    <w:rsid w:val="002142EA"/>
    <w:rsid w:val="00217A9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08B"/>
    <w:rsid w:val="00247F52"/>
    <w:rsid w:val="00250B25"/>
    <w:rsid w:val="00250BBE"/>
    <w:rsid w:val="002515C2"/>
    <w:rsid w:val="0025194F"/>
    <w:rsid w:val="0026148A"/>
    <w:rsid w:val="00262696"/>
    <w:rsid w:val="002634BC"/>
    <w:rsid w:val="002643C3"/>
    <w:rsid w:val="00264A0C"/>
    <w:rsid w:val="00267EF4"/>
    <w:rsid w:val="00270CB8"/>
    <w:rsid w:val="00272B08"/>
    <w:rsid w:val="00273267"/>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2FD8"/>
    <w:rsid w:val="00324EDD"/>
    <w:rsid w:val="003331E4"/>
    <w:rsid w:val="00336C64"/>
    <w:rsid w:val="00337162"/>
    <w:rsid w:val="00340644"/>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3E49"/>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C6615"/>
    <w:rsid w:val="003D0519"/>
    <w:rsid w:val="003D0FF6"/>
    <w:rsid w:val="003D243F"/>
    <w:rsid w:val="003D262C"/>
    <w:rsid w:val="003D6D61"/>
    <w:rsid w:val="003E091D"/>
    <w:rsid w:val="003E1C53"/>
    <w:rsid w:val="003E292A"/>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15F6"/>
    <w:rsid w:val="0041477A"/>
    <w:rsid w:val="004167A3"/>
    <w:rsid w:val="00432DAA"/>
    <w:rsid w:val="00434305"/>
    <w:rsid w:val="00435DF7"/>
    <w:rsid w:val="0044083F"/>
    <w:rsid w:val="00441AE7"/>
    <w:rsid w:val="00445574"/>
    <w:rsid w:val="004467FB"/>
    <w:rsid w:val="00452D6B"/>
    <w:rsid w:val="00454484"/>
    <w:rsid w:val="00454BAF"/>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9467C"/>
    <w:rsid w:val="004A12DF"/>
    <w:rsid w:val="004A1BA8"/>
    <w:rsid w:val="004A3BA7"/>
    <w:rsid w:val="004A4B57"/>
    <w:rsid w:val="004A5D45"/>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29FC"/>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52FE"/>
    <w:rsid w:val="005479DA"/>
    <w:rsid w:val="00547BCC"/>
    <w:rsid w:val="0055013B"/>
    <w:rsid w:val="00551F6F"/>
    <w:rsid w:val="00554CC2"/>
    <w:rsid w:val="00555044"/>
    <w:rsid w:val="00556EBD"/>
    <w:rsid w:val="00561475"/>
    <w:rsid w:val="0056468D"/>
    <w:rsid w:val="0056487B"/>
    <w:rsid w:val="00564FB9"/>
    <w:rsid w:val="00573D9E"/>
    <w:rsid w:val="005801E3"/>
    <w:rsid w:val="00581802"/>
    <w:rsid w:val="00581A53"/>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279E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47D8"/>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478D"/>
    <w:rsid w:val="006F03A8"/>
    <w:rsid w:val="006F126C"/>
    <w:rsid w:val="006F2ACA"/>
    <w:rsid w:val="006F2ADC"/>
    <w:rsid w:val="006F2BFE"/>
    <w:rsid w:val="006F31E9"/>
    <w:rsid w:val="006F56E5"/>
    <w:rsid w:val="006F61B5"/>
    <w:rsid w:val="006F6284"/>
    <w:rsid w:val="007002C5"/>
    <w:rsid w:val="00700D25"/>
    <w:rsid w:val="0070348B"/>
    <w:rsid w:val="00704387"/>
    <w:rsid w:val="00707669"/>
    <w:rsid w:val="00707ACB"/>
    <w:rsid w:val="00711CBA"/>
    <w:rsid w:val="00711FB5"/>
    <w:rsid w:val="00712A01"/>
    <w:rsid w:val="00714E4B"/>
    <w:rsid w:val="00714F58"/>
    <w:rsid w:val="00722FBF"/>
    <w:rsid w:val="00722FC2"/>
    <w:rsid w:val="0072543E"/>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E4451"/>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571E0"/>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3486"/>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1DA7"/>
    <w:rsid w:val="00913CA9"/>
    <w:rsid w:val="009145AE"/>
    <w:rsid w:val="009146CE"/>
    <w:rsid w:val="00914CA7"/>
    <w:rsid w:val="00915C3E"/>
    <w:rsid w:val="009161A8"/>
    <w:rsid w:val="009245F5"/>
    <w:rsid w:val="009249EC"/>
    <w:rsid w:val="009273B3"/>
    <w:rsid w:val="009305B5"/>
    <w:rsid w:val="00941FA3"/>
    <w:rsid w:val="009429D5"/>
    <w:rsid w:val="00942BF1"/>
    <w:rsid w:val="00942D3A"/>
    <w:rsid w:val="00945180"/>
    <w:rsid w:val="00945428"/>
    <w:rsid w:val="0094607B"/>
    <w:rsid w:val="00953604"/>
    <w:rsid w:val="0095496B"/>
    <w:rsid w:val="009610DC"/>
    <w:rsid w:val="00961490"/>
    <w:rsid w:val="0096381A"/>
    <w:rsid w:val="00964BD2"/>
    <w:rsid w:val="00965E04"/>
    <w:rsid w:val="009674AD"/>
    <w:rsid w:val="00970CDC"/>
    <w:rsid w:val="00977010"/>
    <w:rsid w:val="00977D02"/>
    <w:rsid w:val="009809BB"/>
    <w:rsid w:val="0098364B"/>
    <w:rsid w:val="00986242"/>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5C39"/>
    <w:rsid w:val="009D6BCA"/>
    <w:rsid w:val="009D72B9"/>
    <w:rsid w:val="009E0F62"/>
    <w:rsid w:val="009E1848"/>
    <w:rsid w:val="009E4A58"/>
    <w:rsid w:val="009E5A2D"/>
    <w:rsid w:val="009E5AB2"/>
    <w:rsid w:val="009E6219"/>
    <w:rsid w:val="009F03B3"/>
    <w:rsid w:val="00A01035"/>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267FC"/>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3758"/>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0C49"/>
    <w:rsid w:val="00AE101C"/>
    <w:rsid w:val="00AE232F"/>
    <w:rsid w:val="00AE5EB4"/>
    <w:rsid w:val="00AF0C18"/>
    <w:rsid w:val="00AF1E1A"/>
    <w:rsid w:val="00AF47C5"/>
    <w:rsid w:val="00AF5398"/>
    <w:rsid w:val="00B049AF"/>
    <w:rsid w:val="00B07242"/>
    <w:rsid w:val="00B10534"/>
    <w:rsid w:val="00B113DB"/>
    <w:rsid w:val="00B11D8A"/>
    <w:rsid w:val="00B12981"/>
    <w:rsid w:val="00B13BC5"/>
    <w:rsid w:val="00B147DD"/>
    <w:rsid w:val="00B156FD"/>
    <w:rsid w:val="00B21F61"/>
    <w:rsid w:val="00B261F1"/>
    <w:rsid w:val="00B265BC"/>
    <w:rsid w:val="00B265C8"/>
    <w:rsid w:val="00B31FB1"/>
    <w:rsid w:val="00B32BC9"/>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2F3A"/>
    <w:rsid w:val="00B65149"/>
    <w:rsid w:val="00B66567"/>
    <w:rsid w:val="00B66F52"/>
    <w:rsid w:val="00B66FE5"/>
    <w:rsid w:val="00B72880"/>
    <w:rsid w:val="00B758BF"/>
    <w:rsid w:val="00B827A6"/>
    <w:rsid w:val="00B831CE"/>
    <w:rsid w:val="00B86677"/>
    <w:rsid w:val="00B87131"/>
    <w:rsid w:val="00B939B1"/>
    <w:rsid w:val="00B96D40"/>
    <w:rsid w:val="00B9731F"/>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0A00"/>
    <w:rsid w:val="00BE223A"/>
    <w:rsid w:val="00BE22F3"/>
    <w:rsid w:val="00BE5B52"/>
    <w:rsid w:val="00BE7B8D"/>
    <w:rsid w:val="00BF0993"/>
    <w:rsid w:val="00BF10A9"/>
    <w:rsid w:val="00BF1703"/>
    <w:rsid w:val="00BF231C"/>
    <w:rsid w:val="00BF51E5"/>
    <w:rsid w:val="00BF6354"/>
    <w:rsid w:val="00BF74A6"/>
    <w:rsid w:val="00BF7718"/>
    <w:rsid w:val="00C013AD"/>
    <w:rsid w:val="00C020FB"/>
    <w:rsid w:val="00C04904"/>
    <w:rsid w:val="00C056B3"/>
    <w:rsid w:val="00C103E5"/>
    <w:rsid w:val="00C13319"/>
    <w:rsid w:val="00C13EE9"/>
    <w:rsid w:val="00C150D6"/>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0B3C"/>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3F25"/>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373F1"/>
    <w:rsid w:val="00D4162B"/>
    <w:rsid w:val="00D4514F"/>
    <w:rsid w:val="00D451E2"/>
    <w:rsid w:val="00D45E89"/>
    <w:rsid w:val="00D45E8D"/>
    <w:rsid w:val="00D466AE"/>
    <w:rsid w:val="00D4734F"/>
    <w:rsid w:val="00D51BF3"/>
    <w:rsid w:val="00D54B98"/>
    <w:rsid w:val="00D56D85"/>
    <w:rsid w:val="00D66846"/>
    <w:rsid w:val="00D675FB"/>
    <w:rsid w:val="00D7123B"/>
    <w:rsid w:val="00D71F25"/>
    <w:rsid w:val="00D77031"/>
    <w:rsid w:val="00D81136"/>
    <w:rsid w:val="00D84589"/>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2A8"/>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DF6355"/>
    <w:rsid w:val="00E01138"/>
    <w:rsid w:val="00E02DFB"/>
    <w:rsid w:val="00E030F9"/>
    <w:rsid w:val="00E0311A"/>
    <w:rsid w:val="00E03138"/>
    <w:rsid w:val="00E06404"/>
    <w:rsid w:val="00E11A85"/>
    <w:rsid w:val="00E12495"/>
    <w:rsid w:val="00E15CCD"/>
    <w:rsid w:val="00E15D9E"/>
    <w:rsid w:val="00E17155"/>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34A9"/>
    <w:rsid w:val="00E846C8"/>
    <w:rsid w:val="00E84957"/>
    <w:rsid w:val="00E84A55"/>
    <w:rsid w:val="00E85BFF"/>
    <w:rsid w:val="00E87C7B"/>
    <w:rsid w:val="00E90391"/>
    <w:rsid w:val="00E906C2"/>
    <w:rsid w:val="00E9070B"/>
    <w:rsid w:val="00E91338"/>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46CA"/>
    <w:rsid w:val="00EC5359"/>
    <w:rsid w:val="00EC562A"/>
    <w:rsid w:val="00ED067A"/>
    <w:rsid w:val="00ED2B50"/>
    <w:rsid w:val="00EE0350"/>
    <w:rsid w:val="00EE0719"/>
    <w:rsid w:val="00EE0E80"/>
    <w:rsid w:val="00EE2674"/>
    <w:rsid w:val="00EE613F"/>
    <w:rsid w:val="00EE7295"/>
    <w:rsid w:val="00EE7869"/>
    <w:rsid w:val="00EF054A"/>
    <w:rsid w:val="00EF1E6A"/>
    <w:rsid w:val="00EF3235"/>
    <w:rsid w:val="00EF7E72"/>
    <w:rsid w:val="00F01542"/>
    <w:rsid w:val="00F06D37"/>
    <w:rsid w:val="00F07B9D"/>
    <w:rsid w:val="00F10926"/>
    <w:rsid w:val="00F11586"/>
    <w:rsid w:val="00F1183B"/>
    <w:rsid w:val="00F11C9F"/>
    <w:rsid w:val="00F12263"/>
    <w:rsid w:val="00F1409D"/>
    <w:rsid w:val="00F14214"/>
    <w:rsid w:val="00F157A9"/>
    <w:rsid w:val="00F23DAE"/>
    <w:rsid w:val="00F25BB6"/>
    <w:rsid w:val="00F25F70"/>
    <w:rsid w:val="00F26B7E"/>
    <w:rsid w:val="00F27A3B"/>
    <w:rsid w:val="00F3288C"/>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3D0C"/>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DC95217"/>
    <w:rsid w:val="40D566C4"/>
    <w:rsid w:val="41871B6E"/>
    <w:rsid w:val="7DC47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3">
    <w:name w:val="一级条标题"/>
    <w:next w:val="230"/>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章标题"/>
    <w:next w:val="230"/>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5">
    <w:name w:val="二级条标题"/>
    <w:basedOn w:val="233"/>
    <w:next w:val="230"/>
    <w:qFormat/>
    <w:uiPriority w:val="0"/>
    <w:pPr>
      <w:numPr>
        <w:ilvl w:val="2"/>
      </w:numPr>
      <w:spacing w:before="50" w:after="50"/>
      <w:outlineLvl w:val="3"/>
    </w:pPr>
  </w:style>
  <w:style w:type="paragraph" w:customStyle="1" w:styleId="236">
    <w:name w:val="三级条标题"/>
    <w:basedOn w:val="235"/>
    <w:next w:val="230"/>
    <w:qFormat/>
    <w:uiPriority w:val="0"/>
    <w:pPr>
      <w:numPr>
        <w:ilvl w:val="3"/>
      </w:numPr>
      <w:outlineLvl w:val="4"/>
    </w:pPr>
  </w:style>
  <w:style w:type="paragraph" w:customStyle="1" w:styleId="237">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238">
    <w:name w:val="四级条标题"/>
    <w:basedOn w:val="236"/>
    <w:next w:val="230"/>
    <w:qFormat/>
    <w:uiPriority w:val="0"/>
    <w:pPr>
      <w:numPr>
        <w:ilvl w:val="4"/>
      </w:numPr>
      <w:outlineLvl w:val="5"/>
    </w:pPr>
  </w:style>
  <w:style w:type="paragraph" w:customStyle="1" w:styleId="239">
    <w:name w:val="五级条标题"/>
    <w:basedOn w:val="238"/>
    <w:next w:val="230"/>
    <w:qFormat/>
    <w:uiPriority w:val="0"/>
    <w:pPr>
      <w:numPr>
        <w:ilvl w:val="5"/>
      </w:numPr>
      <w:outlineLvl w:val="6"/>
    </w:pPr>
  </w:style>
  <w:style w:type="paragraph" w:customStyle="1" w:styleId="240">
    <w:name w:val="注："/>
    <w:next w:val="230"/>
    <w:qFormat/>
    <w:uiPriority w:val="0"/>
    <w:pPr>
      <w:widowControl w:val="0"/>
      <w:numPr>
        <w:ilvl w:val="0"/>
        <w:numId w:val="33"/>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41">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242">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243">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3" Type="http://schemas.openxmlformats.org/officeDocument/2006/relationships/glossaryDocument" Target="glossary/document.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9.jpeg"/><Relationship Id="rId37" Type="http://schemas.openxmlformats.org/officeDocument/2006/relationships/image" Target="media/image8.png"/><Relationship Id="rId36" Type="http://schemas.openxmlformats.org/officeDocument/2006/relationships/image" Target="media/image7.png"/><Relationship Id="rId35" Type="http://schemas.openxmlformats.org/officeDocument/2006/relationships/image" Target="media/image6.png"/><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D53DA3AC68A4768A9F1C299EB41E97F"/>
        <w:style w:val=""/>
        <w:category>
          <w:name w:val="常规"/>
          <w:gallery w:val="placeholder"/>
        </w:category>
        <w:types>
          <w:type w:val="bbPlcHdr"/>
        </w:types>
        <w:behaviors>
          <w:behavior w:val="content"/>
        </w:behaviors>
        <w:description w:val=""/>
        <w:guid w:val="{968DEAF8-33EE-4E5E-A574-434408703621}"/>
      </w:docPartPr>
      <w:docPartBody>
        <w:p w14:paraId="45DA021E">
          <w:pPr>
            <w:pStyle w:val="5"/>
          </w:pPr>
          <w:r>
            <w:rPr>
              <w:rStyle w:val="4"/>
              <w:rFonts w:hint="eastAsia"/>
            </w:rPr>
            <w:t>单击或点击此处输入文字。</w:t>
          </w:r>
        </w:p>
      </w:docPartBody>
    </w:docPart>
    <w:docPart>
      <w:docPartPr>
        <w:name w:val="42C4B335B4804E749388957D928F59FF"/>
        <w:style w:val=""/>
        <w:category>
          <w:name w:val="常规"/>
          <w:gallery w:val="placeholder"/>
        </w:category>
        <w:types>
          <w:type w:val="bbPlcHdr"/>
        </w:types>
        <w:behaviors>
          <w:behavior w:val="content"/>
        </w:behaviors>
        <w:description w:val=""/>
        <w:guid w:val="{08137CF8-5ADE-44D4-93C6-03B57D01DB67}"/>
      </w:docPartPr>
      <w:docPartBody>
        <w:p w14:paraId="4E092D50">
          <w:pPr>
            <w:pStyle w:val="6"/>
          </w:pPr>
          <w:r>
            <w:rPr>
              <w:rStyle w:val="4"/>
              <w:rFonts w:hint="eastAsia"/>
            </w:rPr>
            <w:t>选择一项。</w:t>
          </w:r>
        </w:p>
      </w:docPartBody>
    </w:docPart>
    <w:docPart>
      <w:docPartPr>
        <w:name w:val="68B6C43E9702450599D1D91400F7421F"/>
        <w:style w:val=""/>
        <w:category>
          <w:name w:val="常规"/>
          <w:gallery w:val="placeholder"/>
        </w:category>
        <w:types>
          <w:type w:val="bbPlcHdr"/>
        </w:types>
        <w:behaviors>
          <w:behavior w:val="content"/>
        </w:behaviors>
        <w:description w:val=""/>
        <w:guid w:val="{3F7C10FF-2A6A-4602-BB55-9A1B444C4E54}"/>
      </w:docPartPr>
      <w:docPartBody>
        <w:p w14:paraId="60AF3192">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FF"/>
    <w:rsid w:val="00007847"/>
    <w:rsid w:val="000919AB"/>
    <w:rsid w:val="000E6D83"/>
    <w:rsid w:val="00164966"/>
    <w:rsid w:val="00204CD1"/>
    <w:rsid w:val="003B0942"/>
    <w:rsid w:val="004115F6"/>
    <w:rsid w:val="00435D86"/>
    <w:rsid w:val="00667819"/>
    <w:rsid w:val="00707AC6"/>
    <w:rsid w:val="00723F97"/>
    <w:rsid w:val="009D19FD"/>
    <w:rsid w:val="00AD1BAB"/>
    <w:rsid w:val="00B006CB"/>
    <w:rsid w:val="00B01166"/>
    <w:rsid w:val="00C01E34"/>
    <w:rsid w:val="00C355FF"/>
    <w:rsid w:val="00D701E0"/>
    <w:rsid w:val="00E4041A"/>
    <w:rsid w:val="00FD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D53DA3AC68A4768A9F1C299EB41E97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42C4B335B4804E749388957D928F59F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68B6C43E9702450599D1D91400F7421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5B316-83B4-4C19-9052-A623C4CE2ED5}">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11</Pages>
  <Words>2211</Words>
  <Characters>2489</Characters>
  <Lines>39</Lines>
  <Paragraphs>11</Paragraphs>
  <TotalTime>690</TotalTime>
  <ScaleCrop>false</ScaleCrop>
  <LinksUpToDate>false</LinksUpToDate>
  <CharactersWithSpaces>2611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2024-07-28T14:40:00Z</dcterms:created>
  <dc:creator>Lenovo</dc:creator>
  <dc:description>&lt;config cover="true" show_menu="true" version="1.0.0" doctype="SDKXY"&gt;_x000d_
&lt;/config&gt;</dc:description>
  <cp:lastModifiedBy>Jackalyn潘思文</cp:lastModifiedBy>
  <cp:lastPrinted>2021-02-02T08:18:00Z</cp:lastPrinted>
  <dcterms:modified xsi:type="dcterms:W3CDTF">2024-12-19T04:55:32Z</dcterms:modified>
  <dc:title>行业标准</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2052-12.1.0.18608</vt:lpwstr>
  </property>
  <property fmtid="{D5CDD505-2E9C-101B-9397-08002B2CF9AE}" pid="16" name="ICV">
    <vt:lpwstr>12A3C90A515844BEA1A79636FA945BD8_13</vt:lpwstr>
  </property>
</Properties>
</file>