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9A" w:rsidRDefault="00680E9A" w:rsidP="00680E9A">
      <w:pPr>
        <w:spacing w:line="600" w:lineRule="exact"/>
        <w:rPr>
          <w:rFonts w:ascii="黑体" w:eastAsia="黑体" w:hAnsi="宋体" w:cs="Times New Roman"/>
          <w:color w:val="000000" w:themeColor="text1"/>
          <w:sz w:val="32"/>
          <w:szCs w:val="32"/>
        </w:rPr>
      </w:pPr>
      <w:r>
        <w:rPr>
          <w:rFonts w:ascii="黑体" w:eastAsia="黑体" w:hAnsi="宋体" w:cs="黑体" w:hint="eastAsia"/>
          <w:color w:val="000000" w:themeColor="text1"/>
          <w:sz w:val="32"/>
          <w:szCs w:val="32"/>
          <w:lang/>
        </w:rPr>
        <w:t>附件1</w:t>
      </w:r>
    </w:p>
    <w:p w:rsidR="00680E9A" w:rsidRDefault="00680E9A" w:rsidP="00680E9A">
      <w:pPr>
        <w:spacing w:beforeLines="100" w:afterLines="100" w:line="6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lang/>
        </w:rPr>
        <w:t>非洲猪瘟检测第三方机构名单</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2"/>
        <w:gridCol w:w="7451"/>
        <w:gridCol w:w="1726"/>
      </w:tblGrid>
      <w:tr w:rsidR="00680E9A" w:rsidTr="00050C2F">
        <w:trPr>
          <w:trHeight w:val="680"/>
          <w:jc w:val="center"/>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jc w:val="center"/>
              <w:rPr>
                <w:rFonts w:ascii="黑体" w:eastAsia="黑体" w:hAnsi="黑体" w:cs="黑体"/>
                <w:bCs/>
                <w:color w:val="000000" w:themeColor="text1"/>
                <w:sz w:val="24"/>
                <w:szCs w:val="24"/>
              </w:rPr>
            </w:pPr>
            <w:r>
              <w:rPr>
                <w:rFonts w:ascii="黑体" w:eastAsia="黑体" w:hAnsi="黑体" w:cs="黑体" w:hint="eastAsia"/>
                <w:bCs/>
                <w:color w:val="000000" w:themeColor="text1"/>
                <w:sz w:val="24"/>
                <w:szCs w:val="24"/>
                <w:lang/>
              </w:rPr>
              <w:t>名称</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jc w:val="center"/>
              <w:rPr>
                <w:rFonts w:ascii="黑体" w:eastAsia="黑体" w:hAnsi="黑体" w:cs="黑体"/>
                <w:bCs/>
                <w:color w:val="000000" w:themeColor="text1"/>
                <w:sz w:val="24"/>
                <w:szCs w:val="24"/>
              </w:rPr>
            </w:pPr>
            <w:r>
              <w:rPr>
                <w:rFonts w:ascii="黑体" w:eastAsia="黑体" w:hAnsi="黑体" w:cs="黑体" w:hint="eastAsia"/>
                <w:bCs/>
                <w:color w:val="000000" w:themeColor="text1"/>
                <w:sz w:val="24"/>
                <w:szCs w:val="24"/>
                <w:lang/>
              </w:rPr>
              <w:t>地址</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jc w:val="center"/>
              <w:rPr>
                <w:rFonts w:ascii="黑体" w:eastAsia="黑体" w:hAnsi="黑体" w:cs="黑体"/>
                <w:bCs/>
                <w:color w:val="000000" w:themeColor="text1"/>
                <w:sz w:val="24"/>
                <w:szCs w:val="24"/>
              </w:rPr>
            </w:pPr>
            <w:r>
              <w:rPr>
                <w:rFonts w:ascii="黑体" w:eastAsia="黑体" w:hAnsi="黑体" w:cs="黑体" w:hint="eastAsia"/>
                <w:bCs/>
                <w:color w:val="000000" w:themeColor="text1"/>
                <w:sz w:val="24"/>
                <w:szCs w:val="24"/>
                <w:lang/>
              </w:rPr>
              <w:t>联系电话</w:t>
            </w:r>
          </w:p>
        </w:tc>
      </w:tr>
      <w:tr w:rsidR="00680E9A" w:rsidTr="00050C2F">
        <w:trPr>
          <w:trHeight w:val="680"/>
          <w:jc w:val="center"/>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pStyle w:val="a6"/>
              <w:autoSpaceDE w:val="0"/>
              <w:spacing w:before="0" w:beforeAutospacing="0" w:after="0" w:afterAutospacing="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lang/>
              </w:rPr>
              <w:t>西安海关技术中心</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pStyle w:val="a6"/>
              <w:autoSpaceDE w:val="0"/>
              <w:spacing w:before="0" w:beforeAutospacing="0" w:after="0" w:afterAutospacing="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lang/>
              </w:rPr>
              <w:t>西安市碑林区含光北路10号</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pStyle w:val="a6"/>
              <w:autoSpaceDE w:val="0"/>
              <w:spacing w:before="0" w:beforeAutospacing="0" w:after="0" w:afterAutospacing="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lang/>
              </w:rPr>
              <w:t>18299103382</w:t>
            </w:r>
          </w:p>
        </w:tc>
      </w:tr>
      <w:tr w:rsidR="00680E9A" w:rsidTr="00050C2F">
        <w:trPr>
          <w:trHeight w:val="680"/>
          <w:jc w:val="center"/>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pStyle w:val="a6"/>
              <w:autoSpaceDE w:val="0"/>
              <w:spacing w:before="0" w:beforeAutospacing="0" w:after="0" w:afterAutospacing="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lang/>
              </w:rPr>
              <w:t>陕西诺威利华生物科技有限公司</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pStyle w:val="a6"/>
              <w:autoSpaceDE w:val="0"/>
              <w:spacing w:before="0" w:beforeAutospacing="0" w:after="0" w:afterAutospacing="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lang/>
              </w:rPr>
              <w:t>杨凌示范区博学路种子产业园C区C2K号楼1层101号</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pStyle w:val="a6"/>
              <w:autoSpaceDE w:val="0"/>
              <w:spacing w:before="0" w:beforeAutospacing="0" w:after="0" w:afterAutospacing="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lang/>
              </w:rPr>
              <w:t>15002952860</w:t>
            </w:r>
          </w:p>
        </w:tc>
      </w:tr>
      <w:tr w:rsidR="00680E9A" w:rsidTr="00050C2F">
        <w:trPr>
          <w:trHeight w:val="680"/>
          <w:jc w:val="center"/>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pStyle w:val="a6"/>
              <w:autoSpaceDE w:val="0"/>
              <w:spacing w:before="0" w:beforeAutospacing="0" w:after="0" w:afterAutospacing="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lang/>
              </w:rPr>
              <w:t>陕西农科检测技术有限公司</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pStyle w:val="a6"/>
              <w:autoSpaceDE w:val="0"/>
              <w:spacing w:before="0" w:beforeAutospacing="0" w:after="0" w:afterAutospacing="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lang/>
              </w:rPr>
              <w:t>西安经济技术开发区草滩十路999号C座8层0802室</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pStyle w:val="a6"/>
              <w:autoSpaceDE w:val="0"/>
              <w:spacing w:before="0" w:beforeAutospacing="0" w:after="0" w:afterAutospacing="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lang/>
              </w:rPr>
              <w:t>13032980802</w:t>
            </w:r>
          </w:p>
        </w:tc>
      </w:tr>
      <w:tr w:rsidR="00680E9A" w:rsidTr="00050C2F">
        <w:trPr>
          <w:trHeight w:val="680"/>
          <w:jc w:val="center"/>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pStyle w:val="a6"/>
              <w:autoSpaceDE w:val="0"/>
              <w:spacing w:before="0" w:beforeAutospacing="0" w:after="0" w:afterAutospacing="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lang/>
              </w:rPr>
              <w:t>陕西中科基因检测技术有限公司</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pStyle w:val="a6"/>
              <w:autoSpaceDE w:val="0"/>
              <w:spacing w:before="0" w:beforeAutospacing="0" w:after="0" w:afterAutospacing="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lang/>
              </w:rPr>
              <w:t>西咸新区沣西新城西部云谷1期C2号楼201室</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pStyle w:val="a6"/>
              <w:autoSpaceDE w:val="0"/>
              <w:spacing w:before="0" w:beforeAutospacing="0" w:after="0" w:afterAutospacing="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lang/>
              </w:rPr>
              <w:t>18302969269</w:t>
            </w:r>
          </w:p>
        </w:tc>
      </w:tr>
      <w:tr w:rsidR="00680E9A" w:rsidTr="00050C2F">
        <w:trPr>
          <w:trHeight w:val="680"/>
          <w:jc w:val="center"/>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pStyle w:val="a6"/>
              <w:autoSpaceDE w:val="0"/>
              <w:spacing w:before="0" w:beforeAutospacing="0" w:after="0" w:afterAutospacing="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lang/>
              </w:rPr>
              <w:t>陕西立诺检测技术服务有限公司</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pStyle w:val="a6"/>
              <w:autoSpaceDE w:val="0"/>
              <w:spacing w:before="0" w:beforeAutospacing="0" w:after="0" w:afterAutospacing="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lang/>
              </w:rPr>
              <w:t>西咸新区泾河新城永乐镇美国科技产业园佳禾厂区3号楼5楼</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pStyle w:val="a6"/>
              <w:autoSpaceDE w:val="0"/>
              <w:spacing w:before="0" w:beforeAutospacing="0" w:after="0" w:afterAutospacing="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lang/>
              </w:rPr>
              <w:t>15339109151</w:t>
            </w:r>
          </w:p>
        </w:tc>
      </w:tr>
      <w:tr w:rsidR="00680E9A" w:rsidTr="00050C2F">
        <w:trPr>
          <w:trHeight w:val="680"/>
          <w:jc w:val="center"/>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pStyle w:val="a6"/>
              <w:autoSpaceDE w:val="0"/>
              <w:spacing w:before="0" w:beforeAutospacing="0" w:after="0" w:afterAutospacing="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lang/>
              </w:rPr>
              <w:t>陕西秦云农产品检验检测股份有限公司</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pStyle w:val="a6"/>
              <w:autoSpaceDE w:val="0"/>
              <w:spacing w:before="0" w:beforeAutospacing="0" w:after="0" w:afterAutospacing="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lang/>
              </w:rPr>
              <w:t>渭南市高新技术产业开发区凤鸣街与建业路丁字路口西南角</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pStyle w:val="a6"/>
              <w:autoSpaceDE w:val="0"/>
              <w:spacing w:before="0" w:beforeAutospacing="0" w:after="0" w:afterAutospacing="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lang/>
              </w:rPr>
              <w:t>15719254890</w:t>
            </w:r>
          </w:p>
        </w:tc>
      </w:tr>
    </w:tbl>
    <w:p w:rsidR="00680E9A" w:rsidRDefault="00680E9A" w:rsidP="00680E9A">
      <w:pPr>
        <w:rPr>
          <w:rFonts w:ascii="Calibri" w:eastAsia="新宋体" w:hAnsi="Calibri" w:cs="Times New Roman"/>
          <w:color w:val="000000" w:themeColor="text1"/>
          <w:sz w:val="32"/>
          <w:szCs w:val="32"/>
        </w:rPr>
      </w:pPr>
    </w:p>
    <w:p w:rsidR="00680E9A" w:rsidRDefault="00680E9A" w:rsidP="00680E9A">
      <w:pPr>
        <w:rPr>
          <w:rFonts w:ascii="黑体" w:eastAsia="黑体" w:hAnsi="宋体" w:cs="黑体"/>
          <w:color w:val="000000" w:themeColor="text1"/>
          <w:kern w:val="0"/>
          <w:sz w:val="32"/>
          <w:szCs w:val="32"/>
        </w:rPr>
        <w:sectPr w:rsidR="00680E9A">
          <w:footerReference w:type="default" r:id="rId4"/>
          <w:pgSz w:w="16838" w:h="11906" w:orient="landscape"/>
          <w:pgMar w:top="1871" w:right="1531" w:bottom="1474" w:left="1531" w:header="851" w:footer="1134" w:gutter="0"/>
          <w:cols w:space="425"/>
          <w:docGrid w:type="lines" w:linePitch="312"/>
        </w:sectPr>
      </w:pPr>
    </w:p>
    <w:p w:rsidR="00680E9A" w:rsidRDefault="00680E9A" w:rsidP="00680E9A">
      <w:pPr>
        <w:pStyle w:val="a6"/>
        <w:widowControl w:val="0"/>
        <w:autoSpaceDE w:val="0"/>
        <w:spacing w:before="0" w:beforeAutospacing="0" w:after="0" w:afterAutospacing="0" w:line="600" w:lineRule="exact"/>
        <w:rPr>
          <w:rFonts w:ascii="黑体" w:eastAsia="黑体" w:cs="黑体"/>
          <w:color w:val="000000" w:themeColor="text1"/>
          <w:sz w:val="32"/>
          <w:szCs w:val="32"/>
        </w:rPr>
      </w:pPr>
      <w:r>
        <w:rPr>
          <w:rFonts w:ascii="黑体" w:eastAsia="黑体" w:cs="黑体" w:hint="eastAsia"/>
          <w:color w:val="000000" w:themeColor="text1"/>
          <w:sz w:val="32"/>
          <w:szCs w:val="32"/>
          <w:lang/>
        </w:rPr>
        <w:lastRenderedPageBreak/>
        <w:t>附件2</w:t>
      </w:r>
    </w:p>
    <w:p w:rsidR="00680E9A" w:rsidRDefault="00680E9A" w:rsidP="00680E9A">
      <w:pPr>
        <w:pStyle w:val="a6"/>
        <w:widowControl w:val="0"/>
        <w:autoSpaceDE w:val="0"/>
        <w:spacing w:before="0" w:beforeAutospacing="0" w:after="0" w:afterAutospacing="0" w:line="600" w:lineRule="exact"/>
        <w:rPr>
          <w:rFonts w:ascii="仿宋_GB2312" w:eastAsia="仿宋_GB2312"/>
          <w:color w:val="000000" w:themeColor="text1"/>
          <w:sz w:val="32"/>
          <w:szCs w:val="32"/>
        </w:rPr>
      </w:pPr>
    </w:p>
    <w:p w:rsidR="00680E9A" w:rsidRDefault="00680E9A" w:rsidP="00680E9A">
      <w:pPr>
        <w:autoSpaceDE w:val="0"/>
        <w:spacing w:line="6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lang/>
        </w:rPr>
        <w:t>第三方动物疫病检测机构非洲猪瘟检测</w:t>
      </w:r>
    </w:p>
    <w:p w:rsidR="00680E9A" w:rsidRDefault="00680E9A" w:rsidP="00680E9A">
      <w:pPr>
        <w:autoSpaceDE w:val="0"/>
        <w:spacing w:line="600" w:lineRule="exact"/>
        <w:jc w:val="center"/>
        <w:rPr>
          <w:rFonts w:ascii="黑体" w:eastAsia="黑体" w:hAnsi="宋体" w:cs="黑体"/>
          <w:color w:val="000000" w:themeColor="text1"/>
          <w:sz w:val="44"/>
          <w:szCs w:val="44"/>
        </w:rPr>
      </w:pPr>
      <w:r>
        <w:rPr>
          <w:rFonts w:ascii="方正小标宋简体" w:eastAsia="方正小标宋简体" w:hAnsi="方正小标宋简体" w:cs="方正小标宋简体" w:hint="eastAsia"/>
          <w:bCs/>
          <w:color w:val="000000" w:themeColor="text1"/>
          <w:sz w:val="44"/>
          <w:szCs w:val="44"/>
          <w:lang/>
        </w:rPr>
        <w:t>授权范围及工作要求</w:t>
      </w:r>
    </w:p>
    <w:p w:rsidR="00680E9A" w:rsidRDefault="00680E9A" w:rsidP="00680E9A">
      <w:pPr>
        <w:pStyle w:val="a6"/>
        <w:widowControl w:val="0"/>
        <w:autoSpaceDE w:val="0"/>
        <w:spacing w:before="0" w:beforeAutospacing="0" w:after="0" w:afterAutospacing="0" w:line="600" w:lineRule="exact"/>
        <w:rPr>
          <w:rFonts w:ascii="仿宋_GB2312" w:eastAsia="仿宋_GB2312"/>
          <w:color w:val="000000" w:themeColor="text1"/>
          <w:sz w:val="32"/>
          <w:szCs w:val="32"/>
        </w:rPr>
      </w:pPr>
    </w:p>
    <w:p w:rsidR="00680E9A" w:rsidRDefault="00680E9A" w:rsidP="00680E9A">
      <w:pPr>
        <w:pStyle w:val="a6"/>
        <w:widowControl w:val="0"/>
        <w:autoSpaceDE w:val="0"/>
        <w:spacing w:before="0" w:beforeAutospacing="0" w:after="0" w:afterAutospacing="0" w:line="60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lang/>
        </w:rPr>
        <w:t>一、非洲猪瘟检测范围和方法</w:t>
      </w:r>
    </w:p>
    <w:p w:rsidR="00680E9A" w:rsidRDefault="00680E9A" w:rsidP="00680E9A">
      <w:pPr>
        <w:pStyle w:val="a6"/>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lang/>
        </w:rPr>
        <w:t>在规定的有效期内，第三方兽医检测机构开展检测的范围限于满足日常生产、调运、监管等环节的非洲猪瘟检测工作，不得接收任何病死猪、异常死亡生猪样品的检测和疫病诊断工作。具体检测范围如下：</w:t>
      </w:r>
    </w:p>
    <w:p w:rsidR="00680E9A" w:rsidRDefault="00680E9A" w:rsidP="00680E9A">
      <w:pPr>
        <w:pStyle w:val="a6"/>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lang/>
        </w:rPr>
        <w:t>（一）</w:t>
      </w:r>
      <w:r>
        <w:rPr>
          <w:rFonts w:ascii="仿宋_GB2312" w:eastAsia="仿宋_GB2312" w:hAnsi="仿宋_GB2312" w:cs="仿宋_GB2312" w:hint="eastAsia"/>
          <w:color w:val="000000" w:themeColor="text1"/>
          <w:sz w:val="32"/>
          <w:szCs w:val="32"/>
          <w:lang/>
        </w:rPr>
        <w:t>省内种猪场、规模化养猪场等非洲猪瘟日常检测委托；</w:t>
      </w:r>
    </w:p>
    <w:p w:rsidR="00680E9A" w:rsidRDefault="00680E9A" w:rsidP="00680E9A">
      <w:pPr>
        <w:pStyle w:val="a6"/>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lang/>
        </w:rPr>
        <w:t>（二）</w:t>
      </w:r>
      <w:r>
        <w:rPr>
          <w:rFonts w:ascii="仿宋_GB2312" w:eastAsia="仿宋_GB2312" w:hAnsi="仿宋_GB2312" w:cs="仿宋_GB2312" w:hint="eastAsia"/>
          <w:color w:val="000000" w:themeColor="text1"/>
          <w:sz w:val="32"/>
          <w:szCs w:val="32"/>
          <w:lang/>
        </w:rPr>
        <w:t>省内种猪、仔猪、育肥猪调运环节的非洲猪瘟检测委托，委托检测需经养猪场所在地县级动物卫生监督机构同意，检测结果作为生猪调运前实施产地检疫的依据；</w:t>
      </w:r>
    </w:p>
    <w:p w:rsidR="00680E9A" w:rsidRDefault="00680E9A" w:rsidP="00680E9A">
      <w:pPr>
        <w:pStyle w:val="a6"/>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lang/>
        </w:rPr>
        <w:t>（三）</w:t>
      </w:r>
      <w:r>
        <w:rPr>
          <w:rFonts w:ascii="仿宋_GB2312" w:eastAsia="仿宋_GB2312" w:hAnsi="仿宋_GB2312" w:cs="仿宋_GB2312" w:hint="eastAsia"/>
          <w:color w:val="000000" w:themeColor="text1"/>
          <w:sz w:val="32"/>
          <w:szCs w:val="32"/>
          <w:lang/>
        </w:rPr>
        <w:t>省内生猪定点屠宰厂（场）的非洲猪瘟自检委托，委托检测需经驻场官方兽医同意，检测结果作为官方兽医实施屠宰检疫的依据；</w:t>
      </w:r>
    </w:p>
    <w:p w:rsidR="00680E9A" w:rsidRDefault="00680E9A" w:rsidP="00680E9A">
      <w:pPr>
        <w:pStyle w:val="a6"/>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lang/>
        </w:rPr>
        <w:t>（四）</w:t>
      </w:r>
      <w:r>
        <w:rPr>
          <w:rFonts w:ascii="仿宋_GB2312" w:eastAsia="仿宋_GB2312" w:hAnsi="仿宋_GB2312" w:cs="仿宋_GB2312" w:hint="eastAsia"/>
          <w:color w:val="000000" w:themeColor="text1"/>
          <w:sz w:val="32"/>
          <w:szCs w:val="32"/>
          <w:lang/>
        </w:rPr>
        <w:t>市场监管部门组织开展的流通环节猪肉制品和产品等检测委托，以及林业部门组织开展的野生动物日常监测委托。</w:t>
      </w:r>
    </w:p>
    <w:p w:rsidR="00680E9A" w:rsidRDefault="00680E9A" w:rsidP="00680E9A">
      <w:pPr>
        <w:pStyle w:val="a6"/>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lang/>
        </w:rPr>
        <w:t>（五）</w:t>
      </w:r>
      <w:r>
        <w:rPr>
          <w:rFonts w:ascii="仿宋_GB2312" w:eastAsia="仿宋_GB2312" w:hAnsi="仿宋_GB2312" w:cs="仿宋_GB2312" w:hint="eastAsia"/>
          <w:color w:val="000000" w:themeColor="text1"/>
          <w:sz w:val="32"/>
          <w:szCs w:val="32"/>
          <w:lang/>
        </w:rPr>
        <w:t>承担农业农村部组织的国家动物疫情监测与防治项目需开展的非洲猪瘟检测任务。</w:t>
      </w:r>
    </w:p>
    <w:p w:rsidR="00680E9A" w:rsidRDefault="00680E9A" w:rsidP="00680E9A">
      <w:pPr>
        <w:pStyle w:val="a6"/>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lang/>
        </w:rPr>
        <w:t>第三方动物疫病检测机构开展非洲猪瘟检测，检测方法要严</w:t>
      </w:r>
      <w:r>
        <w:rPr>
          <w:rFonts w:ascii="仿宋_GB2312" w:eastAsia="仿宋_GB2312" w:hAnsi="仿宋_GB2312" w:cs="仿宋_GB2312" w:hint="eastAsia"/>
          <w:color w:val="000000" w:themeColor="text1"/>
          <w:sz w:val="32"/>
          <w:szCs w:val="32"/>
          <w:lang/>
        </w:rPr>
        <w:lastRenderedPageBreak/>
        <w:t>格执行CMA或CNAS认证批准的非洲猪瘟病原学检测方法；检测试剂要统一使用农业农村部批准或经中国动物疫病预防控制中心比对符合要求的试剂盒，试剂盒信息可从中国动物疫病预防控制中心网站查询。</w:t>
      </w:r>
    </w:p>
    <w:p w:rsidR="00680E9A" w:rsidRDefault="00680E9A" w:rsidP="00680E9A">
      <w:pPr>
        <w:pStyle w:val="a6"/>
        <w:widowControl w:val="0"/>
        <w:autoSpaceDE w:val="0"/>
        <w:spacing w:before="0" w:beforeAutospacing="0" w:after="0" w:afterAutospacing="0" w:line="60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lang/>
        </w:rPr>
        <w:t>二、实验室检测管理规定</w:t>
      </w:r>
    </w:p>
    <w:p w:rsidR="00680E9A" w:rsidRDefault="00680E9A" w:rsidP="00680E9A">
      <w:pPr>
        <w:pStyle w:val="a6"/>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lang/>
        </w:rPr>
        <w:t>（一）</w:t>
      </w:r>
      <w:r>
        <w:rPr>
          <w:rFonts w:ascii="仿宋_GB2312" w:eastAsia="仿宋_GB2312" w:hAnsi="仿宋_GB2312" w:cs="仿宋_GB2312" w:hint="eastAsia"/>
          <w:color w:val="000000" w:themeColor="text1"/>
          <w:sz w:val="32"/>
          <w:szCs w:val="32"/>
          <w:lang/>
        </w:rPr>
        <w:t>第三方动物疫病检测机构兽医实验室要按照《病原微生物实验室生物安全管理条例》等有关规定，完善《实验室非洲猪瘟生物安全应急预案》《实验室非洲猪瘟生物安全操作手册》等生物安全管理、安全防护、感染控制和生物安全应急预案等规章制度，并严格执行、规范操作和处置。要按照签订的《实验室生物安全责任承诺书》，认真履行生物安全主体责任，落实生物安全措施，严控生物安全风险。</w:t>
      </w:r>
    </w:p>
    <w:p w:rsidR="00680E9A" w:rsidRDefault="00680E9A" w:rsidP="00680E9A">
      <w:pPr>
        <w:pStyle w:val="a6"/>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lang/>
        </w:rPr>
        <w:t>（二）</w:t>
      </w:r>
      <w:r>
        <w:rPr>
          <w:rFonts w:ascii="仿宋_GB2312" w:eastAsia="仿宋_GB2312" w:hAnsi="仿宋_GB2312" w:cs="仿宋_GB2312" w:hint="eastAsia"/>
          <w:color w:val="000000" w:themeColor="text1"/>
          <w:sz w:val="32"/>
          <w:szCs w:val="32"/>
          <w:lang/>
        </w:rPr>
        <w:t>第三方动物疫病检测机构要严格遵守实验室生物安全操作规范，样品检测前，要在生物安全柜中对样品进行处理和灭活。每批样品检测结束后，要对检测过程中产生的废物、废液等进行消毒和无害化处理，并对相关仪器、工作台面、环境进行严格消毒。未经我厅批准，任何单位和个人不得采集病料；除农业农村部指定的实验室外，任何单位和个人不得擅自保存病料；未经农业农村部批准，任何单位和个人不得分离非洲猪瘟病毒，不得进行动物感染实验。</w:t>
      </w:r>
    </w:p>
    <w:p w:rsidR="00680E9A" w:rsidRDefault="00680E9A" w:rsidP="00680E9A">
      <w:pPr>
        <w:pStyle w:val="a6"/>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lang/>
        </w:rPr>
        <w:t>（三）</w:t>
      </w:r>
      <w:r>
        <w:rPr>
          <w:rFonts w:ascii="仿宋_GB2312" w:eastAsia="仿宋_GB2312" w:hAnsi="仿宋_GB2312" w:cs="仿宋_GB2312" w:hint="eastAsia"/>
          <w:color w:val="000000" w:themeColor="text1"/>
          <w:sz w:val="32"/>
          <w:szCs w:val="32"/>
          <w:lang/>
        </w:rPr>
        <w:t>第三方动物疫病检测机构要严格遵守国家有关法律法规和非洲猪瘟实验室检测的有关规定，认真做好实验室检测原始</w:t>
      </w:r>
      <w:r>
        <w:rPr>
          <w:rFonts w:ascii="仿宋_GB2312" w:eastAsia="仿宋_GB2312" w:hAnsi="仿宋_GB2312" w:cs="仿宋_GB2312" w:hint="eastAsia"/>
          <w:color w:val="000000" w:themeColor="text1"/>
          <w:sz w:val="32"/>
          <w:szCs w:val="32"/>
          <w:lang/>
        </w:rPr>
        <w:lastRenderedPageBreak/>
        <w:t>记录和档案保存，确保数据真实完整，检测报告出具规范。要对检测原始记录、报告、证书等归档留存，保证其具有可追溯性。原始记录至少要包含机打机读的当批检测结果CT值和扩增曲线，或是凝胶电泳照片。相关记录保存6年以上。</w:t>
      </w:r>
    </w:p>
    <w:p w:rsidR="00680E9A" w:rsidRDefault="00680E9A" w:rsidP="00680E9A">
      <w:pPr>
        <w:pStyle w:val="a6"/>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lang/>
        </w:rPr>
        <w:t>（四）</w:t>
      </w:r>
      <w:r>
        <w:rPr>
          <w:rFonts w:ascii="仿宋_GB2312" w:eastAsia="仿宋_GB2312" w:hAnsi="仿宋_GB2312" w:cs="仿宋_GB2312" w:hint="eastAsia"/>
          <w:color w:val="000000" w:themeColor="text1"/>
          <w:sz w:val="32"/>
          <w:szCs w:val="32"/>
          <w:lang/>
        </w:rPr>
        <w:t>第三方动物疫病检测机构要及时将检测结果向委托方进行反馈，并按要求认真填写《第三方动物疫病检测机构非洲猪瘟检测结果汇总表》（见附表），于每月5日前将上月非洲猪瘟检测数据报送省动物疫病预防控制中心（联系人：李雷斌，电话/传真：029-86269295，邮箱：ykzxzdk＠126.com）。省动物疫病预防控制中心每月将第三方检测数据通过“动物疫病防控及动物卫生监督云平台”“疫病监测月报”向中国动物疫病预防控制中心报送。</w:t>
      </w:r>
    </w:p>
    <w:p w:rsidR="00680E9A" w:rsidRDefault="00680E9A" w:rsidP="00680E9A">
      <w:pPr>
        <w:pStyle w:val="a6"/>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lang/>
        </w:rPr>
        <w:t>（五）</w:t>
      </w:r>
      <w:r>
        <w:rPr>
          <w:rFonts w:ascii="仿宋_GB2312" w:eastAsia="仿宋_GB2312" w:hAnsi="仿宋_GB2312" w:cs="仿宋_GB2312" w:hint="eastAsia"/>
          <w:color w:val="000000" w:themeColor="text1"/>
          <w:sz w:val="32"/>
          <w:szCs w:val="32"/>
          <w:lang/>
        </w:rPr>
        <w:t>一旦发现非洲猪瘟疑似阳性样品，第三方动物疫病检测机构应立即报告省动物疫病预防控制中心，并将疑似阳性样品送省动物疫病预防控制中心复核。同时，将结果通报样品来源地县级农业农村部门，由样品来源地县级农业农村部门按规定程序进行处置并逐级上报。</w:t>
      </w:r>
    </w:p>
    <w:p w:rsidR="00680E9A" w:rsidRDefault="00680E9A" w:rsidP="00680E9A">
      <w:pPr>
        <w:pStyle w:val="a6"/>
        <w:widowControl w:val="0"/>
        <w:autoSpaceDE w:val="0"/>
        <w:spacing w:before="0" w:beforeAutospacing="0" w:after="0" w:afterAutospacing="0" w:line="60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lang/>
        </w:rPr>
        <w:t>三、有关要求</w:t>
      </w:r>
    </w:p>
    <w:p w:rsidR="00680E9A" w:rsidRDefault="00680E9A" w:rsidP="00680E9A">
      <w:pPr>
        <w:pStyle w:val="a6"/>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lang/>
        </w:rPr>
        <w:t>（一）</w:t>
      </w:r>
      <w:r>
        <w:rPr>
          <w:rFonts w:ascii="仿宋_GB2312" w:eastAsia="仿宋_GB2312" w:hAnsi="仿宋_GB2312" w:cs="仿宋_GB2312" w:hint="eastAsia"/>
          <w:color w:val="000000" w:themeColor="text1"/>
          <w:sz w:val="32"/>
          <w:szCs w:val="32"/>
          <w:lang/>
        </w:rPr>
        <w:t>各级农业农村部门要切实履行属地管理责任，做好辖区内第三方动物疫病检测实验室的实验活动和生物安全监管工作，督促其加强内部管理，制定并严格落实生物安全管理、安全防护、感染控制和生物安全应急预案等规章制度，并定期开展技</w:t>
      </w:r>
      <w:r>
        <w:rPr>
          <w:rFonts w:ascii="仿宋_GB2312" w:eastAsia="仿宋_GB2312" w:hAnsi="仿宋_GB2312" w:cs="仿宋_GB2312" w:hint="eastAsia"/>
          <w:color w:val="000000" w:themeColor="text1"/>
          <w:sz w:val="32"/>
          <w:szCs w:val="32"/>
          <w:lang/>
        </w:rPr>
        <w:lastRenderedPageBreak/>
        <w:t>术指导与监督检查，对存在检测不规范、记录不完整、报告不及时、弄虚作假的第三方检测机构，要及时督促进行整改，并将有关情况报告我厅。我厅将不定期组织开展监督抽查，一旦发现未履行相关规定、超范围开展检测、擅自发布检测信息、存在生物安全风险的第三方动物疫病检测机构，取消其承担非洲猪瘟检测资格，并将有关情况通报市场监管部门进行查处。</w:t>
      </w:r>
    </w:p>
    <w:p w:rsidR="00680E9A" w:rsidRDefault="00680E9A" w:rsidP="00680E9A">
      <w:pPr>
        <w:pStyle w:val="a6"/>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lang/>
        </w:rPr>
        <w:t>（二）</w:t>
      </w:r>
      <w:r>
        <w:rPr>
          <w:rFonts w:ascii="仿宋_GB2312" w:eastAsia="仿宋_GB2312" w:hAnsi="仿宋_GB2312" w:cs="仿宋_GB2312" w:hint="eastAsia"/>
          <w:color w:val="000000" w:themeColor="text1"/>
          <w:sz w:val="32"/>
          <w:szCs w:val="32"/>
          <w:lang/>
        </w:rPr>
        <w:t>省动物疫病预防控制中心要加强第三方动物疫病检测机构的检测业务指导，每年至少开展一次检测能力比对，一旦出现比对结果不符合等情况，应立即暂停其检测活动，查找原因并整改完成后方可继续开展检测工作；要定期开展技术指导和监督抽检，包括非洲猪瘟检测技术培训、检测结果核查等。</w:t>
      </w:r>
    </w:p>
    <w:p w:rsidR="00680E9A" w:rsidRDefault="00680E9A" w:rsidP="00680E9A">
      <w:pPr>
        <w:pStyle w:val="a6"/>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lang/>
        </w:rPr>
        <w:t>（三）</w:t>
      </w:r>
      <w:r>
        <w:rPr>
          <w:rFonts w:ascii="仿宋_GB2312" w:eastAsia="仿宋_GB2312" w:hAnsi="仿宋_GB2312" w:cs="仿宋_GB2312" w:hint="eastAsia"/>
          <w:color w:val="000000" w:themeColor="text1"/>
          <w:sz w:val="32"/>
          <w:szCs w:val="32"/>
          <w:lang/>
        </w:rPr>
        <w:t>未经我厅同意，第三方动物疫病检测机构或其工作人员不得擅自向外发布检测数据信息，不得开展非洲猪瘟、高致病性禽流感、口蹄疫、小反刍兽疫等重大动物疫病诊断工作。</w:t>
      </w:r>
    </w:p>
    <w:p w:rsidR="00680E9A" w:rsidRDefault="00680E9A" w:rsidP="00680E9A">
      <w:pPr>
        <w:pStyle w:val="a6"/>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lang/>
        </w:rPr>
        <w:t>（四）未经认定授权的第三方动物疫病检测机构不得开展非洲猪瘟等重大动物疫病检测工作。</w:t>
      </w:r>
    </w:p>
    <w:p w:rsidR="00680E9A" w:rsidRDefault="00680E9A" w:rsidP="00680E9A">
      <w:pPr>
        <w:pStyle w:val="a6"/>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p>
    <w:p w:rsidR="00680E9A" w:rsidRDefault="00680E9A" w:rsidP="00680E9A">
      <w:pPr>
        <w:pStyle w:val="a6"/>
        <w:widowControl w:val="0"/>
        <w:autoSpaceDE w:val="0"/>
        <w:spacing w:before="0" w:beforeAutospacing="0" w:after="0" w:afterAutospacing="0" w:line="600" w:lineRule="exact"/>
        <w:ind w:firstLineChars="200" w:firstLine="640"/>
        <w:jc w:val="both"/>
        <w:rPr>
          <w:color w:val="000000" w:themeColor="text1"/>
        </w:rPr>
      </w:pPr>
      <w:r>
        <w:rPr>
          <w:rFonts w:ascii="仿宋_GB2312" w:eastAsia="仿宋_GB2312" w:hAnsi="仿宋_GB2312" w:cs="仿宋_GB2312" w:hint="eastAsia"/>
          <w:color w:val="000000" w:themeColor="text1"/>
          <w:sz w:val="32"/>
          <w:szCs w:val="32"/>
          <w:lang/>
        </w:rPr>
        <w:t>附表：第三方动物疫病检测机构非洲猪瘟检测结果汇总表</w:t>
      </w:r>
    </w:p>
    <w:p w:rsidR="00680E9A" w:rsidRDefault="00680E9A" w:rsidP="00680E9A">
      <w:pPr>
        <w:rPr>
          <w:rFonts w:ascii="黑体" w:eastAsia="黑体" w:hAnsi="宋体" w:cs="Times New Roman"/>
          <w:color w:val="000000" w:themeColor="text1"/>
          <w:sz w:val="32"/>
          <w:szCs w:val="32"/>
        </w:rPr>
        <w:sectPr w:rsidR="00680E9A">
          <w:footerReference w:type="default" r:id="rId5"/>
          <w:type w:val="continuous"/>
          <w:pgSz w:w="11906" w:h="16838" w:orient="landscape"/>
          <w:pgMar w:top="1871" w:right="1531" w:bottom="1474" w:left="1531" w:header="851" w:footer="1134" w:gutter="0"/>
          <w:cols w:space="425"/>
          <w:docGrid w:type="lines" w:linePitch="312"/>
        </w:sectPr>
      </w:pPr>
    </w:p>
    <w:p w:rsidR="00680E9A" w:rsidRDefault="00680E9A" w:rsidP="00680E9A">
      <w:pPr>
        <w:autoSpaceDE w:val="0"/>
        <w:spacing w:line="600" w:lineRule="exact"/>
        <w:jc w:val="left"/>
        <w:rPr>
          <w:rFonts w:ascii="黑体" w:eastAsia="黑体" w:hAnsi="宋体" w:cs="Times New Roman"/>
          <w:color w:val="000000" w:themeColor="text1"/>
          <w:sz w:val="32"/>
          <w:szCs w:val="32"/>
        </w:rPr>
      </w:pPr>
      <w:r>
        <w:rPr>
          <w:rFonts w:ascii="黑体" w:eastAsia="黑体" w:hAnsi="宋体" w:cs="黑体" w:hint="eastAsia"/>
          <w:color w:val="000000" w:themeColor="text1"/>
          <w:sz w:val="32"/>
          <w:szCs w:val="32"/>
          <w:lang/>
        </w:rPr>
        <w:lastRenderedPageBreak/>
        <w:t>附表</w:t>
      </w:r>
    </w:p>
    <w:p w:rsidR="00680E9A" w:rsidRDefault="00680E9A" w:rsidP="00680E9A">
      <w:pPr>
        <w:autoSpaceDE w:val="0"/>
        <w:spacing w:beforeLines="100" w:afterLines="100" w:line="6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lang/>
        </w:rPr>
        <w:t>第三方动物疫病检测机构非洲猪瘟检测结果汇总表</w:t>
      </w:r>
    </w:p>
    <w:p w:rsidR="00680E9A" w:rsidRDefault="00680E9A" w:rsidP="00680E9A">
      <w:pPr>
        <w:autoSpaceDE w:val="0"/>
        <w:spacing w:line="600" w:lineRule="exact"/>
        <w:rPr>
          <w:rFonts w:ascii="仿宋_GB2312" w:eastAsia="仿宋_GB2312" w:hAnsi="宋体" w:cs="宋体"/>
          <w:bCs/>
          <w:color w:val="000000" w:themeColor="text1"/>
          <w:sz w:val="28"/>
          <w:szCs w:val="28"/>
        </w:rPr>
      </w:pPr>
      <w:r>
        <w:rPr>
          <w:rFonts w:ascii="仿宋_GB2312" w:eastAsia="仿宋_GB2312" w:hAnsi="宋体" w:cs="仿宋_GB2312" w:hint="eastAsia"/>
          <w:color w:val="000000" w:themeColor="text1"/>
          <w:sz w:val="28"/>
          <w:szCs w:val="28"/>
          <w:lang/>
        </w:rPr>
        <w:t>填报单位（盖章）：填报人：填报日期：联系电话：</w:t>
      </w: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268"/>
        <w:gridCol w:w="709"/>
        <w:gridCol w:w="2410"/>
        <w:gridCol w:w="850"/>
        <w:gridCol w:w="1135"/>
        <w:gridCol w:w="1134"/>
        <w:gridCol w:w="708"/>
        <w:gridCol w:w="1134"/>
        <w:gridCol w:w="850"/>
        <w:gridCol w:w="851"/>
        <w:gridCol w:w="1195"/>
      </w:tblGrid>
      <w:tr w:rsidR="00680E9A" w:rsidTr="00050C2F">
        <w:trPr>
          <w:trHeight w:val="73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lang/>
              </w:rPr>
              <w:t>序号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lang/>
              </w:rPr>
              <w:t>场点名称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lang/>
              </w:rPr>
              <w:t>场点类型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lang/>
              </w:rPr>
              <w:t>场点地址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lang/>
              </w:rPr>
              <w:t>存栏数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lang/>
              </w:rPr>
              <w:t>采样日期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lang/>
              </w:rPr>
              <w:t>样品类型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lang/>
              </w:rPr>
              <w:t>样品数量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lang/>
              </w:rPr>
              <w:t>检测日期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lang/>
              </w:rPr>
              <w:t>阳性数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lang/>
              </w:rPr>
              <w:t>阴性数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lang/>
              </w:rPr>
              <w:t>备注</w:t>
            </w:r>
          </w:p>
        </w:tc>
      </w:tr>
      <w:tr w:rsidR="00680E9A" w:rsidTr="00050C2F">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b/>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b/>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b/>
                <w:color w:val="000000" w:themeColor="text1"/>
                <w:szCs w:val="21"/>
              </w:rPr>
            </w:pPr>
          </w:p>
        </w:tc>
      </w:tr>
      <w:tr w:rsidR="00680E9A" w:rsidTr="00050C2F">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r>
      <w:tr w:rsidR="00680E9A" w:rsidTr="00050C2F">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r>
      <w:tr w:rsidR="00680E9A" w:rsidTr="00050C2F">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r>
      <w:tr w:rsidR="00680E9A" w:rsidTr="00050C2F">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widowControl/>
              <w:autoSpaceDE w:val="0"/>
              <w:jc w:val="left"/>
              <w:rPr>
                <w:rFonts w:ascii="仿宋_GB2312" w:eastAsia="仿宋_GB2312" w:hAnsi="仿宋_GB2312" w:cs="仿宋_GB2312"/>
                <w:b/>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r>
      <w:tr w:rsidR="00680E9A" w:rsidTr="00050C2F">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680E9A" w:rsidRDefault="00680E9A" w:rsidP="00050C2F">
            <w:pPr>
              <w:autoSpaceDE w:val="0"/>
              <w:rPr>
                <w:rFonts w:ascii="仿宋_GB2312" w:eastAsia="仿宋_GB2312" w:hAnsi="仿宋_GB2312" w:cs="仿宋_GB2312"/>
                <w:color w:val="000000" w:themeColor="text1"/>
                <w:szCs w:val="21"/>
              </w:rPr>
            </w:pPr>
          </w:p>
        </w:tc>
      </w:tr>
    </w:tbl>
    <w:p w:rsidR="00680E9A" w:rsidRDefault="00680E9A" w:rsidP="00680E9A">
      <w:pPr>
        <w:autoSpaceDE w:val="0"/>
        <w:spacing w:line="500" w:lineRule="exact"/>
        <w:rPr>
          <w:rFonts w:ascii="仿宋_GB2312" w:eastAsia="仿宋_GB2312" w:hAnsi="宋体" w:cs="宋体"/>
          <w:color w:val="000000" w:themeColor="text1"/>
          <w:sz w:val="28"/>
          <w:szCs w:val="28"/>
        </w:rPr>
      </w:pPr>
      <w:r>
        <w:rPr>
          <w:rFonts w:ascii="仿宋_GB2312" w:eastAsia="仿宋_GB2312" w:hAnsi="宋体" w:cs="仿宋_GB2312" w:hint="eastAsia"/>
          <w:color w:val="000000" w:themeColor="text1"/>
          <w:sz w:val="28"/>
          <w:szCs w:val="28"/>
          <w:lang/>
        </w:rPr>
        <w:t>注：1.序号按照检测批次填写；</w:t>
      </w:r>
    </w:p>
    <w:p w:rsidR="00680E9A" w:rsidRDefault="00680E9A" w:rsidP="00680E9A">
      <w:pPr>
        <w:autoSpaceDE w:val="0"/>
        <w:spacing w:line="500" w:lineRule="exact"/>
        <w:ind w:firstLineChars="200" w:firstLine="560"/>
        <w:rPr>
          <w:rFonts w:ascii="仿宋_GB2312" w:eastAsia="仿宋_GB2312" w:hAnsi="宋体" w:cs="仿宋_GB2312"/>
          <w:color w:val="000000" w:themeColor="text1"/>
          <w:sz w:val="28"/>
          <w:szCs w:val="28"/>
          <w:lang/>
        </w:rPr>
      </w:pPr>
      <w:r>
        <w:rPr>
          <w:rFonts w:ascii="仿宋_GB2312" w:eastAsia="仿宋_GB2312" w:hAnsi="宋体" w:cs="仿宋_GB2312" w:hint="eastAsia"/>
          <w:color w:val="000000" w:themeColor="text1"/>
          <w:sz w:val="28"/>
          <w:szCs w:val="28"/>
          <w:lang/>
        </w:rPr>
        <w:t>2.场点类型包括养殖场、屠宰场、食品批发市场、肉制品加工企业、冷库、洗消中心等；3.样品类型包括生</w:t>
      </w:r>
    </w:p>
    <w:p w:rsidR="00680E9A" w:rsidRDefault="00680E9A" w:rsidP="00680E9A">
      <w:pPr>
        <w:autoSpaceDE w:val="0"/>
        <w:spacing w:line="500" w:lineRule="exact"/>
        <w:ind w:firstLineChars="300" w:firstLine="840"/>
        <w:rPr>
          <w:color w:val="000000" w:themeColor="text1"/>
        </w:rPr>
      </w:pPr>
      <w:r>
        <w:rPr>
          <w:rFonts w:ascii="仿宋_GB2312" w:eastAsia="仿宋_GB2312" w:hAnsi="宋体" w:cs="仿宋_GB2312" w:hint="eastAsia"/>
          <w:color w:val="000000" w:themeColor="text1"/>
          <w:sz w:val="28"/>
          <w:szCs w:val="28"/>
          <w:lang/>
        </w:rPr>
        <w:t>猪产品、生猪制品、血样、环境样品等。</w:t>
      </w:r>
    </w:p>
    <w:p w:rsidR="00680E9A" w:rsidRDefault="00680E9A" w:rsidP="00680E9A">
      <w:pPr>
        <w:pStyle w:val="a0"/>
        <w:spacing w:after="0" w:line="600" w:lineRule="exact"/>
        <w:ind w:firstLineChars="200" w:firstLine="640"/>
        <w:rPr>
          <w:rFonts w:ascii="仿宋_GB2312" w:eastAsia="仿宋_GB2312" w:hAnsi="仿宋_GB2312" w:cs="仿宋_GB2312"/>
          <w:color w:val="000000" w:themeColor="text1"/>
          <w:kern w:val="0"/>
          <w:sz w:val="32"/>
          <w:szCs w:val="32"/>
        </w:rPr>
        <w:sectPr w:rsidR="00680E9A">
          <w:footerReference w:type="even" r:id="rId6"/>
          <w:pgSz w:w="16838" w:h="11906" w:orient="landscape"/>
          <w:pgMar w:top="1871" w:right="1531" w:bottom="1474" w:left="1531" w:header="851" w:footer="1134" w:gutter="0"/>
          <w:cols w:space="425"/>
          <w:docGrid w:linePitch="312"/>
        </w:sectPr>
      </w:pPr>
    </w:p>
    <w:p w:rsidR="00680E9A" w:rsidRDefault="00680E9A" w:rsidP="00680E9A">
      <w:pPr>
        <w:pStyle w:val="a0"/>
        <w:ind w:firstLine="210"/>
        <w:rPr>
          <w:color w:val="000000" w:themeColor="text1"/>
        </w:rPr>
      </w:pPr>
    </w:p>
    <w:p w:rsidR="00680E9A" w:rsidRDefault="00680E9A" w:rsidP="00680E9A">
      <w:pPr>
        <w:pStyle w:val="a5"/>
        <w:spacing w:line="240" w:lineRule="exact"/>
        <w:ind w:firstLineChars="0" w:firstLine="0"/>
        <w:rPr>
          <w:color w:val="000000" w:themeColor="text1"/>
        </w:rPr>
      </w:pPr>
    </w:p>
    <w:p w:rsidR="00680E9A" w:rsidRDefault="00680E9A" w:rsidP="00680E9A">
      <w:pPr>
        <w:pStyle w:val="a5"/>
        <w:spacing w:line="240" w:lineRule="exact"/>
        <w:ind w:firstLineChars="0" w:firstLine="0"/>
        <w:rPr>
          <w:color w:val="000000" w:themeColor="text1"/>
        </w:rPr>
      </w:pPr>
    </w:p>
    <w:p w:rsidR="00680E9A" w:rsidRDefault="00680E9A" w:rsidP="00680E9A">
      <w:pPr>
        <w:pStyle w:val="5"/>
        <w:ind w:left="0"/>
        <w:rPr>
          <w:color w:val="000000" w:themeColor="text1"/>
        </w:rPr>
      </w:pPr>
    </w:p>
    <w:p w:rsidR="00680E9A" w:rsidRDefault="00680E9A" w:rsidP="00680E9A">
      <w:pPr>
        <w:rPr>
          <w:color w:val="000000" w:themeColor="text1"/>
        </w:rPr>
      </w:pPr>
    </w:p>
    <w:p w:rsidR="00680E9A" w:rsidRDefault="00680E9A" w:rsidP="00680E9A">
      <w:pPr>
        <w:pStyle w:val="a5"/>
        <w:spacing w:line="240" w:lineRule="exact"/>
        <w:ind w:firstLineChars="0" w:firstLine="0"/>
        <w:rPr>
          <w:color w:val="000000" w:themeColor="text1"/>
        </w:rPr>
      </w:pPr>
    </w:p>
    <w:p w:rsidR="00680E9A" w:rsidRDefault="00680E9A" w:rsidP="00680E9A">
      <w:pPr>
        <w:rPr>
          <w:color w:val="000000" w:themeColor="text1"/>
        </w:rPr>
      </w:pPr>
    </w:p>
    <w:p w:rsidR="00680E9A" w:rsidRDefault="00680E9A" w:rsidP="00680E9A">
      <w:pPr>
        <w:pStyle w:val="a5"/>
        <w:spacing w:line="240" w:lineRule="exact"/>
        <w:ind w:firstLineChars="0" w:firstLine="0"/>
        <w:rPr>
          <w:color w:val="000000" w:themeColor="text1"/>
        </w:rPr>
      </w:pPr>
    </w:p>
    <w:p w:rsidR="00680E9A" w:rsidRDefault="00680E9A" w:rsidP="00680E9A">
      <w:pPr>
        <w:rPr>
          <w:color w:val="000000" w:themeColor="text1"/>
        </w:rPr>
      </w:pPr>
    </w:p>
    <w:p w:rsidR="00680E9A" w:rsidRDefault="00680E9A" w:rsidP="00680E9A">
      <w:pPr>
        <w:pStyle w:val="a5"/>
        <w:spacing w:line="240" w:lineRule="exact"/>
        <w:ind w:firstLineChars="0" w:firstLine="0"/>
        <w:rPr>
          <w:color w:val="000000" w:themeColor="text1"/>
        </w:rPr>
      </w:pPr>
    </w:p>
    <w:p w:rsidR="00680E9A" w:rsidRDefault="00680E9A" w:rsidP="00680E9A">
      <w:pPr>
        <w:pStyle w:val="a5"/>
        <w:spacing w:line="240" w:lineRule="exact"/>
        <w:ind w:firstLineChars="0" w:firstLine="0"/>
        <w:rPr>
          <w:color w:val="000000" w:themeColor="text1"/>
        </w:rPr>
      </w:pPr>
    </w:p>
    <w:p w:rsidR="00680E9A" w:rsidRDefault="00680E9A" w:rsidP="00680E9A">
      <w:pPr>
        <w:rPr>
          <w:color w:val="000000" w:themeColor="text1"/>
        </w:rPr>
      </w:pPr>
    </w:p>
    <w:p w:rsidR="00680E9A" w:rsidRDefault="00680E9A" w:rsidP="00680E9A">
      <w:pPr>
        <w:pStyle w:val="a5"/>
        <w:spacing w:line="240" w:lineRule="exact"/>
        <w:ind w:firstLineChars="0" w:firstLine="0"/>
        <w:rPr>
          <w:color w:val="000000" w:themeColor="text1"/>
        </w:rPr>
      </w:pPr>
    </w:p>
    <w:p w:rsidR="00680E9A" w:rsidRDefault="00680E9A" w:rsidP="00680E9A">
      <w:pPr>
        <w:pStyle w:val="5"/>
        <w:ind w:left="0"/>
        <w:rPr>
          <w:color w:val="000000" w:themeColor="text1"/>
        </w:rPr>
      </w:pPr>
    </w:p>
    <w:p w:rsidR="00680E9A" w:rsidRDefault="00680E9A" w:rsidP="00680E9A">
      <w:pPr>
        <w:rPr>
          <w:color w:val="000000" w:themeColor="text1"/>
        </w:rPr>
      </w:pPr>
    </w:p>
    <w:p w:rsidR="00680E9A" w:rsidRDefault="00680E9A" w:rsidP="00680E9A">
      <w:pPr>
        <w:pStyle w:val="a5"/>
        <w:spacing w:line="240" w:lineRule="exact"/>
        <w:ind w:firstLineChars="0" w:firstLine="0"/>
        <w:rPr>
          <w:color w:val="000000" w:themeColor="text1"/>
        </w:rPr>
      </w:pPr>
    </w:p>
    <w:p w:rsidR="00680E9A" w:rsidRDefault="00680E9A" w:rsidP="00680E9A">
      <w:pPr>
        <w:pStyle w:val="5"/>
        <w:ind w:left="0"/>
        <w:rPr>
          <w:color w:val="000000" w:themeColor="text1"/>
        </w:rPr>
      </w:pPr>
    </w:p>
    <w:p w:rsidR="00680E9A" w:rsidRDefault="00680E9A" w:rsidP="00680E9A">
      <w:pPr>
        <w:rPr>
          <w:color w:val="000000" w:themeColor="text1"/>
        </w:rPr>
      </w:pPr>
    </w:p>
    <w:p w:rsidR="00680E9A" w:rsidRDefault="00680E9A" w:rsidP="00680E9A">
      <w:pPr>
        <w:pStyle w:val="a5"/>
        <w:spacing w:line="240" w:lineRule="exact"/>
        <w:ind w:firstLineChars="0" w:firstLine="0"/>
        <w:rPr>
          <w:color w:val="000000" w:themeColor="text1"/>
        </w:rPr>
      </w:pPr>
    </w:p>
    <w:p w:rsidR="00680E9A" w:rsidRDefault="00680E9A" w:rsidP="00680E9A">
      <w:pPr>
        <w:pStyle w:val="a5"/>
        <w:spacing w:line="240" w:lineRule="exact"/>
        <w:ind w:firstLineChars="0" w:firstLine="0"/>
        <w:rPr>
          <w:color w:val="000000" w:themeColor="text1"/>
        </w:rPr>
      </w:pPr>
    </w:p>
    <w:p w:rsidR="00680E9A" w:rsidRDefault="00680E9A" w:rsidP="00680E9A">
      <w:pPr>
        <w:pStyle w:val="a5"/>
        <w:spacing w:line="240" w:lineRule="exact"/>
        <w:ind w:firstLineChars="0" w:firstLine="0"/>
        <w:rPr>
          <w:color w:val="000000" w:themeColor="text1"/>
        </w:rPr>
      </w:pPr>
    </w:p>
    <w:p w:rsidR="00680E9A" w:rsidRDefault="00680E9A" w:rsidP="00680E9A">
      <w:pPr>
        <w:pStyle w:val="5"/>
        <w:ind w:left="0"/>
        <w:rPr>
          <w:color w:val="000000" w:themeColor="text1"/>
        </w:rPr>
      </w:pPr>
    </w:p>
    <w:p w:rsidR="00680E9A" w:rsidRDefault="00680E9A" w:rsidP="00680E9A">
      <w:pPr>
        <w:rPr>
          <w:color w:val="000000" w:themeColor="text1"/>
        </w:rPr>
      </w:pPr>
    </w:p>
    <w:p w:rsidR="00680E9A" w:rsidRDefault="00680E9A" w:rsidP="00680E9A">
      <w:pPr>
        <w:pStyle w:val="a5"/>
        <w:spacing w:line="240" w:lineRule="exact"/>
        <w:ind w:firstLineChars="0" w:firstLine="0"/>
        <w:rPr>
          <w:color w:val="000000" w:themeColor="text1"/>
        </w:rPr>
      </w:pPr>
    </w:p>
    <w:p w:rsidR="00680E9A" w:rsidRDefault="00680E9A" w:rsidP="00680E9A">
      <w:pPr>
        <w:rPr>
          <w:color w:val="000000" w:themeColor="text1"/>
        </w:rPr>
      </w:pPr>
    </w:p>
    <w:p w:rsidR="00680E9A" w:rsidRDefault="00680E9A" w:rsidP="00680E9A">
      <w:pPr>
        <w:pStyle w:val="a5"/>
        <w:spacing w:line="240" w:lineRule="exact"/>
        <w:ind w:firstLineChars="0" w:firstLine="0"/>
        <w:rPr>
          <w:color w:val="000000" w:themeColor="text1"/>
        </w:rPr>
      </w:pPr>
    </w:p>
    <w:p w:rsidR="00680E9A" w:rsidRDefault="00680E9A" w:rsidP="00680E9A">
      <w:pPr>
        <w:rPr>
          <w:color w:val="000000" w:themeColor="text1"/>
        </w:rPr>
      </w:pPr>
    </w:p>
    <w:p w:rsidR="00680E9A" w:rsidRDefault="00680E9A" w:rsidP="00680E9A">
      <w:pPr>
        <w:pStyle w:val="a5"/>
        <w:spacing w:line="240" w:lineRule="exact"/>
        <w:ind w:firstLineChars="0" w:firstLine="0"/>
        <w:rPr>
          <w:color w:val="000000" w:themeColor="text1"/>
        </w:rPr>
      </w:pPr>
    </w:p>
    <w:p w:rsidR="00A96574" w:rsidRPr="00680E9A" w:rsidRDefault="00A96574"/>
    <w:sectPr w:rsidR="00A96574" w:rsidRPr="00680E9A" w:rsidSect="00A965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altName w:val="方正书宋_GBK"/>
    <w:panose1 w:val="02010609030101010101"/>
    <w:charset w:val="00"/>
    <w:family w:val="auto"/>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09" w:rsidRDefault="00680E9A">
    <w:pPr>
      <w:pStyle w:val="a7"/>
      <w:jc w:val="center"/>
    </w:pPr>
    <w:r>
      <w:rPr>
        <w:rFonts w:ascii="仿宋_GB2312" w:eastAsia="仿宋_GB2312" w:hint="eastAsia"/>
        <w:sz w:val="28"/>
        <w:szCs w:val="28"/>
      </w:rPr>
      <w:t>—</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Pr="00680E9A">
      <w:rPr>
        <w:rFonts w:ascii="仿宋_GB2312" w:eastAsia="仿宋_GB2312"/>
        <w:noProof/>
        <w:sz w:val="28"/>
        <w:szCs w:val="28"/>
        <w:lang w:val="zh-CN"/>
      </w:rPr>
      <w:t>1</w:t>
    </w:r>
    <w:r>
      <w:rPr>
        <w:rFonts w:ascii="仿宋_GB2312" w:eastAsia="仿宋_GB2312" w:hint="eastAsia"/>
        <w:sz w:val="28"/>
        <w:szCs w:val="28"/>
      </w:rPr>
      <w:fldChar w:fldCharType="end"/>
    </w:r>
    <w:r>
      <w:rPr>
        <w:rFonts w:ascii="仿宋_GB2312" w:eastAsia="仿宋_GB2312"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09" w:rsidRDefault="00680E9A">
    <w:pPr>
      <w:pStyle w:val="a7"/>
      <w:jc w:val="right"/>
    </w:pPr>
    <w:r>
      <w:rPr>
        <w:rFonts w:ascii="仿宋_GB2312" w:eastAsia="仿宋_GB2312" w:hint="eastAsia"/>
        <w:sz w:val="28"/>
        <w:szCs w:val="28"/>
      </w:rPr>
      <w:t>—</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Pr="00680E9A">
      <w:rPr>
        <w:rFonts w:ascii="仿宋_GB2312" w:eastAsia="仿宋_GB2312"/>
        <w:noProof/>
        <w:sz w:val="28"/>
        <w:szCs w:val="28"/>
        <w:lang w:val="zh-CN"/>
      </w:rPr>
      <w:t>2</w:t>
    </w:r>
    <w:r>
      <w:rPr>
        <w:rFonts w:ascii="仿宋_GB2312" w:eastAsia="仿宋_GB2312" w:hint="eastAsia"/>
        <w:sz w:val="28"/>
        <w:szCs w:val="28"/>
      </w:rPr>
      <w:fldChar w:fldCharType="end"/>
    </w:r>
    <w:r>
      <w:rPr>
        <w:rFonts w:ascii="仿宋_GB2312" w:eastAsia="仿宋_GB2312"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09" w:rsidRDefault="00680E9A">
    <w:pPr>
      <w:pStyle w:val="a7"/>
      <w:jc w:val="center"/>
    </w:pPr>
    <w:r>
      <w:rPr>
        <w:rFonts w:ascii="仿宋_GB2312" w:eastAsia="仿宋_GB2312" w:hint="eastAsia"/>
        <w:sz w:val="28"/>
        <w:szCs w:val="28"/>
      </w:rPr>
      <w:t>—</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Pr="007347E9">
      <w:rPr>
        <w:rFonts w:ascii="仿宋_GB2312" w:eastAsia="仿宋_GB2312"/>
        <w:noProof/>
        <w:sz w:val="28"/>
        <w:szCs w:val="28"/>
        <w:lang w:val="zh-CN"/>
      </w:rPr>
      <w:t>8</w:t>
    </w:r>
    <w:r>
      <w:rPr>
        <w:rFonts w:ascii="仿宋_GB2312" w:eastAsia="仿宋_GB2312" w:hint="eastAsia"/>
        <w:sz w:val="28"/>
        <w:szCs w:val="28"/>
      </w:rPr>
      <w:fldChar w:fldCharType="end"/>
    </w:r>
    <w:r>
      <w:rPr>
        <w:rFonts w:ascii="仿宋_GB2312" w:eastAsia="仿宋_GB2312" w:hint="eastAsia"/>
        <w:sz w:val="28"/>
        <w:szCs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0E9A"/>
    <w:rsid w:val="00680E9A"/>
    <w:rsid w:val="00A965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80E9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680E9A"/>
    <w:pPr>
      <w:spacing w:after="120"/>
    </w:pPr>
  </w:style>
  <w:style w:type="character" w:customStyle="1" w:styleId="Char">
    <w:name w:val="正文文本 Char"/>
    <w:basedOn w:val="a1"/>
    <w:link w:val="a4"/>
    <w:uiPriority w:val="99"/>
    <w:semiHidden/>
    <w:rsid w:val="00680E9A"/>
  </w:style>
  <w:style w:type="paragraph" w:styleId="a0">
    <w:name w:val="Body Text First Indent"/>
    <w:basedOn w:val="a4"/>
    <w:link w:val="Char0"/>
    <w:qFormat/>
    <w:rsid w:val="00680E9A"/>
    <w:pPr>
      <w:ind w:firstLineChars="100" w:firstLine="420"/>
    </w:pPr>
    <w:rPr>
      <w:rFonts w:ascii="Calibri" w:eastAsia="宋体" w:hAnsi="Calibri" w:cs="Times New Roman"/>
    </w:rPr>
  </w:style>
  <w:style w:type="character" w:customStyle="1" w:styleId="Char0">
    <w:name w:val="正文首行缩进 Char"/>
    <w:basedOn w:val="Char"/>
    <w:link w:val="a0"/>
    <w:rsid w:val="00680E9A"/>
    <w:rPr>
      <w:rFonts w:ascii="Calibri" w:eastAsia="宋体" w:hAnsi="Calibri" w:cs="Times New Roman"/>
    </w:rPr>
  </w:style>
  <w:style w:type="paragraph" w:styleId="a5">
    <w:name w:val="Normal Indent"/>
    <w:basedOn w:val="a"/>
    <w:next w:val="5"/>
    <w:qFormat/>
    <w:rsid w:val="00680E9A"/>
    <w:pPr>
      <w:ind w:firstLineChars="200" w:firstLine="420"/>
    </w:pPr>
    <w:rPr>
      <w:rFonts w:ascii="Times New Roman" w:eastAsia="宋体" w:hAnsi="Times New Roman" w:cs="Times New Roman"/>
    </w:rPr>
  </w:style>
  <w:style w:type="paragraph" w:styleId="5">
    <w:name w:val="index 5"/>
    <w:basedOn w:val="a"/>
    <w:next w:val="a"/>
    <w:qFormat/>
    <w:rsid w:val="00680E9A"/>
    <w:pPr>
      <w:ind w:left="1680"/>
    </w:pPr>
    <w:rPr>
      <w:szCs w:val="20"/>
    </w:rPr>
  </w:style>
  <w:style w:type="paragraph" w:styleId="a6">
    <w:name w:val="Normal (Web)"/>
    <w:basedOn w:val="a"/>
    <w:next w:val="2"/>
    <w:qFormat/>
    <w:rsid w:val="00680E9A"/>
    <w:pPr>
      <w:widowControl/>
      <w:spacing w:before="100" w:beforeAutospacing="1" w:after="100" w:afterAutospacing="1"/>
      <w:jc w:val="left"/>
    </w:pPr>
    <w:rPr>
      <w:rFonts w:ascii="宋体" w:eastAsia="宋体" w:hAnsi="宋体" w:cs="Times New Roman"/>
      <w:kern w:val="0"/>
      <w:sz w:val="24"/>
      <w:szCs w:val="24"/>
    </w:rPr>
  </w:style>
  <w:style w:type="paragraph" w:styleId="a7">
    <w:name w:val="footer"/>
    <w:basedOn w:val="a"/>
    <w:next w:val="a"/>
    <w:link w:val="Char1"/>
    <w:uiPriority w:val="99"/>
    <w:unhideWhenUsed/>
    <w:qFormat/>
    <w:rsid w:val="00680E9A"/>
    <w:pPr>
      <w:tabs>
        <w:tab w:val="center" w:pos="4153"/>
        <w:tab w:val="right" w:pos="8306"/>
      </w:tabs>
      <w:snapToGrid w:val="0"/>
      <w:jc w:val="left"/>
    </w:pPr>
    <w:rPr>
      <w:sz w:val="18"/>
      <w:szCs w:val="18"/>
    </w:rPr>
  </w:style>
  <w:style w:type="character" w:customStyle="1" w:styleId="Char1">
    <w:name w:val="页脚 Char"/>
    <w:basedOn w:val="a1"/>
    <w:link w:val="a7"/>
    <w:uiPriority w:val="99"/>
    <w:qFormat/>
    <w:rsid w:val="00680E9A"/>
    <w:rPr>
      <w:sz w:val="18"/>
      <w:szCs w:val="18"/>
    </w:rPr>
  </w:style>
  <w:style w:type="paragraph" w:styleId="a8">
    <w:name w:val="Body Text Indent"/>
    <w:basedOn w:val="a"/>
    <w:link w:val="Char2"/>
    <w:uiPriority w:val="99"/>
    <w:semiHidden/>
    <w:unhideWhenUsed/>
    <w:rsid w:val="00680E9A"/>
    <w:pPr>
      <w:spacing w:after="120"/>
      <w:ind w:leftChars="200" w:left="420"/>
    </w:pPr>
  </w:style>
  <w:style w:type="character" w:customStyle="1" w:styleId="Char2">
    <w:name w:val="正文文本缩进 Char"/>
    <w:basedOn w:val="a1"/>
    <w:link w:val="a8"/>
    <w:uiPriority w:val="99"/>
    <w:semiHidden/>
    <w:rsid w:val="00680E9A"/>
  </w:style>
  <w:style w:type="paragraph" w:styleId="2">
    <w:name w:val="Body Text First Indent 2"/>
    <w:basedOn w:val="a8"/>
    <w:link w:val="2Char"/>
    <w:uiPriority w:val="99"/>
    <w:semiHidden/>
    <w:unhideWhenUsed/>
    <w:rsid w:val="00680E9A"/>
    <w:pPr>
      <w:ind w:firstLineChars="200" w:firstLine="420"/>
    </w:pPr>
  </w:style>
  <w:style w:type="character" w:customStyle="1" w:styleId="2Char">
    <w:name w:val="正文首行缩进 2 Char"/>
    <w:basedOn w:val="Char2"/>
    <w:link w:val="2"/>
    <w:uiPriority w:val="99"/>
    <w:semiHidden/>
    <w:rsid w:val="00680E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389</Words>
  <Characters>2223</Characters>
  <Application>Microsoft Office Word</Application>
  <DocSecurity>0</DocSecurity>
  <Lines>18</Lines>
  <Paragraphs>5</Paragraphs>
  <ScaleCrop>false</ScaleCrop>
  <Company>微软中国</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2024-12-04T09:17:00Z</dcterms:created>
  <dcterms:modified xsi:type="dcterms:W3CDTF">2024-12-04T09:17:00Z</dcterms:modified>
</cp:coreProperties>
</file>