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 w:val="0"/>
        <w:spacing w:after="0"/>
        <w:ind w:firstLine="0" w:firstLineChars="0"/>
        <w:rPr>
          <w:rFonts w:ascii="黑体" w:hAnsi="黑体" w:eastAsia="黑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hAnsi="黑体" w:eastAsia="黑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件</w:t>
      </w:r>
      <w:r>
        <w:rPr>
          <w:rFonts w:ascii="黑体" w:hAnsi="黑体" w:eastAsia="黑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5</w:t>
      </w:r>
    </w:p>
    <w:p>
      <w:pPr>
        <w:spacing w:afterLines="100" w:line="220" w:lineRule="atLeast"/>
        <w:jc w:val="center"/>
        <w:outlineLvl w:val="0"/>
        <w:rPr>
          <w:rFonts w:ascii="方正小标宋简体" w:hAnsi="方正小标宋简体" w:eastAsia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简体" w:hAnsi="方正小标宋简体" w:eastAsia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延安市云岩河流域深入打好碧水保卫战行动计划拟建重点项目表</w:t>
      </w:r>
    </w:p>
    <w:tbl>
      <w:tblPr>
        <w:tblStyle w:val="4"/>
        <w:tblW w:w="501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075"/>
        <w:gridCol w:w="1303"/>
        <w:gridCol w:w="1906"/>
        <w:gridCol w:w="4703"/>
        <w:gridCol w:w="1317"/>
        <w:gridCol w:w="1016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8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contextualSpacing/>
              <w:jc w:val="center"/>
              <w:rPr>
                <w:rFonts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2" w:type="pct"/>
            <w:vAlign w:val="center"/>
          </w:tcPr>
          <w:p>
            <w:pPr>
              <w:pStyle w:val="8"/>
              <w:widowControl w:val="0"/>
              <w:spacing w:after="0" w:line="240" w:lineRule="auto"/>
              <w:ind w:firstLine="0" w:firstLineChars="0"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pacing w:val="-1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pacing w:val="-1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县(市、区)</w:t>
            </w:r>
          </w:p>
        </w:tc>
        <w:tc>
          <w:tcPr>
            <w:tcW w:w="476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contextualSpacing/>
              <w:jc w:val="center"/>
              <w:rPr>
                <w:rFonts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目标任务</w:t>
            </w:r>
          </w:p>
        </w:tc>
        <w:tc>
          <w:tcPr>
            <w:tcW w:w="696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contextualSpacing/>
              <w:jc w:val="center"/>
              <w:rPr>
                <w:rFonts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717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contextualSpacing/>
              <w:jc w:val="center"/>
              <w:rPr>
                <w:rFonts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具体内容</w:t>
            </w:r>
          </w:p>
        </w:tc>
        <w:tc>
          <w:tcPr>
            <w:tcW w:w="481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contextualSpacing/>
              <w:jc w:val="center"/>
              <w:rPr>
                <w:rFonts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责任单位</w:t>
            </w:r>
          </w:p>
        </w:tc>
        <w:tc>
          <w:tcPr>
            <w:tcW w:w="371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contextualSpacing/>
              <w:jc w:val="center"/>
              <w:rPr>
                <w:rFonts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完成年度</w:t>
            </w:r>
          </w:p>
        </w:tc>
        <w:tc>
          <w:tcPr>
            <w:tcW w:w="609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contextualSpacing/>
              <w:jc w:val="center"/>
              <w:rPr>
                <w:rFonts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投资（万元）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00" w:type="pct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（一）宝塔区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8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2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宝塔区</w:t>
            </w:r>
          </w:p>
        </w:tc>
        <w:tc>
          <w:tcPr>
            <w:tcW w:w="476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提升城镇生活污水处理能力</w:t>
            </w:r>
          </w:p>
        </w:tc>
        <w:tc>
          <w:tcPr>
            <w:tcW w:w="69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污水处理设施建设项目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contextualSpacing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麻洞川镇对现有污水处理站进行提标改造。</w:t>
            </w:r>
          </w:p>
        </w:tc>
        <w:tc>
          <w:tcPr>
            <w:tcW w:w="481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宝塔区人民政府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2296.93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atLeast"/>
        </w:trPr>
        <w:tc>
          <w:tcPr>
            <w:tcW w:w="258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2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宝塔区</w:t>
            </w:r>
          </w:p>
        </w:tc>
        <w:tc>
          <w:tcPr>
            <w:tcW w:w="476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南泥湾开发区石庙滩污水处理厂提标改造项目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contextualSpacing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新建提标改造620 t/d污水处理站1座，总处理规模500 t/d调节池及栅格按远期500t/d设计，一体化污水处理设备可根据污水量大小分期建设，分别为170t/d、150t/d、150t/d、150t/d。污水收集管网主干管采用HDPE增强中空壁绕管</w:t>
            </w:r>
            <w:r>
              <w:rPr>
                <w:rFonts w:hint="eastAsia" w:hAnsi="Times New Roman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81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宝塔区</w:t>
            </w:r>
          </w:p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人民政府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5" w:hRule="atLeast"/>
        </w:trPr>
        <w:tc>
          <w:tcPr>
            <w:tcW w:w="258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2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宝塔区</w:t>
            </w:r>
          </w:p>
        </w:tc>
        <w:tc>
          <w:tcPr>
            <w:tcW w:w="476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南泥湾开发区污水处理厂及其配套管网工程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contextualSpacing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南泥湾开发区新建500t/d污水处理站3座，总处理规模1500t/d调节池及栅格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按远期500t/d设计，一体化污水处理设备可根据污水量大小分期建设，分别为100t/d、150t/d、250t/d。污水收集管网主干管采用HDPE增强中空壁绕管，管道工程量为DN400管道2830m，DN500管道3150m</w:t>
            </w:r>
            <w:r>
              <w:rPr>
                <w:rFonts w:hint="eastAsia" w:hAnsi="Times New Roman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81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宝塔区</w:t>
            </w:r>
          </w:p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人民政府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3760.17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5" w:hRule="atLeast"/>
        </w:trPr>
        <w:tc>
          <w:tcPr>
            <w:tcW w:w="258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2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宝塔区</w:t>
            </w:r>
          </w:p>
        </w:tc>
        <w:tc>
          <w:tcPr>
            <w:tcW w:w="476" w:type="pc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完善城镇污水管网建设</w:t>
            </w:r>
          </w:p>
        </w:tc>
        <w:tc>
          <w:tcPr>
            <w:tcW w:w="69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南泥湾开发区城市排水防涝建设项目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contextualSpacing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排水（雨水）管网工程河排水防涝灌区工程及附属设施。排水（雨水）管网工程主管网长13102m，管径为DN400-1000，管材为HDPE缠绕结构管及钢筋硂管，排洪灌区工程主管渠长4698m，其中C25硂盖板沟1238m，M7.5浆砌片石盖板渠3460m</w:t>
            </w:r>
            <w:r>
              <w:rPr>
                <w:rFonts w:hint="eastAsia" w:hAnsi="Times New Roman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81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宝塔区</w:t>
            </w:r>
          </w:p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人民政府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2023年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4324.16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8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contextualSpacing/>
              <w:jc w:val="center"/>
              <w:rPr>
                <w:rFonts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2" w:type="pct"/>
            <w:vAlign w:val="center"/>
          </w:tcPr>
          <w:p>
            <w:pPr>
              <w:pStyle w:val="8"/>
              <w:widowControl w:val="0"/>
              <w:spacing w:after="0" w:line="240" w:lineRule="auto"/>
              <w:ind w:firstLine="0" w:firstLineChars="0"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pacing w:val="-1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pacing w:val="-1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县(市、区)</w:t>
            </w:r>
          </w:p>
        </w:tc>
        <w:tc>
          <w:tcPr>
            <w:tcW w:w="476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contextualSpacing/>
              <w:jc w:val="center"/>
              <w:rPr>
                <w:rFonts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目标任务</w:t>
            </w:r>
          </w:p>
        </w:tc>
        <w:tc>
          <w:tcPr>
            <w:tcW w:w="69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contextualSpacing/>
              <w:jc w:val="center"/>
              <w:rPr>
                <w:rFonts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contextualSpacing/>
              <w:jc w:val="center"/>
              <w:rPr>
                <w:rFonts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具体内容</w:t>
            </w:r>
          </w:p>
        </w:tc>
        <w:tc>
          <w:tcPr>
            <w:tcW w:w="481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contextualSpacing/>
              <w:jc w:val="center"/>
              <w:rPr>
                <w:rFonts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责任单位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contextualSpacing/>
              <w:jc w:val="center"/>
              <w:rPr>
                <w:rFonts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完成年度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contextualSpacing/>
              <w:jc w:val="center"/>
              <w:rPr>
                <w:rFonts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投资（万元）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8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92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宝塔区</w:t>
            </w:r>
          </w:p>
        </w:tc>
        <w:tc>
          <w:tcPr>
            <w:tcW w:w="476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加强水生态修复与保护</w:t>
            </w:r>
          </w:p>
        </w:tc>
        <w:tc>
          <w:tcPr>
            <w:tcW w:w="69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延安市宝塔区云岩河河滨缓冲带生态修复工程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contextualSpacing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南泥湾镇金盆湾村下游区域建设生态缓冲带约6 km，总面积约12万m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hAnsi="Times New Roman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81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pacing w:val="-1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市生态环境局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2023年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2904.93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258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92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宝塔区</w:t>
            </w:r>
          </w:p>
        </w:tc>
        <w:tc>
          <w:tcPr>
            <w:tcW w:w="476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南泥湾镇、临镇生态修复和保护</w:t>
            </w:r>
          </w:p>
        </w:tc>
        <w:tc>
          <w:tcPr>
            <w:tcW w:w="1717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contextualSpacing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南泥湾镇、临镇云岩河流域植被恢复80亩，水源涵养防护林建设30亩</w:t>
            </w:r>
            <w:r>
              <w:rPr>
                <w:rFonts w:hint="eastAsia" w:hAnsi="Times New Roman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81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宝塔区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人民政府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2023年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258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92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宝塔区</w:t>
            </w:r>
          </w:p>
        </w:tc>
        <w:tc>
          <w:tcPr>
            <w:tcW w:w="476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南泥湾国家湿地公园阳湾片区生态修复及周边环境整治项目</w:t>
            </w:r>
          </w:p>
        </w:tc>
        <w:tc>
          <w:tcPr>
            <w:tcW w:w="1717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contextualSpacing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建设湿地公园352.5亩，修复形成水体130亩，景观及绿化222.5亩，新建道路3257m，木栈道201m，亲水平台648m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，公厕2座。</w:t>
            </w:r>
          </w:p>
        </w:tc>
        <w:tc>
          <w:tcPr>
            <w:tcW w:w="481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宝塔区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人民政府</w:t>
            </w:r>
          </w:p>
        </w:tc>
        <w:tc>
          <w:tcPr>
            <w:tcW w:w="371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609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13215.03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50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宝塔区</w:t>
            </w:r>
          </w:p>
        </w:tc>
        <w:tc>
          <w:tcPr>
            <w:tcW w:w="3741" w:type="pct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609" w:type="pc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28301.22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5000" w:type="pct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contextualSpacing/>
              <w:jc w:val="center"/>
              <w:rPr>
                <w:rFonts w:ascii="楷体_GB2312" w:hAnsi="楷体_GB2312" w:eastAsia="楷体_GB2312" w:cs="楷体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（二）宜川县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258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2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宜川县</w:t>
            </w:r>
          </w:p>
        </w:tc>
        <w:tc>
          <w:tcPr>
            <w:tcW w:w="476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提升水环境监管能力</w:t>
            </w:r>
          </w:p>
        </w:tc>
        <w:tc>
          <w:tcPr>
            <w:tcW w:w="696" w:type="pct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水质自动监测站建设项目</w:t>
            </w:r>
          </w:p>
        </w:tc>
        <w:tc>
          <w:tcPr>
            <w:tcW w:w="1717" w:type="pct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contextualSpacing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在兰水月大桥建设1处水质自动监测站</w:t>
            </w:r>
            <w:r>
              <w:rPr>
                <w:rFonts w:hint="eastAsia" w:hAnsi="Times New Roman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81" w:type="pct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宜川县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人民政府</w:t>
            </w:r>
          </w:p>
        </w:tc>
        <w:tc>
          <w:tcPr>
            <w:tcW w:w="371" w:type="pct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2025年</w:t>
            </w:r>
          </w:p>
        </w:tc>
        <w:tc>
          <w:tcPr>
            <w:tcW w:w="609" w:type="pct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258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2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宜川县</w:t>
            </w:r>
          </w:p>
        </w:tc>
        <w:tc>
          <w:tcPr>
            <w:tcW w:w="476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加强水生态修复与保护</w:t>
            </w:r>
          </w:p>
        </w:tc>
        <w:tc>
          <w:tcPr>
            <w:tcW w:w="696" w:type="pct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宜川县云岩河流域水生态保护与修复工程</w:t>
            </w:r>
          </w:p>
        </w:tc>
        <w:tc>
          <w:tcPr>
            <w:tcW w:w="1717" w:type="pct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contextualSpacing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云岩河秀西断面云岩镇恢复流域沿线植被缓冲带90亩，水源涵养防护林建设40亩。云岩镇新建生活污水管网4.8km</w:t>
            </w:r>
            <w:r>
              <w:rPr>
                <w:rFonts w:hint="eastAsia" w:hAnsi="Times New Roman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81" w:type="pct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宜川县</w:t>
            </w:r>
          </w:p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人民政府</w:t>
            </w:r>
          </w:p>
        </w:tc>
        <w:tc>
          <w:tcPr>
            <w:tcW w:w="371" w:type="pct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2024年</w:t>
            </w:r>
          </w:p>
        </w:tc>
        <w:tc>
          <w:tcPr>
            <w:tcW w:w="609" w:type="pct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3452.05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50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宜川县</w:t>
            </w:r>
          </w:p>
        </w:tc>
        <w:tc>
          <w:tcPr>
            <w:tcW w:w="3741" w:type="pct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609" w:type="pct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3632.05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50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云岩河流域</w:t>
            </w:r>
          </w:p>
        </w:tc>
        <w:tc>
          <w:tcPr>
            <w:tcW w:w="3741" w:type="pct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09" w:type="pct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exact"/>
              <w:contextualSpacing/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31933.27</w:t>
            </w:r>
          </w:p>
        </w:tc>
      </w:tr>
    </w:tbl>
    <w:p>
      <w:pPr>
        <w:pStyle w:val="2"/>
        <w:ind w:firstLine="0" w:firstLineChars="0"/>
        <w:rPr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587" w:right="1985" w:bottom="1474" w:left="1418" w:header="1985" w:footer="1417" w:gutter="0"/>
      <w:paperSrc/>
      <w:cols w:space="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/>
        <w:sz w:val="28"/>
        <w:szCs w:val="28"/>
      </w:rPr>
      <w:id w:val="381005532"/>
    </w:sdtPr>
    <w:sdtEndPr>
      <w:rPr>
        <w:rFonts w:hint="eastAsia" w:ascii="宋体" w:hAnsi="宋体"/>
        <w:sz w:val="28"/>
        <w:szCs w:val="28"/>
      </w:rPr>
    </w:sdtEndPr>
    <w:sdtContent>
      <w:p>
        <w:pPr>
          <w:pStyle w:val="3"/>
          <w:ind w:firstLine="140" w:firstLineChars="50"/>
          <w:jc w:val="center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Style w:val="7"/>
            <w:rFonts w:ascii="宋体" w:hAnsi="宋体"/>
            <w:sz w:val="28"/>
            <w:szCs w:val="28"/>
          </w:rPr>
          <w:fldChar w:fldCharType="begin"/>
        </w:r>
        <w:r>
          <w:rPr>
            <w:rStyle w:val="7"/>
            <w:rFonts w:ascii="宋体" w:hAnsi="宋体"/>
            <w:sz w:val="28"/>
            <w:szCs w:val="28"/>
          </w:rPr>
          <w:instrText xml:space="preserve"> PAGE </w:instrText>
        </w:r>
        <w:r>
          <w:rPr>
            <w:rStyle w:val="7"/>
            <w:rFonts w:ascii="宋体" w:hAnsi="宋体"/>
            <w:sz w:val="28"/>
            <w:szCs w:val="28"/>
          </w:rPr>
          <w:fldChar w:fldCharType="separate"/>
        </w:r>
        <w:r>
          <w:rPr>
            <w:rStyle w:val="7"/>
            <w:rFonts w:ascii="宋体" w:hAnsi="宋体"/>
            <w:sz w:val="28"/>
            <w:szCs w:val="28"/>
          </w:rPr>
          <w:t>47</w:t>
        </w:r>
        <w:r>
          <w:rPr>
            <w:rStyle w:val="7"/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  <w:p>
    <w:pPr>
      <w:pStyle w:val="3"/>
      <w:spacing w:line="80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Y2MzMmU1ZGU5OGRhOGUzNmZmZTZkMDUwNTg4ZmQifQ=="/>
  </w:docVars>
  <w:rsids>
    <w:rsidRoot w:val="5DEC49EB"/>
    <w:rsid w:val="5B1B6F7B"/>
    <w:rsid w:val="5DEC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adjustRightInd w:val="0"/>
      <w:snapToGrid w:val="0"/>
      <w:spacing w:line="360" w:lineRule="auto"/>
      <w:ind w:firstLine="420" w:firstLineChars="200"/>
      <w:contextualSpacing/>
    </w:pPr>
    <w:rPr>
      <w:rFonts w:ascii="Times New Roman" w:hAnsi="Times New Roman" w:eastAsia="仿宋"/>
      <w:sz w:val="28"/>
      <w:szCs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paragraph" w:customStyle="1" w:styleId="8">
    <w:name w:val="自定义正文"/>
    <w:basedOn w:val="1"/>
    <w:qFormat/>
    <w:uiPriority w:val="0"/>
    <w:pPr>
      <w:widowControl/>
      <w:adjustRightInd w:val="0"/>
      <w:snapToGrid w:val="0"/>
      <w:spacing w:before="100" w:beforeAutospacing="1" w:after="200" w:line="360" w:lineRule="auto"/>
      <w:ind w:firstLine="200" w:firstLineChars="200"/>
      <w:contextualSpacing/>
      <w:jc w:val="left"/>
    </w:pPr>
    <w:rPr>
      <w:rFonts w:ascii="仿宋_GB2312" w:hAnsi="宋体" w:eastAsia="仿宋_GB2312"/>
      <w:bCs/>
      <w:color w:val="000000"/>
      <w:kern w:val="0"/>
      <w:sz w:val="32"/>
      <w:szCs w:val="32"/>
    </w:rPr>
  </w:style>
  <w:style w:type="paragraph" w:customStyle="1" w:styleId="9">
    <w:name w:val="表内文字"/>
    <w:basedOn w:val="1"/>
    <w:qFormat/>
    <w:uiPriority w:val="0"/>
    <w:pPr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10">
    <w:name w:val="表格内容"/>
    <w:basedOn w:val="1"/>
    <w:qFormat/>
    <w:uiPriority w:val="0"/>
    <w:pPr>
      <w:suppressLineNumbers/>
    </w:pPr>
    <w:rPr>
      <w:rFonts w:asciiTheme="minorHAnsi" w:hAnsiTheme="minorHAnsi" w:eastAsiaTheme="minorEastAsi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5532</Words>
  <Characters>6651</Characters>
  <Lines>0</Lines>
  <Paragraphs>0</Paragraphs>
  <TotalTime>1</TotalTime>
  <ScaleCrop>false</ScaleCrop>
  <LinksUpToDate>false</LinksUpToDate>
  <CharactersWithSpaces>6664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2022-06-29T02:22:00Z</dcterms:created>
  <dc:creator>Administrator</dc:creator>
  <cp:lastModifiedBy>Administrator</cp:lastModifiedBy>
  <dcterms:modified xsi:type="dcterms:W3CDTF">2022-06-29T02:45:29Z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2CA23670C9C649298648C959E9F06E2F</vt:lpwstr>
  </property>
</Properties>
</file>