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after="0"/>
        <w:ind w:firstLine="0" w:firstLineChars="0"/>
        <w:rPr>
          <w:rFonts w:ascii="黑体" w:hAnsi="黑体" w:eastAsia="黑体"/>
          <w:b w:val="0"/>
          <w:bCs/>
          <w:color w:val="000000" w:themeColor="text1"/>
          <w14:textFill>
            <w14:solidFill>
              <w14:schemeClr w14:val="tx1"/>
            </w14:solidFill>
          </w14:textFill>
        </w:rPr>
      </w:pPr>
      <w:r>
        <w:rPr>
          <w:rFonts w:ascii="黑体" w:hAnsi="黑体" w:eastAsia="黑体"/>
          <w:b w:val="0"/>
          <w:bCs/>
          <w:color w:val="000000" w:themeColor="text1"/>
          <w14:textFill>
            <w14:solidFill>
              <w14:schemeClr w14:val="tx1"/>
            </w14:solidFill>
          </w14:textFill>
        </w:rPr>
        <w:t>附</w:t>
      </w:r>
      <w:r>
        <w:rPr>
          <w:rFonts w:hint="eastAsia" w:ascii="黑体" w:hAnsi="黑体" w:eastAsia="黑体"/>
          <w:b w:val="0"/>
          <w:bCs/>
          <w:color w:val="000000" w:themeColor="text1"/>
          <w14:textFill>
            <w14:solidFill>
              <w14:schemeClr w14:val="tx1"/>
            </w14:solidFill>
          </w14:textFill>
        </w:rPr>
        <w:t>件</w:t>
      </w:r>
      <w:r>
        <w:rPr>
          <w:rFonts w:ascii="黑体" w:hAnsi="黑体" w:eastAsia="黑体"/>
          <w:b w:val="0"/>
          <w:bCs/>
          <w:color w:val="000000" w:themeColor="text1"/>
          <w14:textFill>
            <w14:solidFill>
              <w14:schemeClr w14:val="tx1"/>
            </w14:solidFill>
          </w14:textFill>
        </w:rPr>
        <w:t>1</w:t>
      </w:r>
    </w:p>
    <w:p>
      <w:pPr>
        <w:spacing w:afterLines="100" w:line="220" w:lineRule="atLeast"/>
        <w:jc w:val="center"/>
        <w:outlineLvl w:val="0"/>
        <w:rPr>
          <w:rFonts w:ascii="方正小标宋简体" w:hAnsi="方正小标宋简体" w:eastAsia="方正小标宋简体"/>
          <w:b w:val="0"/>
          <w:bCs/>
          <w:color w:val="000000" w:themeColor="text1"/>
          <w:sz w:val="44"/>
          <w:szCs w:val="44"/>
          <w14:textFill>
            <w14:solidFill>
              <w14:schemeClr w14:val="tx1"/>
            </w14:solidFill>
          </w14:textFill>
        </w:rPr>
      </w:pPr>
      <w:r>
        <w:rPr>
          <w:rFonts w:ascii="方正小标宋简体" w:hAnsi="方正小标宋简体" w:eastAsia="方正小标宋简体"/>
          <w:b w:val="0"/>
          <w:bCs/>
          <w:color w:val="000000" w:themeColor="text1"/>
          <w:sz w:val="44"/>
          <w:szCs w:val="44"/>
          <w14:textFill>
            <w14:solidFill>
              <w14:schemeClr w14:val="tx1"/>
            </w14:solidFill>
          </w14:textFill>
        </w:rPr>
        <w:t>延安市延河流域深入打好碧水保卫战行动计划拟建重点项目表</w:t>
      </w:r>
    </w:p>
    <w:tbl>
      <w:tblPr>
        <w:tblStyle w:val="5"/>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30"/>
        <w:gridCol w:w="1284"/>
        <w:gridCol w:w="1686"/>
        <w:gridCol w:w="5073"/>
        <w:gridCol w:w="1236"/>
        <w:gridCol w:w="105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pStyle w:val="10"/>
              <w:widowControl w:val="0"/>
              <w:spacing w:after="0" w:line="240" w:lineRule="auto"/>
              <w:ind w:firstLine="0" w:firstLineChars="0"/>
              <w:jc w:val="center"/>
              <w:rPr>
                <w:rFonts w:ascii="楷体_GB2312" w:hAnsi="Times New Roman" w:eastAsia="楷体_GB2312"/>
                <w:b w:val="0"/>
                <w:bCs/>
                <w:color w:val="000000" w:themeColor="text1"/>
                <w:sz w:val="20"/>
                <w:szCs w:val="20"/>
                <w14:textFill>
                  <w14:solidFill>
                    <w14:schemeClr w14:val="tx1"/>
                  </w14:solidFill>
                </w14:textFill>
              </w:rPr>
            </w:pPr>
            <w:r>
              <w:rPr>
                <w:rFonts w:hint="eastAsia" w:ascii="楷体_GB2312" w:hAnsi="Times New Roman" w:eastAsia="楷体_GB2312"/>
                <w:b w:val="0"/>
                <w:bCs/>
                <w:color w:val="000000" w:themeColor="text1"/>
                <w:sz w:val="20"/>
                <w:szCs w:val="20"/>
                <w14:textFill>
                  <w14:solidFill>
                    <w14:schemeClr w14:val="tx1"/>
                  </w14:solidFill>
                </w14:textFill>
              </w:rPr>
              <w:t>（一）安塞区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1</w:t>
            </w:r>
          </w:p>
        </w:tc>
        <w:tc>
          <w:tcPr>
            <w:tcW w:w="366"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安塞区</w:t>
            </w:r>
          </w:p>
        </w:tc>
        <w:tc>
          <w:tcPr>
            <w:tcW w:w="456" w:type="pct"/>
            <w:vAlign w:val="center"/>
          </w:tcPr>
          <w:p>
            <w:pPr>
              <w:pStyle w:val="10"/>
              <w:widowControl w:val="0"/>
              <w:spacing w:before="0" w:beforeAutospacing="0" w:after="0" w:line="28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入河排污口规范化建设</w:t>
            </w:r>
          </w:p>
        </w:tc>
        <w:tc>
          <w:tcPr>
            <w:tcW w:w="599" w:type="pct"/>
            <w:vAlign w:val="center"/>
          </w:tcPr>
          <w:p>
            <w:pPr>
              <w:pStyle w:val="10"/>
              <w:widowControl w:val="0"/>
              <w:spacing w:before="0" w:beforeAutospacing="0" w:after="0" w:line="28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入河排污口整治与监测</w:t>
            </w:r>
          </w:p>
        </w:tc>
        <w:tc>
          <w:tcPr>
            <w:tcW w:w="1802" w:type="pct"/>
            <w:vAlign w:val="center"/>
          </w:tcPr>
          <w:p>
            <w:pPr>
              <w:pStyle w:val="10"/>
              <w:widowControl w:val="0"/>
              <w:spacing w:before="0" w:beforeAutospacing="0" w:after="0" w:line="28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150个排污口设置自动监测设施和标识牌。</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restar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提升城镇生活污水处理能力和水平</w:t>
            </w:r>
          </w:p>
        </w:tc>
        <w:tc>
          <w:tcPr>
            <w:tcW w:w="599" w:type="pct"/>
            <w:vMerge w:val="restar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污水处理厂（站）扩容</w:t>
            </w:r>
          </w:p>
        </w:tc>
        <w:tc>
          <w:tcPr>
            <w:tcW w:w="1802" w:type="pct"/>
            <w:vAlign w:val="center"/>
          </w:tcPr>
          <w:p>
            <w:pPr>
              <w:pStyle w:val="10"/>
              <w:widowControl w:val="0"/>
              <w:spacing w:before="0" w:beforeAutospacing="0" w:after="0" w:line="28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第二污水厂扩建至10000 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/d，出水水质为《陕西黄河流域污水排放标准》A类标准。</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Merge w:val="continue"/>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1802" w:type="pct"/>
            <w:vAlign w:val="center"/>
          </w:tcPr>
          <w:p>
            <w:pPr>
              <w:pStyle w:val="10"/>
              <w:widowControl w:val="0"/>
              <w:spacing w:before="0" w:beforeAutospacing="0" w:after="0" w:line="28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建华寺污水处理站扩建至450 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/d。</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完善城镇污水管网建设</w:t>
            </w:r>
          </w:p>
        </w:tc>
        <w:tc>
          <w:tcPr>
            <w:tcW w:w="599" w:type="pc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安塞城区雨污分流改造</w:t>
            </w:r>
          </w:p>
        </w:tc>
        <w:tc>
          <w:tcPr>
            <w:tcW w:w="1802" w:type="pct"/>
            <w:vAlign w:val="center"/>
          </w:tcPr>
          <w:p>
            <w:pPr>
              <w:pStyle w:val="10"/>
              <w:widowControl w:val="0"/>
              <w:spacing w:before="0" w:beforeAutospacing="0" w:after="0" w:line="28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城区内进行雨污分流改造，完善市政管网，主要道路上敷设污水干管，污水干管管径d400-d600，总管长18.5 km；支路上敷设污水支管，支管管径d300，总管长8.5 km，小区内设置污水接户管。</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highlight w:val="green"/>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2024年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5</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restar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强化农业农村面源污染治理</w:t>
            </w:r>
          </w:p>
        </w:tc>
        <w:tc>
          <w:tcPr>
            <w:tcW w:w="599" w:type="pct"/>
            <w:vAlign w:val="center"/>
          </w:tcPr>
          <w:p>
            <w:pPr>
              <w:pStyle w:val="10"/>
              <w:widowControl w:val="0"/>
              <w:spacing w:before="0" w:beforeAutospacing="0" w:after="0" w:line="28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畜禽养殖废弃物资源化利用配套设施建设</w:t>
            </w:r>
          </w:p>
        </w:tc>
        <w:tc>
          <w:tcPr>
            <w:tcW w:w="1802" w:type="pct"/>
            <w:vAlign w:val="center"/>
          </w:tcPr>
          <w:p>
            <w:pPr>
              <w:pStyle w:val="10"/>
              <w:widowControl w:val="0"/>
              <w:spacing w:before="0" w:beforeAutospacing="0" w:after="0" w:line="28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化子坪镇、坪桥镇、建华镇和镰刀湾镇规模养殖场匹配与规模相适应的“雨污分流管网、三防堆粪场、集污池”等粪污处理设施装备。</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6</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农村生产生活垃圾收集转运中转设备建设</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八个镇、三个街道办，配置垃圾转运车30辆，电瓶垃圾收集车33辆、3方钢制垃圾箱240个、可移动垃圾箱150个等垃圾收集转运装置。新建农村垃圾中转站8处，在生产生活区和大棚产业区修建小型生态公厕33座。</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7</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农业面源污染治理</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建立化肥农药减量增效示范核心区5000亩，辐射带动18.5万亩；建立秸秆资源化利用中心8处，示范推广3万亩；建立农膜回收中心1处，中转站10处，回收点50个。</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安塞粪污资源化</w:t>
            </w:r>
            <w:r>
              <w:rPr>
                <w:rFonts w:hint="eastAsia" w:hAnsi="Times New Roman"/>
                <w:b w:val="0"/>
                <w:bCs/>
                <w:color w:val="000000" w:themeColor="text1"/>
                <w:spacing w:val="-20"/>
                <w:sz w:val="20"/>
                <w:szCs w:val="20"/>
                <w14:textFill>
                  <w14:solidFill>
                    <w14:schemeClr w14:val="tx1"/>
                  </w14:solidFill>
                </w14:textFill>
              </w:rPr>
              <w:t>利用整县推进项目</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在全区建设102个养殖场的粪污处理设施，1个有机肥场，8个病死畜处理站，整区推进养殖粪污资源化利用。</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9</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restar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加强水生态修复与保护</w:t>
            </w: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安塞城区段水生态保护修复</w:t>
            </w:r>
          </w:p>
        </w:tc>
        <w:tc>
          <w:tcPr>
            <w:tcW w:w="1802" w:type="pct"/>
            <w:vAlign w:val="center"/>
          </w:tcPr>
          <w:p>
            <w:pPr>
              <w:pStyle w:val="10"/>
              <w:widowControl w:val="0"/>
              <w:spacing w:after="0" w:line="24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河道综合治理长度35.8 km，河道生态防护林面积增加 35亩。</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2022年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延河综合治理项目安塞区水生态修复工程</w:t>
            </w:r>
          </w:p>
        </w:tc>
        <w:tc>
          <w:tcPr>
            <w:tcW w:w="1802" w:type="pct"/>
            <w:vAlign w:val="center"/>
          </w:tcPr>
          <w:p>
            <w:pPr>
              <w:pStyle w:val="10"/>
              <w:widowControl w:val="0"/>
              <w:spacing w:after="0" w:line="24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化子坪、建华、坪桥、招安、高桥5镇镇区实施湿地修复工程，污水处理后的中水再利用，治理河道总长度56.3 km，治理总面积173.4万m</w:t>
            </w:r>
            <w:r>
              <w:rPr>
                <w:rFonts w:hint="eastAsia" w:hAnsi="Times New Roman"/>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，修复湿地面积104.04万m</w:t>
            </w:r>
            <w:r>
              <w:rPr>
                <w:rFonts w:hint="eastAsia" w:hAnsi="Times New Roman"/>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，安装标识牌105个，界桩2101个。</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3450.42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11</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沿河湾段湿地生态修复工程</w:t>
            </w:r>
          </w:p>
        </w:tc>
        <w:tc>
          <w:tcPr>
            <w:tcW w:w="1802" w:type="pct"/>
            <w:vAlign w:val="center"/>
          </w:tcPr>
          <w:p>
            <w:pPr>
              <w:pStyle w:val="10"/>
              <w:widowControl w:val="0"/>
              <w:spacing w:after="0" w:line="24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延河左岸生态修复总治理长度27 km。</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12</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安塞区生态湿地修复工程</w:t>
            </w:r>
          </w:p>
        </w:tc>
        <w:tc>
          <w:tcPr>
            <w:tcW w:w="1802" w:type="pct"/>
            <w:vAlign w:val="center"/>
          </w:tcPr>
          <w:p>
            <w:pPr>
              <w:pStyle w:val="11"/>
              <w:spacing w:line="240" w:lineRule="exact"/>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实施延河干流生态湿地修复7处，马家沟水库，南沟水土保持示范园湿地修复2处。水保生态修复0.2万亩，生态修复1.5万亩。</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25733.00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安塞区2022年重点流域水污染防治工程</w:t>
            </w:r>
          </w:p>
        </w:tc>
        <w:tc>
          <w:tcPr>
            <w:tcW w:w="1802" w:type="pct"/>
            <w:vAlign w:val="center"/>
          </w:tcPr>
          <w:p>
            <w:pPr>
              <w:pStyle w:val="11"/>
              <w:spacing w:line="240" w:lineRule="exact"/>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延河干流及一级支流水污染防治，新建生态护坡工程76 km，污染底泥清理51.5 km。</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37719.00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14</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加强地下水监管</w:t>
            </w: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安塞区地下水监测站网建设工程</w:t>
            </w:r>
          </w:p>
        </w:tc>
        <w:tc>
          <w:tcPr>
            <w:tcW w:w="1802" w:type="pct"/>
            <w:vAlign w:val="center"/>
          </w:tcPr>
          <w:p>
            <w:pPr>
              <w:pStyle w:val="11"/>
              <w:spacing w:line="240" w:lineRule="exact"/>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8镇3个街道办政府所在地的城镇规划区、石油集中开采区、主要水源地及其他规划区共布设地下水监测井36眼，安装水位、水温、水量自动监测仪36套。建设1处区级地下水监测管理信息中心（地下水信息采集与传输系统部分），安装水质取样设备36套，太阳能供电系统36套。</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609.40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加强饮用水源地保护</w:t>
            </w:r>
          </w:p>
        </w:tc>
        <w:tc>
          <w:tcPr>
            <w:tcW w:w="599"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农村饮用水水源地保护</w:t>
            </w:r>
          </w:p>
        </w:tc>
        <w:tc>
          <w:tcPr>
            <w:tcW w:w="1802" w:type="pct"/>
            <w:vAlign w:val="center"/>
          </w:tcPr>
          <w:p>
            <w:pPr>
              <w:pStyle w:val="11"/>
              <w:spacing w:line="240" w:lineRule="exact"/>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全区8个乡镇，3个街道办，划定保护范围面积6201600 m</w:t>
            </w:r>
            <w:r>
              <w:rPr>
                <w:rFonts w:hint="eastAsia" w:ascii="仿宋_GB2312" w:eastAsia="仿宋_GB2312"/>
                <w:b w:val="0"/>
                <w:bCs/>
                <w:color w:val="000000" w:themeColor="text1"/>
                <w:vertAlign w:val="superscript"/>
                <w14:textFill>
                  <w14:solidFill>
                    <w14:schemeClr w14:val="tx1"/>
                  </w14:solidFill>
                </w14:textFill>
              </w:rPr>
              <w:t>2</w:t>
            </w:r>
            <w:r>
              <w:rPr>
                <w:rFonts w:hint="eastAsia" w:ascii="仿宋_GB2312" w:eastAsia="仿宋_GB2312"/>
                <w:b w:val="0"/>
                <w:bCs/>
                <w:color w:val="000000" w:themeColor="text1"/>
                <w14:textFill>
                  <w14:solidFill>
                    <w14:schemeClr w14:val="tx1"/>
                  </w14:solidFill>
                </w14:textFill>
              </w:rPr>
              <w:t>，共封闭改造泉室423处，机井井台改造231处，大口井井口改造122处，设计包塑隔离围网17530m，锌钢防护围栏20934m，设立饮用水水源保护警示牌777面，水源地视频监控777套。</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3384.34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16</w:t>
            </w:r>
          </w:p>
        </w:tc>
        <w:tc>
          <w:tcPr>
            <w:tcW w:w="366" w:type="pct"/>
            <w:vAlign w:val="center"/>
          </w:tcPr>
          <w:p>
            <w:pPr>
              <w:spacing w:line="24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restar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加强林业生态建设</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8"/>
                <w:sz w:val="20"/>
                <w:szCs w:val="20"/>
                <w14:textFill>
                  <w14:solidFill>
                    <w14:schemeClr w14:val="tx1"/>
                  </w14:solidFill>
                </w14:textFill>
              </w:rPr>
              <w:t>陕西省延安市陕北地区退化生态系统治理与修复项目</w:t>
            </w:r>
          </w:p>
        </w:tc>
        <w:tc>
          <w:tcPr>
            <w:tcW w:w="1802" w:type="pct"/>
            <w:vAlign w:val="center"/>
          </w:tcPr>
          <w:p>
            <w:pPr>
              <w:pStyle w:val="11"/>
              <w:spacing w:line="240" w:lineRule="exact"/>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安塞区2022-2023年完成人工造林、封山育林、退化林修复共计15.9万亩。</w:t>
            </w:r>
          </w:p>
        </w:tc>
        <w:tc>
          <w:tcPr>
            <w:tcW w:w="439" w:type="pct"/>
            <w:vAlign w:val="center"/>
          </w:tcPr>
          <w:p>
            <w:pPr>
              <w:pStyle w:val="10"/>
              <w:widowControl w:val="0"/>
              <w:spacing w:after="0" w:line="24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17</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pacing w:val="-18"/>
                <w:sz w:val="20"/>
                <w:szCs w:val="20"/>
                <w14:textFill>
                  <w14:solidFill>
                    <w14:schemeClr w14:val="tx1"/>
                  </w14:solidFill>
                </w14:textFill>
              </w:rPr>
            </w:pPr>
            <w:r>
              <w:rPr>
                <w:rFonts w:hint="eastAsia" w:hAnsi="Times New Roman"/>
                <w:b w:val="0"/>
                <w:bCs/>
                <w:color w:val="000000" w:themeColor="text1"/>
                <w:spacing w:val="-18"/>
                <w:sz w:val="20"/>
                <w:szCs w:val="20"/>
                <w14:textFill>
                  <w14:solidFill>
                    <w14:schemeClr w14:val="tx1"/>
                  </w14:solidFill>
                </w14:textFill>
              </w:rPr>
              <w:t>陕西省黄土高原水土流失综合治理飞机播种造林项目</w:t>
            </w:r>
          </w:p>
        </w:tc>
        <w:tc>
          <w:tcPr>
            <w:tcW w:w="1802" w:type="pct"/>
            <w:vAlign w:val="center"/>
          </w:tcPr>
          <w:p>
            <w:pPr>
              <w:pStyle w:val="11"/>
              <w:jc w:val="lef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2022-2025年完成飞播造林5.0万亩。</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安塞区</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6" w:type="pct"/>
            <w:gridSpan w:val="2"/>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安塞区</w:t>
            </w:r>
          </w:p>
        </w:tc>
        <w:tc>
          <w:tcPr>
            <w:tcW w:w="3670" w:type="pct"/>
            <w:gridSpan w:val="5"/>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小计</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125851.16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ascii="楷体_GB2312" w:hAnsi="Times New Roman" w:eastAsia="楷体_GB2312"/>
                <w:b w:val="0"/>
                <w:bCs/>
                <w:color w:val="000000" w:themeColor="text1"/>
                <w:sz w:val="20"/>
                <w:szCs w:val="20"/>
                <w14:textFill>
                  <w14:solidFill>
                    <w14:schemeClr w14:val="tx1"/>
                  </w14:solidFill>
                </w14:textFill>
              </w:rPr>
              <w:t>（二）宝塔区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w:t>
            </w:r>
          </w:p>
        </w:tc>
        <w:tc>
          <w:tcPr>
            <w:tcW w:w="366"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tc>
        <w:tc>
          <w:tcPr>
            <w:tcW w:w="456"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入河排污口规范化建设</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延安市宝塔区山区入河排污口调查及整治</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延河等流域入河排污口排查、监测、溯源，全面了解污染物排放状况、特点及规律，确定排污口类型，并进行规范化建设。</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restar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完善城镇污水管网建设</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城郊片区污水管网铺设</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城郊片区污水管网铺设28 km，其中枣园街道3.4 km、桥沟街道4.2 km、柳林镇1.5 km、万花山镇1.8 km、河庄坪镇1.4 km、川口镇2.9 km。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智能闸改造（一期）项目</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延安水务环保集团水环境治理有限公司智能闸改造（一期），一期改造30处。</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延安水务</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环保集团</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延安市延河综合治理污水收集老旧管网改造工程</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延安市老城区新建干管与支管共计9758.8 m，管材采用管径为300-800的HDPE增强中空壁缠绕管。</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市城市管理执法局</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8650.29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5</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延安城区雨污分流二期工程</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延安城区红花路、南滨大道、太和山路、大东门街等22条道路，铺设污水管网、检查井建设及路面恢复等，新建污水管网14318 m（管径DN300-DN600），材质为HDPE增强中空壁缠绕管。</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延安水务</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环保集团</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10418.92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6</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延河综合治理污水管网工程</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新建污水管道共计12917 m。其中，东片区：百米大道、永安路、向阳沟路、尹家沟路、利民巷、永和路、长青路、延河南路（嘉陵桥-裕丰桥）共计新建污水管道8151m；北片区：枣园南路（干部学院-胜利广场）、杨家岭路、师范路、北滨路、西北川河河道共计新建管道4820 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2024年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13483.62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7</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城区山体沟道居民雨污分流管网建设项目</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宝塔区大砭沟新建雨水管网20 km，完善污水管网工程3.5km。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2024年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4850.00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提高再生水循环利用率</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延安市污水处理厂再生水中水回用工程</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建设规模4万m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/d，构筑物主要有清水池、加氯间及送水泵房、附属用房等。</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2024年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9</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restar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强化农业农村面源污染治理</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宝塔区农村人居环境专项整治</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河庄坪镇解家沟村；青化砭镇石绵羊沟村；万花山镇向阳村；南泥湾镇盘龙村、桃宝峪村、南泥湾村、马坊村生活垃圾治理工程。配置垃圾桶1200个、垃圾转运箱100个、垃圾装运车7辆及垃圾处理站5座；建设污水处理站6座、污水管网38.5k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5210.80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1"/>
              <w:spacing w:line="300" w:lineRule="exac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宝塔区畜禽养殖</w:t>
            </w:r>
            <w:r>
              <w:rPr>
                <w:rFonts w:hint="eastAsia" w:ascii="仿宋_GB2312" w:eastAsia="仿宋_GB2312"/>
                <w:b w:val="0"/>
                <w:bCs/>
                <w:color w:val="000000" w:themeColor="text1"/>
                <w:spacing w:val="-11"/>
                <w14:textFill>
                  <w14:solidFill>
                    <w14:schemeClr w14:val="tx1"/>
                  </w14:solidFill>
                </w14:textFill>
              </w:rPr>
              <w:t>废弃物资源化利用</w:t>
            </w:r>
          </w:p>
        </w:tc>
        <w:tc>
          <w:tcPr>
            <w:tcW w:w="1802" w:type="pct"/>
            <w:vAlign w:val="center"/>
          </w:tcPr>
          <w:p>
            <w:pPr>
              <w:pStyle w:val="10"/>
              <w:widowControl w:val="0"/>
              <w:spacing w:after="0" w:line="300" w:lineRule="exact"/>
              <w:ind w:firstLine="0" w:firstLineChars="0"/>
              <w:jc w:val="both"/>
              <w:rPr>
                <w:rFonts w:hAnsi="Times New Roman" w:eastAsia="宋体"/>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建设年处理畜禽粪便量为28万t，年产还田沼液22.40万t；年产生物有机肥5.6万t。分别在柳林镇四十里铺村及宝塔区规模养殖场和粪污集中收集点新建雨污分流</w:t>
            </w:r>
            <w:r>
              <w:rPr>
                <w:rFonts w:hint="eastAsia" w:hAnsi="Times New Roman"/>
                <w:b w:val="0"/>
                <w:bCs/>
                <w:color w:val="000000" w:themeColor="text1"/>
                <w:spacing w:val="-6"/>
                <w:sz w:val="20"/>
                <w:szCs w:val="20"/>
                <w14:textFill>
                  <w14:solidFill>
                    <w14:schemeClr w14:val="tx1"/>
                  </w14:solidFill>
                </w14:textFill>
              </w:rPr>
              <w:t>及排污管道15000m，建污水贮存池15000m</w:t>
            </w:r>
            <w:r>
              <w:rPr>
                <w:rFonts w:hint="eastAsia" w:ascii="宋体" w:eastAsia="宋体" w:cs="宋体"/>
                <w:b w:val="0"/>
                <w:bCs/>
                <w:color w:val="000000" w:themeColor="text1"/>
                <w:spacing w:val="-6"/>
                <w:sz w:val="20"/>
                <w:szCs w:val="20"/>
                <w14:textFill>
                  <w14:solidFill>
                    <w14:schemeClr w14:val="tx1"/>
                  </w14:solidFill>
                </w14:textFill>
              </w:rPr>
              <w:t>³</w:t>
            </w:r>
            <w:r>
              <w:rPr>
                <w:rFonts w:hint="eastAsia" w:hAnsi="Times New Roman"/>
                <w:b w:val="0"/>
                <w:bCs/>
                <w:color w:val="000000" w:themeColor="text1"/>
                <w:spacing w:val="-6"/>
                <w:sz w:val="20"/>
                <w:szCs w:val="20"/>
                <w14:textFill>
                  <w14:solidFill>
                    <w14:schemeClr w14:val="tx1"/>
                  </w14:solidFill>
                </w14:textFill>
              </w:rPr>
              <w:t>，建堆粪场6000m，配置固液分离设备22台，新建发酵床养殖4100m</w:t>
            </w:r>
            <w:r>
              <w:rPr>
                <w:rFonts w:hint="eastAsia" w:ascii="宋体" w:eastAsia="宋体" w:cs="宋体"/>
                <w:b w:val="0"/>
                <w:bCs/>
                <w:color w:val="000000" w:themeColor="text1"/>
                <w:spacing w:val="-6"/>
                <w:sz w:val="20"/>
                <w:szCs w:val="20"/>
                <w14:textFill>
                  <w14:solidFill>
                    <w14:schemeClr w14:val="tx1"/>
                  </w14:solidFill>
                </w14:textFill>
              </w:rPr>
              <w:t>²。</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11</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1"/>
              <w:spacing w:line="300" w:lineRule="exact"/>
              <w:rPr>
                <w:rFonts w:ascii="仿宋_GB2312" w:eastAsia="仿宋_GB2312"/>
                <w:b w:val="0"/>
                <w:bCs/>
                <w:color w:val="000000" w:themeColor="text1"/>
                <w14:textFill>
                  <w14:solidFill>
                    <w14:schemeClr w14:val="tx1"/>
                  </w14:solidFill>
                </w14:textFill>
              </w:rPr>
            </w:pPr>
            <w:r>
              <w:rPr>
                <w:rFonts w:hint="eastAsia" w:ascii="仿宋_GB2312" w:eastAsia="仿宋_GB2312"/>
                <w:b w:val="0"/>
                <w:bCs/>
                <w:color w:val="000000" w:themeColor="text1"/>
                <w14:textFill>
                  <w14:solidFill>
                    <w14:schemeClr w14:val="tx1"/>
                  </w14:solidFill>
                </w14:textFill>
              </w:rPr>
              <w:t>宝塔区农村污水处理设施及配套管网项目</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包括河庄坪镇5个村（石窑村、红庄村、解家沟、万庄村、红庄村小沟村）、南泥湾镇4个村（金庄村、金砭村、盘龙村、马坊村）、河庄坪镇石窑村建设21座污水收集点、红庄村建设4个污水收集点，解家沟、万庄村各建设一座地埋式一体化污水处理设备，南泥湾镇（金庄村、金砭村、盘龙村、马坊村）各建设一座地埋式一体化污水处理设备。</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643.77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12</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加强水生态修复与保护</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延安市延河下游人工湿地水质净化工程</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宝塔区姚店污水处理厂下游建设人工湿地36000 m</w:t>
            </w:r>
            <w:r>
              <w:rPr>
                <w:rFonts w:hint="eastAsia" w:hAnsi="Times New Roman"/>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，延长县污水处理厂下游建设人工湿地14000 m</w:t>
            </w:r>
            <w:r>
              <w:rPr>
                <w:rFonts w:hint="eastAsia" w:hAnsi="Times New Roman"/>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pacing w:val="-23"/>
                <w:kern w:val="2"/>
                <w:sz w:val="20"/>
                <w:szCs w:val="20"/>
                <w14:textFill>
                  <w14:solidFill>
                    <w14:schemeClr w14:val="tx1"/>
                  </w14:solidFill>
                </w14:textFill>
              </w:rPr>
              <w:t>市生态环境局</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6962.40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延河阳柳桥至朱家沟段湿地修复工程</w:t>
            </w:r>
          </w:p>
        </w:tc>
        <w:tc>
          <w:tcPr>
            <w:tcW w:w="1802" w:type="pct"/>
            <w:vAlign w:val="center"/>
          </w:tcPr>
          <w:p>
            <w:pPr>
              <w:pStyle w:val="10"/>
              <w:widowControl w:val="0"/>
              <w:spacing w:after="0" w:line="300" w:lineRule="exact"/>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建设长6.66 km、宽32 m的沿河人工湿地工程，净化延安市污水处理厂出水。</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15385.00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14</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restar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加强水生态修复与保护</w:t>
            </w: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李渠镇延河支流河道水环境综合治理</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河道综合治理总长10.52 km。采用护坡结合水生植物形式新建生态护岸18.40km；污染底泥清除量为2.22万m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；河道垃圾清理约0.6万t。</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2024年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2803.08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柳林镇叶家庄河水环境综合治理工程</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新建生态护岸长13.6 km，采用护坡结合水生植物形式。清除污染底泥2.13万m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，新建污水管网8km。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2909.00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16</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万花山镇杜甫川河流域河道水环境综合治理</w:t>
            </w:r>
          </w:p>
        </w:tc>
        <w:tc>
          <w:tcPr>
            <w:tcW w:w="1802" w:type="pct"/>
            <w:vAlign w:val="center"/>
          </w:tcPr>
          <w:p>
            <w:pPr>
              <w:pStyle w:val="10"/>
              <w:widowControl w:val="0"/>
              <w:spacing w:after="0" w:line="300" w:lineRule="exact"/>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河道水环境治理总长约10.92km，新建生态护岸约15.59km，采用护坡结合水生植物形式；污染底泥清理约3万方；建污水管道(DN200～DN400)约9.87km。</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3849.63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90"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17</w:t>
            </w:r>
          </w:p>
        </w:tc>
        <w:tc>
          <w:tcPr>
            <w:tcW w:w="366" w:type="pct"/>
            <w:vAlign w:val="center"/>
          </w:tcPr>
          <w:p>
            <w:pPr>
              <w:spacing w:line="300" w:lineRule="exact"/>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河庄坪镇延河水</w:t>
            </w:r>
            <w:r>
              <w:rPr>
                <w:rFonts w:hint="eastAsia" w:hAnsi="Times New Roman"/>
                <w:b w:val="0"/>
                <w:bCs/>
                <w:color w:val="000000" w:themeColor="text1"/>
                <w:spacing w:val="-11"/>
                <w:sz w:val="20"/>
                <w:szCs w:val="20"/>
                <w14:textFill>
                  <w14:solidFill>
                    <w14:schemeClr w14:val="tx1"/>
                  </w14:solidFill>
                </w14:textFill>
              </w:rPr>
              <w:t>环境综合治理工程</w:t>
            </w:r>
          </w:p>
        </w:tc>
        <w:tc>
          <w:tcPr>
            <w:tcW w:w="1802" w:type="pct"/>
            <w:vAlign w:val="center"/>
          </w:tcPr>
          <w:p>
            <w:pPr>
              <w:pStyle w:val="10"/>
              <w:widowControl w:val="0"/>
              <w:spacing w:after="0" w:line="300" w:lineRule="exact"/>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生态护岸29.5km，采用护坡结合水生植物形式；污染底泥清理6321立方米；河道垃圾清理1977 t。</w:t>
            </w:r>
          </w:p>
        </w:tc>
        <w:tc>
          <w:tcPr>
            <w:tcW w:w="439"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300" w:lineRule="exact"/>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300" w:lineRule="exact"/>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18</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提升环境监管能力</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延安市污水管网地理信息工程建设</w:t>
            </w:r>
          </w:p>
        </w:tc>
        <w:tc>
          <w:tcPr>
            <w:tcW w:w="1802" w:type="pct"/>
            <w:vAlign w:val="center"/>
          </w:tcPr>
          <w:p>
            <w:pPr>
              <w:pStyle w:val="10"/>
              <w:widowControl w:val="0"/>
              <w:spacing w:after="0" w:line="240" w:lineRule="auto"/>
              <w:ind w:firstLine="0" w:firstLineChars="0"/>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安市老城区内约386.2km污水管网进行：（1）污水管道探测；（2）污水管道检测；（3）污水管道清淤；（4）污水管道检测结果评估及对策；（5）信息系统建设（包括智慧排水及水质监测预警系统）。实现厂网一体化及污水管网的优化调度，智慧排水和数字排水，进一步摸清现状污水管网空间位置信息、管材接口信息、运行状况等，建立污水管网数据库，通过模拟计算，优化污水管网系统。</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19</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宝塔区乡（镇、办）界断面微型水质自动监测系统项目</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建设5个微型质自动监测站。</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456"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加强林业生态建设</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陕西省延安市陕北地区退化生态系统治理与修复项目</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宝塔区2022-2023年完成人工造林、封山育林、退化林修复共计3.7万亩。延安国家森林公园管理处（宝塔区）2022年完成人工造林、封山育林、退化林修复共计1.0万亩。</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宝塔区人民政府、延安国家森林公园管理中心</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6" w:type="pct"/>
            <w:gridSpan w:val="2"/>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宝塔区</w:t>
            </w:r>
          </w:p>
        </w:tc>
        <w:tc>
          <w:tcPr>
            <w:tcW w:w="3670" w:type="pct"/>
            <w:gridSpan w:val="5"/>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小计</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96278.51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ascii="楷体_GB2312" w:hAnsi="Times New Roman" w:eastAsia="楷体_GB2312"/>
                <w:b w:val="0"/>
                <w:bCs/>
                <w:color w:val="000000" w:themeColor="text1"/>
                <w:sz w:val="20"/>
                <w:szCs w:val="20"/>
                <w14:textFill>
                  <w14:solidFill>
                    <w14:schemeClr w14:val="tx1"/>
                  </w14:solidFill>
                </w14:textFill>
              </w:rPr>
              <w:t>（三）延长县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完善城镇污</w:t>
            </w:r>
            <w:bookmarkStart w:id="1" w:name="_GoBack"/>
            <w:bookmarkEnd w:id="1"/>
            <w:r>
              <w:rPr>
                <w:rFonts w:hint="eastAsia" w:hAnsi="Times New Roman"/>
                <w:b w:val="0"/>
                <w:bCs/>
                <w:color w:val="000000" w:themeColor="text1"/>
                <w:sz w:val="20"/>
                <w:szCs w:val="20"/>
                <w14:textFill>
                  <w14:solidFill>
                    <w14:schemeClr w14:val="tx1"/>
                  </w14:solidFill>
                </w14:textFill>
              </w:rPr>
              <w:t>水管网建设</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延长县郑庄镇生活污水收集雨污分流改造项目</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郑庄镇雨污水管道建设以及道路挖除恢复等基础设施建设。郑庄镇区建设雨污水管道、路面恢复2700m。</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997.38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延长县沟道治理及管网修复项目</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城区12条沟道（西河子沟、大南窑沟、小南窑沟、小豆沟、白道木沟、杏家沟、王良沟、渠口沟、桥沟、寺家河口沟、卷烟厂沟和滴杏家沟）。项目累计架设（直埋）污水收集管道总计28.6KM。其中2022年实施大南窑沟、西河子沟、寺家河沟等3条沟道，2023年实施小南窑沟、小豆沟、白道木沟、卷烟厂沟等4条沟道，2024年实施桥沟、渠口沟、杏家沟、王良沟、滴杏家沟等5条沟道。</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7560.00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提升城镇生活污水处理能力</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污水处理设施建设</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在罗子山镇新建污水处理站一座，设计处理能力为50 t/d。铺设污水管网覆盖镇区，将镇区污水进行统一收集后由污水处理站进行集中处理。</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4</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油田气化工科技公司污水提标改造项目</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利用现有治污设施，并新增污水预处理装置及配套设施（规模100m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/h）、新增回用水浓水提质处理单元及配套设施（规模300m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/h）、新增含NMP的废水应急处理装置及配套设施（规模10t/h）、现有污水进水装置增加事故池（1座2格，单格容积约15000m</w:t>
            </w:r>
            <w:r>
              <w:rPr>
                <w:rFonts w:hint="eastAsia" w:hAnsi="Times New Roman"/>
                <w:b w:val="0"/>
                <w:bCs/>
                <w:color w:val="000000" w:themeColor="text1"/>
                <w:sz w:val="20"/>
                <w:szCs w:val="20"/>
                <w:vertAlign w:val="superscript"/>
                <w14:textFill>
                  <w14:solidFill>
                    <w14:schemeClr w14:val="tx1"/>
                  </w14:solidFill>
                </w14:textFill>
              </w:rPr>
              <w:t>3</w:t>
            </w:r>
            <w:r>
              <w:rPr>
                <w:rFonts w:hint="eastAsia" w:hAnsi="Times New Roman"/>
                <w:b w:val="0"/>
                <w:bCs/>
                <w:color w:val="000000" w:themeColor="text1"/>
                <w:sz w:val="20"/>
                <w:szCs w:val="20"/>
                <w14:textFill>
                  <w14:solidFill>
                    <w14:schemeClr w14:val="tx1"/>
                  </w14:solidFill>
                </w14:textFill>
              </w:rPr>
              <w:t>）。</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陕西延长石油（集团）有限责任公司油田气化工科技公司</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5</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强化农业农村面源污染治理</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延长县黄河流域面源污染治理推进项目</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1、推广秸秆还田5万亩，建设农业废弃物田间处理1处、农用化学品包装物田间收集池1处；2、畜禽养殖污染治理综合利用工程。3、建立健全秸秆收储运体系和综合利用设施；4、建设废旧地膜回收网点。</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kern w:val="2"/>
                <w:sz w:val="20"/>
                <w:szCs w:val="20"/>
                <w14:textFill>
                  <w14:solidFill>
                    <w14:schemeClr w14:val="tx1"/>
                  </w14:solidFill>
                </w14:textFill>
              </w:rPr>
              <w:t>6</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农村污水收集及处理回用工程</w:t>
            </w:r>
          </w:p>
        </w:tc>
        <w:tc>
          <w:tcPr>
            <w:tcW w:w="1802" w:type="pct"/>
            <w:vAlign w:val="center"/>
          </w:tcPr>
          <w:p>
            <w:pPr>
              <w:rPr>
                <w:rFonts w:ascii="仿宋_GB2312" w:hAnsi="仿宋" w:eastAsia="仿宋_GB2312"/>
                <w:b w:val="0"/>
                <w:bCs/>
                <w:color w:val="000000" w:themeColor="text1"/>
                <w:sz w:val="20"/>
                <w:szCs w:val="20"/>
                <w14:textFill>
                  <w14:solidFill>
                    <w14:schemeClr w14:val="tx1"/>
                  </w14:solidFill>
                </w14:textFill>
              </w:rPr>
            </w:pPr>
            <w:r>
              <w:rPr>
                <w:rFonts w:hint="eastAsia" w:ascii="仿宋_GB2312" w:hAnsi="仿宋" w:eastAsia="仿宋_GB2312"/>
                <w:b w:val="0"/>
                <w:bCs/>
                <w:color w:val="000000" w:themeColor="text1"/>
                <w:sz w:val="20"/>
                <w:szCs w:val="20"/>
                <w14:textFill>
                  <w14:solidFill>
                    <w14:schemeClr w14:val="tx1"/>
                  </w14:solidFill>
                </w14:textFill>
              </w:rPr>
              <w:t>黑家堡镇、七里村街道办、张家滩镇15座农村污水处理站及配套污水收集管网</w:t>
            </w:r>
            <w:r>
              <w:rPr>
                <w:rFonts w:hint="eastAsia" w:hAnsi="Times New Roman"/>
                <w:b w:val="0"/>
                <w:bCs/>
                <w:color w:val="000000" w:themeColor="text1"/>
                <w:sz w:val="20"/>
                <w:szCs w:val="20"/>
                <w14:textFill>
                  <w14:solidFill>
                    <w14:schemeClr w14:val="tx1"/>
                  </w14:solidFill>
                </w14:textFill>
              </w:rPr>
              <w:t>。</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7"/>
                <w:sz w:val="20"/>
                <w:szCs w:val="20"/>
                <w14:textFill>
                  <w14:solidFill>
                    <w14:schemeClr w14:val="tx1"/>
                  </w14:solidFill>
                </w14:textFill>
              </w:rPr>
              <w:t>市生态环境局</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3991.39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7</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延长县2022年农村生活污水治理工程</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农村生活污水治理工程涉及3个镇13个行政村（下设46个自然村），主要内容包括新建生活污水收集系统、生活污水处理系统以及清水利用系统。</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2424.91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垃圾收集转运工程</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县城、安沟镇、交口镇、郑庄镇建4座垃圾转运站。</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7"/>
                <w:sz w:val="20"/>
                <w:szCs w:val="20"/>
                <w14:textFill>
                  <w14:solidFill>
                    <w14:schemeClr w14:val="tx1"/>
                  </w14:solidFill>
                </w14:textFill>
              </w:rPr>
              <w:t>市生态环境局</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90"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序号</w:t>
            </w:r>
          </w:p>
        </w:tc>
        <w:tc>
          <w:tcPr>
            <w:tcW w:w="366" w:type="pct"/>
            <w:vAlign w:val="center"/>
          </w:tcPr>
          <w:p>
            <w:pPr>
              <w:pStyle w:val="10"/>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56"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目标任务</w:t>
            </w:r>
          </w:p>
        </w:tc>
        <w:tc>
          <w:tcPr>
            <w:tcW w:w="59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项目名称</w:t>
            </w:r>
          </w:p>
        </w:tc>
        <w:tc>
          <w:tcPr>
            <w:tcW w:w="1802"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具体内容</w:t>
            </w:r>
          </w:p>
        </w:tc>
        <w:tc>
          <w:tcPr>
            <w:tcW w:w="439"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责任单位</w:t>
            </w:r>
          </w:p>
        </w:tc>
        <w:tc>
          <w:tcPr>
            <w:tcW w:w="3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完成年度</w:t>
            </w:r>
          </w:p>
        </w:tc>
        <w:tc>
          <w:tcPr>
            <w:tcW w:w="674" w:type="pct"/>
            <w:vAlign w:val="center"/>
          </w:tcPr>
          <w:p>
            <w:pPr>
              <w:pStyle w:val="10"/>
              <w:widowControl w:val="0"/>
              <w:spacing w:after="0" w:line="240" w:lineRule="auto"/>
              <w:ind w:firstLine="0" w:firstLineChars="0"/>
              <w:jc w:val="center"/>
              <w:rPr>
                <w:rFonts w:ascii="黑体" w:hAnsi="黑体" w:eastAsia="黑体"/>
                <w:b w:val="0"/>
                <w:bCs/>
                <w:color w:val="000000" w:themeColor="text1"/>
                <w:sz w:val="20"/>
                <w:szCs w:val="20"/>
                <w14:textFill>
                  <w14:solidFill>
                    <w14:schemeClr w14:val="tx1"/>
                  </w14:solidFill>
                </w14:textFill>
              </w:rPr>
            </w:pPr>
            <w:r>
              <w:rPr>
                <w:rFonts w:hint="eastAsia" w:ascii="黑体" w:hAnsi="黑体" w:eastAsia="黑体"/>
                <w:b w:val="0"/>
                <w:bCs/>
                <w:color w:val="000000" w:themeColor="text1"/>
                <w:sz w:val="20"/>
                <w:szCs w:val="2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bookmarkStart w:id="0" w:name="_Hlk104497743"/>
            <w:r>
              <w:rPr>
                <w:rFonts w:hint="eastAsia" w:hAnsi="Times New Roman"/>
                <w:b w:val="0"/>
                <w:bCs/>
                <w:color w:val="000000" w:themeColor="text1"/>
                <w:sz w:val="20"/>
                <w:szCs w:val="20"/>
                <w14:textFill>
                  <w14:solidFill>
                    <w14:schemeClr w14:val="tx1"/>
                  </w14:solidFill>
                </w14:textFill>
              </w:rPr>
              <w:t>9</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强化农业农村面源污染治理</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pacing w:val="-1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废旧农膜回收利用</w:t>
            </w:r>
          </w:p>
        </w:tc>
        <w:tc>
          <w:tcPr>
            <w:tcW w:w="1802"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8个镇、街道各增设一处反光膜（地膜）回收站点，合计8个回收站点，维修37个反光膜(地膜)回收站点，并完善配套设备，尤其是打包机的维护与更新；在交口镇，罗子山镇分别设立1个农田残留地膜监测点，合计2处。</w:t>
            </w:r>
          </w:p>
        </w:tc>
        <w:tc>
          <w:tcPr>
            <w:tcW w:w="439"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2025年</w:t>
            </w:r>
          </w:p>
        </w:tc>
        <w:tc>
          <w:tcPr>
            <w:tcW w:w="674"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pacing w:val="-1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秸秆还田综合利用</w:t>
            </w:r>
          </w:p>
        </w:tc>
        <w:tc>
          <w:tcPr>
            <w:tcW w:w="1802"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实施还田作业及深耕或旋耕作业。</w:t>
            </w:r>
          </w:p>
        </w:tc>
        <w:tc>
          <w:tcPr>
            <w:tcW w:w="439"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tcBorders>
              <w:top w:val="single" w:color="auto" w:sz="4" w:space="0"/>
              <w:left w:val="nil"/>
              <w:bottom w:val="single" w:color="auto" w:sz="4" w:space="0"/>
              <w:right w:val="single" w:color="auto" w:sz="4" w:space="0"/>
            </w:tcBorders>
            <w:shd w:val="clear" w:color="auto" w:fill="auto"/>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100.00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kern w:val="2"/>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11</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加强水生态修复与保护</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pacing w:val="-11"/>
                <w:sz w:val="20"/>
                <w:szCs w:val="20"/>
                <w14:textFill>
                  <w14:solidFill>
                    <w14:schemeClr w14:val="tx1"/>
                  </w14:solidFill>
                </w14:textFill>
              </w:rPr>
            </w:pPr>
            <w:r>
              <w:rPr>
                <w:rFonts w:hint="eastAsia" w:hAnsi="Times New Roman"/>
                <w:b w:val="0"/>
                <w:bCs/>
                <w:color w:val="000000" w:themeColor="text1"/>
                <w:spacing w:val="-11"/>
                <w:sz w:val="20"/>
                <w:szCs w:val="20"/>
                <w14:textFill>
                  <w14:solidFill>
                    <w14:schemeClr w14:val="tx1"/>
                  </w14:solidFill>
                </w14:textFill>
              </w:rPr>
              <w:t>延长县黑家堡镇麻池河小流域治理</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修建生态阻隔墙4.8km，正太阻隔墙外部素土回填，种植林草进行植被恢复，植被恢复面积约80亩；湿地净化工程，建设水生植物带、湿地植物带于陆地植物带相结合的人工湿地生态系统，建设湿地面积约200亩。</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3210.98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12</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黄河峡谷延河入黄口土石山坡生态修复工程</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罗子山镇古渡甸村、寨石村，雷赤镇下坡村人工营造林面积270.61hm</w:t>
            </w:r>
            <w:r>
              <w:rPr>
                <w:rFonts w:hint="eastAsia" w:hAnsi="Times New Roman"/>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pacing w:val="-17"/>
                <w:sz w:val="20"/>
                <w:szCs w:val="20"/>
                <w14:textFill>
                  <w14:solidFill>
                    <w14:schemeClr w14:val="tx1"/>
                  </w14:solidFill>
                </w14:textFill>
              </w:rPr>
              <w:t>市生态环境局</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1597.91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13</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restar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加强林业生态建设</w:t>
            </w: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陕西省延安市陕北地区退化生态系统治理与修复项目</w:t>
            </w:r>
          </w:p>
        </w:tc>
        <w:tc>
          <w:tcPr>
            <w:tcW w:w="1802" w:type="pct"/>
            <w:vAlign w:val="center"/>
          </w:tcPr>
          <w:p>
            <w:pPr>
              <w:pStyle w:val="10"/>
              <w:widowControl w:val="0"/>
              <w:spacing w:after="0" w:line="240" w:lineRule="auto"/>
              <w:ind w:firstLine="0" w:firstLineChars="0"/>
              <w:jc w:val="both"/>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延长县2022-2023年完成人工造林、封山育林、退化林修复共计15.0万亩。</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2023年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7025.00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14</w:t>
            </w:r>
          </w:p>
        </w:tc>
        <w:tc>
          <w:tcPr>
            <w:tcW w:w="366" w:type="pct"/>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456" w:type="pct"/>
            <w:vMerge w:val="continue"/>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p>
        </w:tc>
        <w:tc>
          <w:tcPr>
            <w:tcW w:w="59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陕西省黄土高原水土流失综合治理飞机播种造林项目</w:t>
            </w:r>
          </w:p>
        </w:tc>
        <w:tc>
          <w:tcPr>
            <w:tcW w:w="1802" w:type="pct"/>
            <w:vAlign w:val="center"/>
          </w:tcPr>
          <w:p>
            <w:pPr>
              <w:pStyle w:val="10"/>
              <w:widowControl w:val="0"/>
              <w:spacing w:after="0" w:line="240" w:lineRule="auto"/>
              <w:ind w:firstLine="0" w:firstLineChars="0"/>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2022年完成飞播造林1.0万亩。</w:t>
            </w:r>
          </w:p>
        </w:tc>
        <w:tc>
          <w:tcPr>
            <w:tcW w:w="439"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延长县</w:t>
            </w:r>
          </w:p>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人民政府</w:t>
            </w:r>
          </w:p>
        </w:tc>
        <w:tc>
          <w:tcPr>
            <w:tcW w:w="3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2022年</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6" w:type="pct"/>
            <w:gridSpan w:val="2"/>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延长县</w:t>
            </w:r>
          </w:p>
        </w:tc>
        <w:tc>
          <w:tcPr>
            <w:tcW w:w="3670" w:type="pct"/>
            <w:gridSpan w:val="5"/>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小计</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57758.84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6" w:type="pct"/>
            <w:gridSpan w:val="2"/>
            <w:vAlign w:val="center"/>
          </w:tcPr>
          <w:p>
            <w:pPr>
              <w:jc w:val="center"/>
              <w:rPr>
                <w:rFonts w:ascii="仿宋_GB2312" w:hAnsi="Times New Roman" w:eastAsia="仿宋_GB2312"/>
                <w:b w:val="0"/>
                <w:bCs/>
                <w:color w:val="000000" w:themeColor="text1"/>
                <w:sz w:val="20"/>
                <w:szCs w:val="20"/>
                <w14:textFill>
                  <w14:solidFill>
                    <w14:schemeClr w14:val="tx1"/>
                  </w14:solidFill>
                </w14:textFill>
              </w:rPr>
            </w:pPr>
            <w:r>
              <w:rPr>
                <w:rFonts w:hint="eastAsia" w:ascii="仿宋_GB2312" w:hAnsi="Times New Roman" w:eastAsia="仿宋_GB2312"/>
                <w:b w:val="0"/>
                <w:bCs/>
                <w:color w:val="000000" w:themeColor="text1"/>
                <w:sz w:val="20"/>
                <w:szCs w:val="20"/>
                <w14:textFill>
                  <w14:solidFill>
                    <w14:schemeClr w14:val="tx1"/>
                  </w14:solidFill>
                </w14:textFill>
              </w:rPr>
              <w:t>延河流域</w:t>
            </w:r>
          </w:p>
        </w:tc>
        <w:tc>
          <w:tcPr>
            <w:tcW w:w="3670" w:type="pct"/>
            <w:gridSpan w:val="5"/>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总计</w:t>
            </w:r>
          </w:p>
        </w:tc>
        <w:tc>
          <w:tcPr>
            <w:tcW w:w="674" w:type="pct"/>
            <w:vAlign w:val="center"/>
          </w:tcPr>
          <w:p>
            <w:pPr>
              <w:pStyle w:val="10"/>
              <w:widowControl w:val="0"/>
              <w:spacing w:after="0" w:line="240" w:lineRule="auto"/>
              <w:ind w:firstLine="0" w:firstLineChars="0"/>
              <w:jc w:val="center"/>
              <w:rPr>
                <w:rFonts w:hAnsi="Times New Roman"/>
                <w:b w:val="0"/>
                <w:bCs/>
                <w:color w:val="000000" w:themeColor="text1"/>
                <w:sz w:val="20"/>
                <w:szCs w:val="20"/>
                <w14:textFill>
                  <w14:solidFill>
                    <w14:schemeClr w14:val="tx1"/>
                  </w14:solidFill>
                </w14:textFill>
              </w:rPr>
            </w:pPr>
            <w:r>
              <w:rPr>
                <w:rFonts w:hint="eastAsia" w:hAnsi="Times New Roman"/>
                <w:b w:val="0"/>
                <w:bCs/>
                <w:color w:val="000000" w:themeColor="text1"/>
                <w:sz w:val="20"/>
                <w:szCs w:val="20"/>
                <w14:textFill>
                  <w14:solidFill>
                    <w14:schemeClr w14:val="tx1"/>
                  </w14:solidFill>
                </w14:textFill>
              </w:rPr>
              <w:t>279888.51</w:t>
            </w:r>
          </w:p>
        </w:tc>
      </w:tr>
    </w:tbl>
    <w:p>
      <w:pPr>
        <w:pStyle w:val="2"/>
        <w:ind w:firstLine="560"/>
        <w:rPr>
          <w:b w:val="0"/>
          <w:bCs/>
          <w:color w:val="000000" w:themeColor="text1"/>
          <w14:textFill>
            <w14:solidFill>
              <w14:schemeClr w14:val="tx1"/>
            </w14:solidFill>
          </w14:textFill>
        </w:rPr>
        <w:sectPr>
          <w:footerReference r:id="rId3" w:type="default"/>
          <w:footerReference r:id="rId4" w:type="even"/>
          <w:pgSz w:w="16838" w:h="11906" w:orient="landscape"/>
          <w:pgMar w:top="1644" w:right="1440" w:bottom="1474" w:left="1440" w:header="1588" w:footer="1417" w:gutter="0"/>
          <w:cols w:space="0" w:num="1"/>
          <w:docGrid w:linePitch="360" w:charSpace="0"/>
        </w:sectPr>
      </w:pPr>
    </w:p>
    <w:p/>
    <w:sectPr>
      <w:footerReference r:id="rId5" w:type="default"/>
      <w:pgSz w:w="11906" w:h="16838"/>
      <w:pgMar w:top="1985" w:right="1474" w:bottom="1418" w:left="1588" w:header="1985"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spacing w:line="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81005532"/>
    </w:sdtPr>
    <w:sdtEndPr>
      <w:rPr>
        <w:rFonts w:hint="eastAsia" w:ascii="宋体" w:hAnsi="宋体"/>
        <w:sz w:val="28"/>
        <w:szCs w:val="28"/>
      </w:rPr>
    </w:sdtEndPr>
    <w:sdtContent>
      <w:p>
        <w:pPr>
          <w:pStyle w:val="3"/>
          <w:ind w:firstLine="140" w:firstLineChars="50"/>
          <w:jc w:val="center"/>
          <w:rPr>
            <w:rFonts w:ascii="宋体" w:hAnsi="宋体"/>
            <w:sz w:val="28"/>
            <w:szCs w:val="28"/>
          </w:rPr>
        </w:pPr>
        <w:r>
          <w:rPr>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47</w:t>
        </w:r>
        <w:r>
          <w:rPr>
            <w:rStyle w:val="7"/>
            <w:rFonts w:ascii="宋体" w:hAnsi="宋体"/>
            <w:sz w:val="28"/>
            <w:szCs w:val="28"/>
          </w:rPr>
          <w:fldChar w:fldCharType="end"/>
        </w:r>
        <w:r>
          <w:rPr>
            <w:rFonts w:hint="eastAsia" w:ascii="宋体" w:hAnsi="宋体"/>
            <w:sz w:val="28"/>
            <w:szCs w:val="28"/>
          </w:rPr>
          <w:t xml:space="preserve"> —</w:t>
        </w:r>
      </w:p>
    </w:sdtContent>
  </w:sdt>
  <w:p>
    <w:pPr>
      <w:pStyle w:val="3"/>
      <w:spacing w:line="8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Y2MzMmU1ZGU5OGRhOGUzNmZmZTZkMDUwNTg4ZmQifQ=="/>
  </w:docVars>
  <w:rsids>
    <w:rsidRoot w:val="050D2F59"/>
    <w:rsid w:val="050D2F59"/>
    <w:rsid w:val="2824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napToGrid w:val="0"/>
      <w:spacing w:line="360" w:lineRule="auto"/>
      <w:ind w:firstLine="420" w:firstLineChars="200"/>
      <w:contextualSpacing/>
    </w:pPr>
    <w:rPr>
      <w:rFonts w:ascii="Times New Roman" w:hAnsi="Times New Roman" w:eastAsia="仿宋"/>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
    <w:name w:val="图表标题"/>
    <w:basedOn w:val="1"/>
    <w:qFormat/>
    <w:uiPriority w:val="0"/>
    <w:pPr>
      <w:adjustRightInd w:val="0"/>
      <w:snapToGrid w:val="0"/>
      <w:spacing w:line="360" w:lineRule="auto"/>
      <w:contextualSpacing/>
      <w:jc w:val="center"/>
    </w:pPr>
    <w:rPr>
      <w:rFonts w:ascii="Times New Roman" w:hAnsi="Times New Roman" w:eastAsia="仿宋"/>
      <w:b/>
      <w:sz w:val="24"/>
    </w:rPr>
  </w:style>
  <w:style w:type="paragraph" w:customStyle="1" w:styleId="10">
    <w:name w:val="自定义正文"/>
    <w:basedOn w:val="1"/>
    <w:qFormat/>
    <w:uiPriority w:val="0"/>
    <w:pPr>
      <w:widowControl/>
      <w:adjustRightInd w:val="0"/>
      <w:snapToGrid w:val="0"/>
      <w:spacing w:before="100" w:beforeAutospacing="1" w:after="200" w:line="360" w:lineRule="auto"/>
      <w:ind w:firstLine="200" w:firstLineChars="200"/>
      <w:contextualSpacing/>
      <w:jc w:val="left"/>
    </w:pPr>
    <w:rPr>
      <w:rFonts w:ascii="仿宋_GB2312" w:hAnsi="宋体" w:eastAsia="仿宋_GB2312"/>
      <w:bCs/>
      <w:color w:val="000000"/>
      <w:kern w:val="0"/>
      <w:sz w:val="32"/>
      <w:szCs w:val="32"/>
    </w:rPr>
  </w:style>
  <w:style w:type="paragraph" w:customStyle="1" w:styleId="11">
    <w:name w:val="表内文字"/>
    <w:basedOn w:val="1"/>
    <w:qFormat/>
    <w:uiPriority w:val="0"/>
    <w:pPr>
      <w:jc w:val="center"/>
    </w:pPr>
    <w:rPr>
      <w:rFonts w:ascii="Times New Roman" w:hAnsi="Times New Roman"/>
      <w:color w:val="000000"/>
      <w:sz w:val="20"/>
      <w:szCs w:val="20"/>
    </w:rPr>
  </w:style>
  <w:style w:type="paragraph" w:customStyle="1" w:styleId="12">
    <w:name w:val="表格内容"/>
    <w:basedOn w:val="1"/>
    <w:qFormat/>
    <w:uiPriority w:val="0"/>
    <w:pPr>
      <w:suppressLineNumbers/>
    </w:pPr>
    <w:rPr>
      <w:rFonts w:asciiTheme="minorHAnsi" w:hAnsiTheme="minorHAnsi" w:eastAsia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5115</Words>
  <Characters>6066</Characters>
  <Lines>0</Lines>
  <Paragraphs>0</Paragraphs>
  <TotalTime>14</TotalTime>
  <ScaleCrop>false</ScaleCrop>
  <LinksUpToDate>false</LinksUpToDate>
  <CharactersWithSpaces>6097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2022-06-29T02:16:00Z</dcterms:created>
  <dc:creator>Administrator</dc:creator>
  <cp:lastModifiedBy>Administrator</cp:lastModifiedBy>
  <dcterms:modified xsi:type="dcterms:W3CDTF">2022-06-29T02:35:27Z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4AC98AF414444F02B952E0891D0D239E</vt:lpwstr>
  </property>
</Properties>
</file>