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68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2E68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9852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Style w:val="6"/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《</w:t>
      </w:r>
      <w:r>
        <w:rPr>
          <w:rStyle w:val="6"/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非法采矿采出矿产品价值、非法采矿或破坏性采矿造成矿产资源破坏价值认定办法</w:t>
      </w:r>
      <w:r>
        <w:rPr>
          <w:rStyle w:val="6"/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（征求意见稿）》和《</w:t>
      </w:r>
      <w:r>
        <w:rPr>
          <w:rStyle w:val="6"/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非法采矿采出矿产品价值、非法采矿或破坏性采矿造成矿产资源破坏价值调查核算技术指南</w:t>
      </w:r>
    </w:p>
    <w:p w14:paraId="3A424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（征求意见稿）》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的起草说明</w:t>
      </w:r>
    </w:p>
    <w:p w14:paraId="301A1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5E97F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一、制定目的和依据</w:t>
      </w:r>
    </w:p>
    <w:p w14:paraId="575C4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" w:eastAsia="zh-CN"/>
        </w:rPr>
        <w:t>非法采矿采出矿产品价值、非法采矿或破坏性采矿造成矿产资源破坏价值认定，是矿产资源行政执法与刑事司法衔接的重要环节。按照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《最高人民法院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-US"/>
        </w:rPr>
        <w:t xml:space="preserve"> 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最高人民检察院关于办理非法采矿、破坏性采矿刑事案件适用法律若干问题的解释》（法释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〔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2016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25号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）有关规定，对于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非法开采的矿产品价值、造成矿产资源破坏的价值、是否属于破坏性开采方法难以确定的，依据省级以上人民政府国土资源等主管部门出具的报告，结合其他证据作出认定。</w:t>
      </w:r>
    </w:p>
    <w:p w14:paraId="0B444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" w:eastAsia="zh-CN"/>
        </w:rPr>
        <w:t>为衔接细化司法解释有关规定，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-US" w:eastAsia="zh-CN"/>
        </w:rPr>
        <w:t>进一步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规范非法采矿采出矿产品价值、非法采矿或破坏性采矿造成矿产资源破坏价值认定工作，我部在《国土资源部关于印发&lt;非法采矿、破坏性采矿造成矿产资源破坏价值鉴定程序的规定&gt;的通知》（国土资发〔2005〕175号）基础上，结合《最高人民法院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-US"/>
        </w:rPr>
        <w:t xml:space="preserve"> 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最高人民检察院关于办理非法采矿、破坏性采矿刑事案件适用法律若干问题的解释》（法释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〔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2016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25号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）有关规定，研究制定了《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-US" w:eastAsia="zh-CN"/>
        </w:rPr>
        <w:t>非法采矿采出矿产品价值、非法采矿或破坏性采矿造成矿产资源破坏价值认定办法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》（以下简称《认定办法》）和《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-US" w:eastAsia="zh-CN"/>
        </w:rPr>
        <w:t>非法采矿采出矿产品价值、非法采矿或破坏性采矿造成矿产资源破坏价值调查核算技术指南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》（以下简称《技术指南》）。</w:t>
      </w:r>
    </w:p>
    <w:p w14:paraId="582C5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二、主要内容</w:t>
      </w:r>
    </w:p>
    <w:p w14:paraId="307B3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color w:val="auto"/>
          <w:sz w:val="32"/>
          <w:szCs w:val="32"/>
          <w:lang w:val="en" w:eastAsia="zh-CN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z w:val="32"/>
          <w:szCs w:val="32"/>
          <w:lang w:val="en" w:eastAsia="zh-CN"/>
        </w:rPr>
        <w:t>（一）《认定办法》的主要内容。</w:t>
      </w:r>
    </w:p>
    <w:p w14:paraId="22B60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仿宋_GB2312" w:eastAsia="仿宋_GB2312"/>
          <w:color w:val="auto"/>
          <w:sz w:val="32"/>
          <w:szCs w:val="32"/>
          <w:lang w:val="en" w:eastAsia="zh-CN"/>
        </w:rPr>
        <w:t>《认定办法》主要用以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规范矿产资源违法案件价值认定工作。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" w:eastAsia="zh-CN"/>
        </w:rPr>
        <w:t>《认定办法》包括基本概念、基本原则、认定管辖、认定规则、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-US"/>
        </w:rPr>
        <w:t>省级自然资源主管部门认定管理、有关规定6个部分，对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非法采矿采出矿产品价值、非法采矿造成矿产资源破坏价值、破坏性采矿造成矿产资源破坏的价值等基本概念作了进一步厘清，结合司法解释明确了认定工作管辖的范围，对如何进行认定明确了相关规则，对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-US"/>
        </w:rPr>
        <w:t>省级自然资源主管部门认定管理的组织架构和认定程序作了规定，对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编制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-US"/>
        </w:rPr>
        <w:t>要求、责任划定、工作回避、违规处理等方面提出了要求。</w:t>
      </w:r>
    </w:p>
    <w:p w14:paraId="318A9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color w:val="auto"/>
          <w:sz w:val="32"/>
          <w:szCs w:val="32"/>
          <w:lang w:val="en" w:eastAsia="zh-CN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z w:val="32"/>
          <w:szCs w:val="32"/>
          <w:lang w:val="en" w:eastAsia="zh-CN"/>
        </w:rPr>
        <w:t>（二）《技术指南》的主要内容。</w:t>
      </w:r>
    </w:p>
    <w:p w14:paraId="5FF66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仿宋_GB2312" w:eastAsia="仿宋_GB2312"/>
          <w:color w:val="auto"/>
          <w:sz w:val="32"/>
          <w:szCs w:val="32"/>
          <w:lang w:val="en" w:eastAsia="zh-CN"/>
        </w:rPr>
        <w:t>《技术指南》主要用以规范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价值调查核算报告编制工作。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" w:eastAsia="zh-CN"/>
        </w:rPr>
        <w:t>《技术指南》包括适用范围、工作方法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-US" w:eastAsia="zh-CN"/>
        </w:rPr>
        <w:t>2大部分，并附有调查核算报告编写提纲。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" w:eastAsia="zh-CN"/>
        </w:rPr>
        <w:t>《技术指南》对编制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调查核算报告采用的工作方法，如资料收集、现场调查、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" w:eastAsia="zh-CN"/>
        </w:rPr>
        <w:t>价值计算、报告编制进行了规定，并对如何计算矿产资源数量、取得矿产资源价格提出了要求。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-US" w:eastAsia="zh-CN"/>
        </w:rPr>
        <w:t>调查核算报告编写提纲，对报告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名称、封面、扉页及目录，正文提纲及附图、附表、附件提出了相关要求。</w:t>
      </w:r>
    </w:p>
    <w:p w14:paraId="6AC98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三、需要说明的几个问题</w:t>
      </w:r>
    </w:p>
    <w:p w14:paraId="2ABA2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eastAsia" w:ascii="仿宋_GB2312" w:eastAsia="仿宋_GB2312"/>
          <w:color w:val="auto"/>
          <w:sz w:val="32"/>
          <w:szCs w:val="32"/>
          <w:lang w:val="en" w:eastAsia="zh-CN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z w:val="32"/>
          <w:szCs w:val="32"/>
          <w:lang w:val="en" w:eastAsia="zh-CN"/>
        </w:rPr>
        <w:t>（一）关于《认定办法》的衔接问题。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" w:eastAsia="zh-CN"/>
        </w:rPr>
        <w:t>《认定办法》是在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《国土资源部关于印发&lt;非法采矿、破坏性采矿造成矿产资源破坏价值鉴定程序的规定&gt;的通知》（国土资发〔2005〕175号）基础上，结合《最高人民法院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-US"/>
        </w:rPr>
        <w:t xml:space="preserve"> 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最高人民检察院关于办理非法采矿、破坏性采矿刑事案件适用法律若干问题的解释》（法释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〔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2016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25号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）有关规定研究制定的，是对国土资发〔2005〕175号文件的完善和发展。</w:t>
      </w:r>
      <w:r>
        <w:rPr>
          <w:rStyle w:val="6"/>
          <w:rFonts w:hint="eastAsia" w:ascii="仿宋_GB2312" w:eastAsia="仿宋_GB2312"/>
          <w:color w:val="auto"/>
          <w:sz w:val="32"/>
          <w:szCs w:val="32"/>
          <w:lang w:val="en" w:eastAsia="zh-CN"/>
        </w:rPr>
        <w:t>《认定办法》印发后，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国土资发〔2005〕175号文件即行废止。</w:t>
      </w:r>
    </w:p>
    <w:p w14:paraId="2918C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（二）关于《认定办法》的</w:t>
      </w:r>
      <w:r>
        <w:rPr>
          <w:rStyle w:val="6"/>
          <w:rFonts w:hint="eastAsia" w:ascii="楷体_GB2312" w:hAnsi="楷体_GB2312" w:eastAsia="楷体_GB2312" w:cs="楷体_GB2312"/>
          <w:color w:val="auto"/>
          <w:sz w:val="32"/>
          <w:szCs w:val="32"/>
          <w:lang w:val="en" w:eastAsia="zh-CN"/>
        </w:rPr>
        <w:t>主要</w:t>
      </w:r>
      <w:r>
        <w:rPr>
          <w:rStyle w:val="6"/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" w:eastAsia="zh-CN"/>
        </w:rPr>
        <w:t>变化。一是丰富了相关内容。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</w:rPr>
        <w:t>国土资发〔2005〕175号是鉴定工作的程序规定，相比而言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《认定办法》增加了基本原则、认定管辖、认定规则等章节，既包含认定工作的程序规定，也包含认定规则等实体内容。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</w:rPr>
        <w:t>根据司法解释有关变化，将价值鉴定改为价值认定。</w:t>
      </w:r>
      <w:r>
        <w:rPr>
          <w:rStyle w:val="6"/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" w:eastAsia="zh-CN"/>
        </w:rPr>
        <w:t>二是减轻了办案单位负担。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除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</w:rPr>
        <w:t>非法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-US"/>
        </w:rPr>
        <w:t>采矿采出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</w:rPr>
        <w:t>矿产品价值、非法采矿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-US"/>
        </w:rPr>
        <w:t>或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</w:rPr>
        <w:t>破坏性采矿造成矿产资源破坏价值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-US"/>
        </w:rPr>
        <w:t>难以认定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</w:rPr>
        <w:t>，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-US"/>
        </w:rPr>
        <w:t>以及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</w:rPr>
        <w:t>是否属于破坏性开采方法等专门性问题难以认定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-US"/>
        </w:rPr>
        <w:t>的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</w:rPr>
        <w:t>，向采矿所在地的省级自然资源主管部门申请出具认定报告，其他案件由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-US"/>
        </w:rPr>
        <w:t>办案单位按照认定规则直接进行认定。</w:t>
      </w:r>
      <w:r>
        <w:rPr>
          <w:rStyle w:val="6"/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" w:eastAsia="zh-CN"/>
        </w:rPr>
        <w:t>三是明确了认定规则。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对如何认定非法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采矿采出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矿产品价值、非法采矿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或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破坏性采矿造成矿产资源破坏价值的规则进行了明确规定，与司法解释进行了有效衔接，结合矿产资源行政执法工作实际进行了细化，便于基层自然资源主管部门办理相关案件时掌握。</w:t>
      </w:r>
      <w:r>
        <w:rPr>
          <w:rStyle w:val="6"/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" w:eastAsia="zh-CN"/>
        </w:rPr>
        <w:t>四是提出了相关要求。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对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</w:rPr>
        <w:t>编制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-US"/>
        </w:rPr>
        <w:t>要求、责任划定、工作回避、违规处理等方面提出了要求，同时留有余地，省级自然资源主管部门可在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《认定办法》和《技术指南》基础上，</w:t>
      </w:r>
      <w:r>
        <w:rPr>
          <w:rStyle w:val="6"/>
          <w:rFonts w:hint="eastAsia" w:ascii="仿宋_GB2312" w:eastAsia="仿宋_GB2312"/>
          <w:b w:val="0"/>
          <w:bCs w:val="0"/>
          <w:color w:val="auto"/>
          <w:sz w:val="32"/>
          <w:szCs w:val="32"/>
          <w:lang w:val="en-US"/>
        </w:rPr>
        <w:t>结合本地区实际制定相关细则。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C3B5E4-66B0-4DE5-BCED-D802FF7A07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B668A5C-1740-490B-B8CF-64DBF69CDC18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74271E6-3A88-4BD0-B6A8-F5A9F59021AB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172C3EE-A477-46B3-807F-5574E6FD52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87C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211EB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211EB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NWM4MWU4YmUyNzVlM2E0YzUxMTFmMTIyZmVmNzQifQ=="/>
  </w:docVars>
  <w:rsids>
    <w:rsidRoot w:val="77BF8B14"/>
    <w:rsid w:val="3B87A44C"/>
    <w:rsid w:val="3DC57D94"/>
    <w:rsid w:val="42DC6E69"/>
    <w:rsid w:val="57FE943C"/>
    <w:rsid w:val="59D6AF69"/>
    <w:rsid w:val="59FF9583"/>
    <w:rsid w:val="5B000052"/>
    <w:rsid w:val="6DFE9A72"/>
    <w:rsid w:val="6FBD43E5"/>
    <w:rsid w:val="6FE10BE7"/>
    <w:rsid w:val="6FFD2AB1"/>
    <w:rsid w:val="75DF066D"/>
    <w:rsid w:val="76FB7B80"/>
    <w:rsid w:val="77BF8B14"/>
    <w:rsid w:val="77FD8596"/>
    <w:rsid w:val="7F373577"/>
    <w:rsid w:val="7FF98E7B"/>
    <w:rsid w:val="9BEF7614"/>
    <w:rsid w:val="CF6B2D84"/>
    <w:rsid w:val="D37B3C0A"/>
    <w:rsid w:val="DEF6C2CD"/>
    <w:rsid w:val="E7BCC59A"/>
    <w:rsid w:val="F37FF55F"/>
    <w:rsid w:val="F383C158"/>
    <w:rsid w:val="FB343111"/>
    <w:rsid w:val="FB3A7693"/>
    <w:rsid w:val="FDFFADC7"/>
    <w:rsid w:val="FEF560B0"/>
    <w:rsid w:val="FEFD7CE1"/>
    <w:rsid w:val="FFCFB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正文文本_"/>
    <w:basedOn w:val="5"/>
    <w:link w:val="7"/>
    <w:qFormat/>
    <w:uiPriority w:val="0"/>
    <w:rPr>
      <w:rFonts w:ascii="宋体" w:hAnsi="宋体" w:eastAsia="宋体" w:cs="宋体"/>
      <w:sz w:val="30"/>
      <w:szCs w:val="30"/>
      <w:lang w:val="zh-CN" w:eastAsia="zh-CN"/>
    </w:rPr>
  </w:style>
  <w:style w:type="paragraph" w:customStyle="1" w:styleId="7">
    <w:name w:val="正文文本1"/>
    <w:basedOn w:val="1"/>
    <w:link w:val="6"/>
    <w:qFormat/>
    <w:uiPriority w:val="0"/>
    <w:pPr>
      <w:spacing w:line="425" w:lineRule="auto"/>
      <w:ind w:firstLine="400"/>
    </w:pPr>
    <w:rPr>
      <w:rFonts w:ascii="宋体" w:hAnsi="宋体" w:eastAsia="宋体" w:cs="宋体"/>
      <w:sz w:val="30"/>
      <w:szCs w:val="30"/>
      <w:lang w:val="zh-CN" w:eastAsia="zh-CN"/>
    </w:rPr>
  </w:style>
  <w:style w:type="character" w:customStyle="1" w:styleId="8">
    <w:name w:val="正文文本 (3)_"/>
    <w:basedOn w:val="5"/>
    <w:link w:val="9"/>
    <w:qFormat/>
    <w:uiPriority w:val="0"/>
    <w:rPr>
      <w:rFonts w:ascii="黑体" w:hAnsi="黑体" w:eastAsia="黑体" w:cs="黑体"/>
      <w:sz w:val="30"/>
      <w:szCs w:val="30"/>
      <w:lang w:val="zh-CN" w:eastAsia="zh-CN"/>
    </w:rPr>
  </w:style>
  <w:style w:type="paragraph" w:customStyle="1" w:styleId="9">
    <w:name w:val="正文文本 (3)"/>
    <w:basedOn w:val="1"/>
    <w:link w:val="8"/>
    <w:qFormat/>
    <w:uiPriority w:val="0"/>
    <w:pPr>
      <w:spacing w:line="603" w:lineRule="exact"/>
      <w:ind w:firstLine="640"/>
    </w:pPr>
    <w:rPr>
      <w:rFonts w:ascii="黑体" w:hAnsi="黑体" w:eastAsia="黑体" w:cs="黑体"/>
      <w:sz w:val="30"/>
      <w:szCs w:val="3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1703</Words>
  <Characters>1740</Characters>
  <Lines>0</Lines>
  <Paragraphs>0</Paragraphs>
  <TotalTime>201</TotalTime>
  <ScaleCrop>false</ScaleCrop>
  <LinksUpToDate>false</LinksUpToDate>
  <CharactersWithSpaces>1743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2024-08-21T01:32:00Z</dcterms:created>
  <dc:creator>chens</dc:creator>
  <cp:lastModifiedBy>卓天网络</cp:lastModifiedBy>
  <dcterms:modified xsi:type="dcterms:W3CDTF">2024-10-23T03:52:08Z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C2B6092D8A744F49A81342434D8105D5_13</vt:lpwstr>
  </property>
</Properties>
</file>