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bCs/>
          <w:sz w:val="44"/>
          <w:szCs w:val="44"/>
        </w:rPr>
        <w:t>标准研讨会参会回执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84"/>
        <w:gridCol w:w="244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160" w:firstLineChars="5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60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企业介绍：</w:t>
            </w:r>
          </w:p>
          <w:p>
            <w:pPr>
              <w:spacing w:line="560" w:lineRule="exact"/>
              <w:ind w:left="6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1.企业简介；</w:t>
            </w:r>
          </w:p>
          <w:p>
            <w:pPr>
              <w:spacing w:line="560" w:lineRule="exact"/>
              <w:ind w:left="6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具体业务介绍；</w:t>
            </w:r>
          </w:p>
          <w:p>
            <w:pPr>
              <w:spacing w:line="560" w:lineRule="exact"/>
              <w:ind w:left="6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3.视听应用场景介绍。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63A1C"/>
    <w:rsid w:val="733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2024-10-15T07:34:00Z</dcterms:created>
  <dc:creator>Z</dc:creator>
  <cp:lastModifiedBy>Z</cp:lastModifiedBy>
  <dcterms:modified xsi:type="dcterms:W3CDTF">2024-10-15T07:34:51Z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FF32C85C540C4139A5AD49C1F085C86D</vt:lpwstr>
  </property>
</Properties>
</file>