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  <w:t>附件1</w:t>
      </w:r>
    </w:p>
    <w:p>
      <w:pPr>
        <w:snapToGrid w:val="0"/>
        <w:spacing w:before="156" w:beforeLines="50" w:after="249" w:afterLines="80" w:line="7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陕西省专利转化专项计划项目申报指南</w:t>
      </w:r>
    </w:p>
    <w:tbl>
      <w:tblPr>
        <w:tblStyle w:val="4"/>
        <w:tblW w:w="15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005"/>
        <w:gridCol w:w="6946"/>
        <w:gridCol w:w="3033"/>
        <w:gridCol w:w="955"/>
        <w:gridCol w:w="115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Header/>
          <w:jc w:val="center"/>
        </w:trPr>
        <w:tc>
          <w:tcPr>
            <w:tcW w:w="56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69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项目任务</w:t>
            </w:r>
          </w:p>
        </w:tc>
        <w:tc>
          <w:tcPr>
            <w:tcW w:w="30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项目目标</w:t>
            </w:r>
          </w:p>
        </w:tc>
        <w:tc>
          <w:tcPr>
            <w:tcW w:w="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一期项目周期</w:t>
            </w:r>
          </w:p>
        </w:tc>
        <w:tc>
          <w:tcPr>
            <w:tcW w:w="115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支持方式</w:t>
            </w:r>
          </w:p>
        </w:tc>
        <w:tc>
          <w:tcPr>
            <w:tcW w:w="137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8" w:hRule="atLeast"/>
          <w:jc w:val="center"/>
        </w:trPr>
        <w:tc>
          <w:tcPr>
            <w:tcW w:w="56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高校、院所、国有企业专利转化促进项目</w:t>
            </w:r>
          </w:p>
        </w:tc>
        <w:tc>
          <w:tcPr>
            <w:tcW w:w="69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梳理制定分级分类的可转让目录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向省内中小企业转移转化专利；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贯彻落实“开放许可”制度；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通过秦创原创新驱动平台转移转化专利；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高价值专利培育；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专利导航；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落实《关于提升高等学校专利质量促进转化运用的若干意见》《关于推动科研组织知识产权高质量发展的指导意见》《关于推进中央企业知识产权工作高质量发展的指导意见》及我省《关于开展高校科技成果知识产权规范管理试点工作》工作任务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奖励在专利转移转化工作中做出实质贡献的的人员；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探索专利运营新模式，及时总结相关经验模式，每月至少报送一篇工作动态；</w:t>
            </w:r>
          </w:p>
          <w:p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开展其他专利转化创新性工作。</w:t>
            </w:r>
          </w:p>
        </w:tc>
        <w:tc>
          <w:tcPr>
            <w:tcW w:w="30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1.专利转移转化数量、合同金额和到账金额增长均不少于50%；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2.开放许可或在规定平台公开许可一定数量专利；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3.培育一定数量高价值专利；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4.具体指标合同约定。</w:t>
            </w:r>
          </w:p>
        </w:tc>
        <w:tc>
          <w:tcPr>
            <w:tcW w:w="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2022年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3月底</w:t>
            </w:r>
          </w:p>
        </w:tc>
        <w:tc>
          <w:tcPr>
            <w:tcW w:w="115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择优资助。根据阶段性考核任务完成情况确定是否连续支持。</w:t>
            </w:r>
          </w:p>
        </w:tc>
        <w:tc>
          <w:tcPr>
            <w:tcW w:w="137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高校、院所、省属国企及在陕央企。鼓励与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知识产权运营、服务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机构、平台等联合申报。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0" w:hRule="atLeast"/>
          <w:jc w:val="center"/>
        </w:trPr>
        <w:tc>
          <w:tcPr>
            <w:tcW w:w="56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园区专利转化推进项目</w:t>
            </w:r>
          </w:p>
        </w:tc>
        <w:tc>
          <w:tcPr>
            <w:tcW w:w="69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1.梳理制定分级分类的可转让目录；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2.中小微企业转移转化专利技术并实施；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3.高校院所转移转化专利技术；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4.服务机构驻园试点、入园惠企，开展专利转化工作；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5.知识产权金融；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6.专利转移转化对接；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7.专利产品备案；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8.高价值专利培育（大赛）；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9.专利导航；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10.知识产权运营人才培养；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11.专利“开放许可”工作；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12.重点产业知识产权联盟建设；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13.探索专利运营新模式，及时总结相关经验模式，每月至少报送一篇工作动态；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14.其他专利转化创新性工作。</w:t>
            </w:r>
          </w:p>
        </w:tc>
        <w:tc>
          <w:tcPr>
            <w:tcW w:w="30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1.中小微企业接受相关主体转移转化专利数量、成交金额、实际到账金额增长均不少于40%；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2.政策惠及的中小微企业数量、总营业收入增长不少于30%，总就业人数增长不少于20%；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3.中小微企业专利产品备案数量增长不少于20%，专利实施率不少于85%；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4.质押融资专利数量、融资金额增长不少于20%；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5.具体指标合同约定。</w:t>
            </w:r>
          </w:p>
        </w:tc>
        <w:tc>
          <w:tcPr>
            <w:tcW w:w="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2022年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3月底</w:t>
            </w:r>
          </w:p>
        </w:tc>
        <w:tc>
          <w:tcPr>
            <w:tcW w:w="115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择优资助。根据阶段性考核任务完成情况确定是否连续支持。</w:t>
            </w:r>
          </w:p>
        </w:tc>
        <w:tc>
          <w:tcPr>
            <w:tcW w:w="137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国家级高新区、经开区知识产权管理部门；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产业园区，孵化器等。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6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专利技术流转拓展项目</w:t>
            </w:r>
          </w:p>
        </w:tc>
        <w:tc>
          <w:tcPr>
            <w:tcW w:w="69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1.专利技术供需情报搜集、分析、整理、推送；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2.分产业举办专利技术展览，校企、校地专利技术等供需对接活动；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3.推动专利实施许可合同备案与技术合同认定登记有机衔接；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4.知识产权金融服务“入园惠企”；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5.开展专利价值评估；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6.开展技术经理人培训。</w:t>
            </w:r>
          </w:p>
        </w:tc>
        <w:tc>
          <w:tcPr>
            <w:tcW w:w="30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1.签约项目数量、签约金额达到一定数量；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4"/>
                <w:lang w:bidi="ar"/>
              </w:rPr>
              <w:t>2.专利实施许可合同备案与技术合同登记认定达到一定数量；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3.服务园区的知识产权质押项目达到一定数量；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4.具体指标合同约定。</w:t>
            </w:r>
          </w:p>
        </w:tc>
        <w:tc>
          <w:tcPr>
            <w:tcW w:w="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2022年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3月底</w:t>
            </w:r>
          </w:p>
        </w:tc>
        <w:tc>
          <w:tcPr>
            <w:tcW w:w="115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择优资助。</w:t>
            </w:r>
          </w:p>
        </w:tc>
        <w:tc>
          <w:tcPr>
            <w:tcW w:w="137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技术转移转化中心、平台、机构等。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56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知识产权证券化产品融资培育项目</w:t>
            </w:r>
          </w:p>
        </w:tc>
        <w:tc>
          <w:tcPr>
            <w:tcW w:w="69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1.知识产权证券化政策环境、体制机制、风险性、可行性研究探索；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2.挖掘、遴选知识产权证券化培育对象，筛选专利组合作为基础资产标的，做好知识产权证券化产品发行准备。</w:t>
            </w:r>
          </w:p>
        </w:tc>
        <w:tc>
          <w:tcPr>
            <w:tcW w:w="30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1.知识产权证券化产品可行性研究报告；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2.遴选具有可证券化有效专利组合的企业作为重点培育对象。</w:t>
            </w:r>
          </w:p>
        </w:tc>
        <w:tc>
          <w:tcPr>
            <w:tcW w:w="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2022年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3月底</w:t>
            </w:r>
          </w:p>
        </w:tc>
        <w:tc>
          <w:tcPr>
            <w:tcW w:w="115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择优资助。</w:t>
            </w:r>
          </w:p>
        </w:tc>
        <w:tc>
          <w:tcPr>
            <w:tcW w:w="137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相关企事业单位。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56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产业规划类专利导航项目</w:t>
            </w:r>
          </w:p>
        </w:tc>
        <w:tc>
          <w:tcPr>
            <w:tcW w:w="69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围绕数控机床、光子、航空、重卡、生物医药、钛及钛合金、新型显示、集成电路、太阳能光伏、输变电装备、乳制品、民用无人机、氢能、增材制造、钢铁深加工、乘用车(新能源)、物联网、富硒食品、煤制烯烃(芳烃)深加工、铝镁深加工、陶瓷基复合材料、智能终端、传感器、5G等我省重点产业链和战略新型产业链开展专利导航。</w:t>
            </w:r>
          </w:p>
        </w:tc>
        <w:tc>
          <w:tcPr>
            <w:tcW w:w="30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1.专利导航报告、简要报告；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2.为相关园区、产业骨干企业提供相关数据库；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3.召开导航发布会、宣讲会、成果咨询会活动；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4.具体目标依合同约定。</w:t>
            </w:r>
          </w:p>
        </w:tc>
        <w:tc>
          <w:tcPr>
            <w:tcW w:w="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2022年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3月底</w:t>
            </w:r>
          </w:p>
        </w:tc>
        <w:tc>
          <w:tcPr>
            <w:tcW w:w="115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择优资助。</w:t>
            </w:r>
          </w:p>
        </w:tc>
        <w:tc>
          <w:tcPr>
            <w:tcW w:w="137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产业园区、产业龙头企业、知识产权运营、服务机构，鼓励联合申报。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07307"/>
    <w:multiLevelType w:val="singleLevel"/>
    <w:tmpl w:val="DEB073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E2B76"/>
    <w:rsid w:val="412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kern w:val="2"/>
      <w:sz w:val="21"/>
      <w:szCs w:val="24"/>
      <w:lang w:val="en-US" w:eastAsia="zh-CN" w:bidi="ar-SA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_Style 2"/>
    <w:link w:val="5"/>
    <w:qFormat/>
    <w:uiPriority w:val="0"/>
    <w:pPr>
      <w:widowControl w:val="0"/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2021-09-09T02:14:00Z</dcterms:created>
  <dc:creator>solan</dc:creator>
  <cp:lastModifiedBy>solan</cp:lastModifiedBy>
  <dcterms:modified xsi:type="dcterms:W3CDTF">2021-09-09T02:15:12Z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